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8DA3B" w14:textId="17A7986A" w:rsidR="00EE6D79" w:rsidRPr="00824D19" w:rsidRDefault="00EE6D79" w:rsidP="00EE6D79">
      <w:pPr>
        <w:widowControl w:val="0"/>
        <w:tabs>
          <w:tab w:val="left" w:pos="567"/>
        </w:tabs>
        <w:suppressAutoHyphens/>
        <w:ind w:left="284" w:right="1"/>
        <w:contextualSpacing/>
        <w:jc w:val="righ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6F58CA8B" w14:textId="45681798" w:rsidR="00EE6D79" w:rsidRPr="00824D19" w:rsidRDefault="002B4F73" w:rsidP="00D4091E">
      <w:pPr>
        <w:suppressAutoHyphens/>
        <w:spacing w:line="276" w:lineRule="auto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>Nr sprawy: AP-272-TP-09/2025</w:t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DB396B" w:rsidRPr="00824D19">
        <w:rPr>
          <w:rFonts w:ascii="Arial" w:eastAsia="Times New Roman" w:hAnsi="Arial" w:cs="Arial"/>
          <w:b/>
          <w:sz w:val="22"/>
          <w:szCs w:val="22"/>
          <w:lang w:eastAsia="pl-PL"/>
        </w:rPr>
        <w:t>Załącznik nr 1</w:t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pl-PL"/>
        </w:rPr>
        <w:t>0</w:t>
      </w:r>
      <w:r w:rsidR="00DB396B" w:rsidRPr="00824D19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do SWZ</w:t>
      </w:r>
    </w:p>
    <w:p w14:paraId="2ADF2CEB" w14:textId="77777777" w:rsidR="00EE6D79" w:rsidRPr="00824D19" w:rsidRDefault="00EE6D79" w:rsidP="00EE6D79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ECAF90E" w14:textId="77777777" w:rsidR="00EE6D79" w:rsidRPr="00824D19" w:rsidRDefault="00EE6D79" w:rsidP="00EE6D79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/>
          <w:sz w:val="22"/>
          <w:szCs w:val="22"/>
          <w:lang w:eastAsia="pl-PL"/>
        </w:rPr>
        <w:t>ZAPROSZENIE DO NEGOCJACJI</w:t>
      </w:r>
    </w:p>
    <w:p w14:paraId="254F85B0" w14:textId="77777777" w:rsidR="00EE6D79" w:rsidRPr="00824D19" w:rsidRDefault="00EE6D79" w:rsidP="00824D19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Wykonawca: </w:t>
      </w:r>
    </w:p>
    <w:p w14:paraId="76C8671C" w14:textId="77777777" w:rsidR="00EE6D79" w:rsidRPr="00824D19" w:rsidRDefault="00EE6D79" w:rsidP="00824D19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1.………………………………..</w:t>
      </w:r>
    </w:p>
    <w:p w14:paraId="01288387" w14:textId="77777777" w:rsidR="00EE6D79" w:rsidRPr="00824D19" w:rsidRDefault="00EE6D79" w:rsidP="00EE6D79">
      <w:pPr>
        <w:widowControl w:val="0"/>
        <w:tabs>
          <w:tab w:val="left" w:pos="567"/>
        </w:tabs>
        <w:suppressAutoHyphens/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A4A8A51" w14:textId="201065CE" w:rsidR="00EE6D79" w:rsidRPr="001400AA" w:rsidRDefault="00EE6D79" w:rsidP="00EE6D79">
      <w:pPr>
        <w:widowControl w:val="0"/>
        <w:tabs>
          <w:tab w:val="left" w:pos="567"/>
        </w:tabs>
        <w:suppressAutoHyphens/>
        <w:ind w:right="1" w:firstLine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400A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Dotyczy: </w:t>
      </w:r>
      <w:r w:rsidRPr="001400AA">
        <w:rPr>
          <w:rFonts w:ascii="Arial" w:eastAsia="Times New Roman" w:hAnsi="Arial" w:cs="Arial"/>
          <w:iCs/>
          <w:sz w:val="22"/>
          <w:szCs w:val="22"/>
          <w:lang w:eastAsia="pl-PL"/>
        </w:rPr>
        <w:t>wyłonienie oferty najkorzystniejszej na</w:t>
      </w:r>
      <w:bookmarkStart w:id="1" w:name="_Hlk156204770"/>
      <w:r w:rsidRPr="001400AA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bookmarkStart w:id="2" w:name="_Hlk129089040"/>
      <w:bookmarkStart w:id="3" w:name="_Hlk151806439"/>
      <w:bookmarkEnd w:id="1"/>
      <w:r w:rsidR="00DB396B" w:rsidRPr="001400AA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bookmarkEnd w:id="2"/>
      <w:r w:rsidR="00824D19" w:rsidRPr="001400AA">
        <w:rPr>
          <w:rFonts w:ascii="Arial" w:hAnsi="Arial" w:cs="Arial"/>
          <w:b/>
          <w:bCs/>
          <w:sz w:val="22"/>
          <w:szCs w:val="22"/>
        </w:rPr>
        <w:t xml:space="preserve">Wykonanie systemu kontroli dostępu oraz systemu sygnalizacji włamania i napadu w budynku </w:t>
      </w:r>
      <w:proofErr w:type="spellStart"/>
      <w:r w:rsidR="00824D19" w:rsidRPr="001400AA">
        <w:rPr>
          <w:rFonts w:ascii="Arial" w:hAnsi="Arial" w:cs="Arial"/>
          <w:b/>
          <w:bCs/>
          <w:sz w:val="22"/>
          <w:szCs w:val="22"/>
        </w:rPr>
        <w:t>WBiA</w:t>
      </w:r>
      <w:proofErr w:type="spellEnd"/>
      <w:r w:rsidR="00824D19" w:rsidRPr="001400AA">
        <w:rPr>
          <w:rFonts w:ascii="Arial" w:hAnsi="Arial" w:cs="Arial"/>
          <w:b/>
          <w:bCs/>
          <w:sz w:val="22"/>
          <w:szCs w:val="22"/>
        </w:rPr>
        <w:t xml:space="preserve"> oraz WICA przy ul. Nadbystrzyckiej 40 w Lublinie</w:t>
      </w:r>
      <w:r w:rsidR="00DB396B" w:rsidRPr="001400AA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bookmarkEnd w:id="3"/>
    </w:p>
    <w:p w14:paraId="3AF74A02" w14:textId="6264C55F" w:rsidR="00824D19" w:rsidRDefault="00824D19" w:rsidP="001400AA">
      <w:pPr>
        <w:pStyle w:val="Akapitzlist"/>
        <w:numPr>
          <w:ilvl w:val="0"/>
          <w:numId w:val="1"/>
        </w:numPr>
        <w:ind w:left="284" w:right="1" w:hanging="284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133709">
        <w:rPr>
          <w:rFonts w:ascii="Arial" w:eastAsia="Times New Roman" w:hAnsi="Arial" w:cs="Arial"/>
          <w:b/>
          <w:bCs/>
          <w:lang w:eastAsia="pl-PL"/>
        </w:rPr>
        <w:t>Zamawiający Politechnika Lubelska</w:t>
      </w:r>
      <w:r>
        <w:rPr>
          <w:rFonts w:ascii="Arial" w:eastAsia="Times New Roman" w:hAnsi="Arial" w:cs="Arial"/>
          <w:bCs/>
          <w:lang w:eastAsia="pl-PL"/>
        </w:rPr>
        <w:t xml:space="preserve"> działając na </w:t>
      </w:r>
      <w:r w:rsidR="008A719D">
        <w:rPr>
          <w:rFonts w:ascii="Arial" w:eastAsia="Times New Roman" w:hAnsi="Arial" w:cs="Arial"/>
          <w:bCs/>
          <w:lang w:eastAsia="pl-PL"/>
        </w:rPr>
        <w:t>podstawie</w:t>
      </w:r>
      <w:r>
        <w:rPr>
          <w:rFonts w:ascii="Arial" w:eastAsia="Times New Roman" w:hAnsi="Arial" w:cs="Arial"/>
          <w:bCs/>
          <w:lang w:eastAsia="pl-PL"/>
        </w:rPr>
        <w:t xml:space="preserve"> art. </w:t>
      </w:r>
      <w:r w:rsidR="008A719D">
        <w:rPr>
          <w:rFonts w:ascii="Arial" w:eastAsia="Times New Roman" w:hAnsi="Arial" w:cs="Arial"/>
          <w:bCs/>
          <w:lang w:eastAsia="pl-PL"/>
        </w:rPr>
        <w:t>287 ust 3 u</w:t>
      </w:r>
      <w:r>
        <w:rPr>
          <w:rFonts w:ascii="Arial" w:eastAsia="Times New Roman" w:hAnsi="Arial" w:cs="Arial"/>
          <w:bCs/>
          <w:lang w:eastAsia="pl-PL"/>
        </w:rPr>
        <w:t>stawy P</w:t>
      </w:r>
      <w:r w:rsidR="008A719D">
        <w:rPr>
          <w:rFonts w:ascii="Arial" w:eastAsia="Times New Roman" w:hAnsi="Arial" w:cs="Arial"/>
          <w:bCs/>
          <w:lang w:eastAsia="pl-PL"/>
        </w:rPr>
        <w:t xml:space="preserve">rawo zamówień  publicznych </w:t>
      </w:r>
      <w:r w:rsidR="008A719D" w:rsidRPr="008A719D">
        <w:rPr>
          <w:rFonts w:ascii="Arial" w:eastAsia="Times New Roman" w:hAnsi="Arial" w:cs="Arial"/>
          <w:bCs/>
          <w:lang w:eastAsia="pl-PL"/>
        </w:rPr>
        <w:t>(</w:t>
      </w:r>
      <w:proofErr w:type="spellStart"/>
      <w:r w:rsidR="008A719D" w:rsidRPr="008A719D">
        <w:rPr>
          <w:rFonts w:ascii="Arial" w:eastAsia="Times New Roman" w:hAnsi="Arial" w:cs="Arial"/>
          <w:bCs/>
          <w:lang w:eastAsia="pl-PL"/>
        </w:rPr>
        <w:t>t.j</w:t>
      </w:r>
      <w:proofErr w:type="spellEnd"/>
      <w:r w:rsidR="008A719D" w:rsidRPr="008A719D">
        <w:rPr>
          <w:rFonts w:ascii="Arial" w:eastAsia="Times New Roman" w:hAnsi="Arial" w:cs="Arial"/>
          <w:bCs/>
          <w:lang w:eastAsia="pl-PL"/>
        </w:rPr>
        <w:t xml:space="preserve">. Dz.U. 2024 poz. 1320) </w:t>
      </w:r>
      <w:r w:rsidR="008A719D">
        <w:rPr>
          <w:rFonts w:ascii="Arial" w:eastAsia="Times New Roman" w:hAnsi="Arial" w:cs="Arial"/>
          <w:bCs/>
          <w:lang w:eastAsia="pl-PL"/>
        </w:rPr>
        <w:t xml:space="preserve">– dalej ustawa </w:t>
      </w:r>
      <w:proofErr w:type="spellStart"/>
      <w:r w:rsidR="008A719D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="008A719D">
        <w:rPr>
          <w:rFonts w:ascii="Arial" w:eastAsia="Times New Roman" w:hAnsi="Arial" w:cs="Arial"/>
          <w:bCs/>
          <w:lang w:eastAsia="pl-PL"/>
        </w:rPr>
        <w:t>,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="008A719D">
        <w:rPr>
          <w:rFonts w:ascii="Arial" w:eastAsia="Times New Roman" w:hAnsi="Arial" w:cs="Arial"/>
          <w:bCs/>
          <w:lang w:eastAsia="pl-PL"/>
        </w:rPr>
        <w:t>informuje o Wykonawcach:</w:t>
      </w:r>
    </w:p>
    <w:p w14:paraId="2D214CF9" w14:textId="1634E89E" w:rsidR="008A719D" w:rsidRDefault="008A719D" w:rsidP="001400AA">
      <w:pPr>
        <w:pStyle w:val="Akapitzlist"/>
        <w:widowControl/>
        <w:numPr>
          <w:ilvl w:val="1"/>
          <w:numId w:val="2"/>
        </w:numPr>
        <w:autoSpaceDE/>
        <w:autoSpaceDN/>
        <w:spacing w:before="0" w:line="276" w:lineRule="auto"/>
        <w:ind w:left="709"/>
        <w:jc w:val="both"/>
        <w:outlineLvl w:val="0"/>
        <w:rPr>
          <w:rFonts w:ascii="Arial" w:eastAsia="Times New Roman" w:hAnsi="Arial" w:cs="Arial"/>
          <w:bCs/>
          <w:lang w:eastAsia="zh-CN"/>
        </w:rPr>
      </w:pPr>
      <w:r w:rsidRPr="00F02A0C">
        <w:rPr>
          <w:rFonts w:ascii="Arial" w:eastAsia="Times New Roman" w:hAnsi="Arial" w:cs="Arial"/>
          <w:bCs/>
          <w:lang w:eastAsia="zh-CN"/>
        </w:rPr>
        <w:t>których oferty nie zostały odrzucone, oraz punktacji przyznanej ofertom w każdym kryterium oceny ofert i łącznej punktacji (zgodnie z kryteriami określonymi i opisanymi w Rozdziale XVIII SWZ)</w:t>
      </w:r>
      <w:r>
        <w:rPr>
          <w:rFonts w:ascii="Arial" w:eastAsia="Times New Roman" w:hAnsi="Arial" w:cs="Arial"/>
          <w:bCs/>
          <w:lang w:eastAsia="zh-CN"/>
        </w:rPr>
        <w:t>:</w:t>
      </w:r>
    </w:p>
    <w:p w14:paraId="06CCC221" w14:textId="38C2B611" w:rsidR="008A719D" w:rsidRPr="00F02A0C" w:rsidRDefault="008A719D" w:rsidP="008A719D">
      <w:pPr>
        <w:pStyle w:val="Akapitzlist"/>
        <w:widowControl/>
        <w:autoSpaceDE/>
        <w:autoSpaceDN/>
        <w:spacing w:before="0" w:line="276" w:lineRule="auto"/>
        <w:ind w:left="709" w:firstLine="0"/>
        <w:jc w:val="both"/>
        <w:outlineLvl w:val="0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Cs/>
          <w:lang w:eastAsia="zh-CN"/>
        </w:rPr>
        <w:t>……………………………………………………………………………………………………….</w:t>
      </w:r>
    </w:p>
    <w:p w14:paraId="7192BC54" w14:textId="5A1E728F" w:rsidR="008A719D" w:rsidRDefault="008A719D" w:rsidP="001400AA">
      <w:pPr>
        <w:pStyle w:val="Akapitzlist"/>
        <w:widowControl/>
        <w:numPr>
          <w:ilvl w:val="1"/>
          <w:numId w:val="2"/>
        </w:numPr>
        <w:autoSpaceDE/>
        <w:autoSpaceDN/>
        <w:spacing w:before="0" w:line="276" w:lineRule="auto"/>
        <w:ind w:left="709"/>
        <w:jc w:val="both"/>
        <w:outlineLvl w:val="0"/>
        <w:rPr>
          <w:rFonts w:ascii="Arial" w:eastAsia="Times New Roman" w:hAnsi="Arial" w:cs="Arial"/>
          <w:bCs/>
          <w:lang w:eastAsia="zh-CN"/>
        </w:rPr>
      </w:pPr>
      <w:r w:rsidRPr="00F02A0C">
        <w:rPr>
          <w:rFonts w:ascii="Arial" w:eastAsia="Times New Roman" w:hAnsi="Arial" w:cs="Arial"/>
          <w:bCs/>
          <w:lang w:eastAsia="zh-CN"/>
        </w:rPr>
        <w:t>których oferty zostały odrzucone</w:t>
      </w:r>
      <w:r>
        <w:rPr>
          <w:rFonts w:ascii="Arial" w:eastAsia="Times New Roman" w:hAnsi="Arial" w:cs="Arial"/>
          <w:bCs/>
          <w:lang w:eastAsia="zh-CN"/>
        </w:rPr>
        <w:t>…………………………………………………………………</w:t>
      </w:r>
    </w:p>
    <w:p w14:paraId="0297572B" w14:textId="301BD07B" w:rsidR="008A719D" w:rsidRPr="008A719D" w:rsidRDefault="008A719D" w:rsidP="001400AA">
      <w:pPr>
        <w:pStyle w:val="Akapitzlist"/>
        <w:widowControl/>
        <w:numPr>
          <w:ilvl w:val="1"/>
          <w:numId w:val="2"/>
        </w:numPr>
        <w:autoSpaceDE/>
        <w:autoSpaceDN/>
        <w:spacing w:before="0" w:line="276" w:lineRule="auto"/>
        <w:ind w:left="709"/>
        <w:jc w:val="both"/>
        <w:outlineLvl w:val="0"/>
        <w:rPr>
          <w:rFonts w:ascii="Arial" w:eastAsia="Times New Roman" w:hAnsi="Arial" w:cs="Arial"/>
          <w:bCs/>
          <w:lang w:eastAsia="zh-CN"/>
        </w:rPr>
      </w:pPr>
      <w:r w:rsidRPr="008A719D">
        <w:rPr>
          <w:rFonts w:ascii="Arial" w:eastAsia="Times New Roman" w:hAnsi="Arial" w:cs="Arial"/>
          <w:bCs/>
          <w:lang w:eastAsia="zh-CN"/>
        </w:rPr>
        <w:t xml:space="preserve">którzy nie zostali zakwalifikowani do negocjacji, oraz punktacji przyznanej ich ofertom w każdym kryterium oceny ofert i łącznej punktacji, w przypadku, w którym Zamawiający ograniczy liczbę wykonawców, których zaprosi do negocjacji ofert - ze wskazaniem uzasadnienia faktycznego i </w:t>
      </w:r>
      <w:r>
        <w:rPr>
          <w:rFonts w:ascii="Arial" w:eastAsia="Times New Roman" w:hAnsi="Arial" w:cs="Arial"/>
          <w:bCs/>
          <w:lang w:eastAsia="zh-CN"/>
        </w:rPr>
        <w:t>p</w:t>
      </w:r>
      <w:r w:rsidRPr="008A719D">
        <w:rPr>
          <w:rFonts w:ascii="Arial" w:eastAsia="Times New Roman" w:hAnsi="Arial" w:cs="Arial"/>
          <w:bCs/>
          <w:lang w:eastAsia="zh-CN"/>
        </w:rPr>
        <w:t>rawnego…………………………………………………………</w:t>
      </w:r>
    </w:p>
    <w:p w14:paraId="09B98CD2" w14:textId="77777777" w:rsidR="008A719D" w:rsidRDefault="008A719D" w:rsidP="008A719D">
      <w:pPr>
        <w:pStyle w:val="Akapitzlist"/>
        <w:ind w:left="720" w:right="1" w:firstLine="0"/>
        <w:contextualSpacing/>
        <w:jc w:val="both"/>
        <w:rPr>
          <w:rFonts w:ascii="Arial" w:eastAsia="Times New Roman" w:hAnsi="Arial" w:cs="Arial"/>
          <w:bCs/>
          <w:lang w:eastAsia="pl-PL"/>
        </w:rPr>
      </w:pPr>
    </w:p>
    <w:p w14:paraId="37C017CE" w14:textId="5BB94B7D" w:rsidR="00EE6D79" w:rsidRPr="008A719D" w:rsidRDefault="00EE6D79" w:rsidP="001400AA">
      <w:pPr>
        <w:pStyle w:val="Akapitzlist"/>
        <w:numPr>
          <w:ilvl w:val="0"/>
          <w:numId w:val="2"/>
        </w:numPr>
        <w:ind w:left="284" w:right="1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8A719D">
        <w:rPr>
          <w:rFonts w:ascii="Arial" w:eastAsia="Times New Roman" w:hAnsi="Arial" w:cs="Arial"/>
          <w:bCs/>
          <w:lang w:eastAsia="pl-PL"/>
        </w:rPr>
        <w:t xml:space="preserve">Działając na podstawie art. 289 ust. 1 ustawy </w:t>
      </w:r>
      <w:proofErr w:type="spellStart"/>
      <w:r w:rsidR="008A719D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8A719D">
        <w:rPr>
          <w:rFonts w:ascii="Arial" w:eastAsia="Times New Roman" w:hAnsi="Arial" w:cs="Arial"/>
          <w:bCs/>
          <w:lang w:eastAsia="pl-PL"/>
        </w:rPr>
        <w:t xml:space="preserve"> zamawiający zaprasza Wykonawcę do negocjacji. </w:t>
      </w:r>
    </w:p>
    <w:p w14:paraId="5F5E085C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3573990C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Sposób prowadzenia negocjacji: </w:t>
      </w:r>
    </w:p>
    <w:p w14:paraId="2EC34338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………………….</w:t>
      </w:r>
    </w:p>
    <w:p w14:paraId="13F6775D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Termin prowadzenia negocjacji: </w:t>
      </w:r>
    </w:p>
    <w:p w14:paraId="714DF137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……………………………</w:t>
      </w:r>
    </w:p>
    <w:p w14:paraId="562BC14B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Miejsce prowadzenia negocjacji: </w:t>
      </w:r>
    </w:p>
    <w:p w14:paraId="67A32CE4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…………………………</w:t>
      </w:r>
    </w:p>
    <w:p w14:paraId="79FE0E13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226EFAA5" w14:textId="77777777" w:rsidR="00EE6D79" w:rsidRPr="00824D19" w:rsidRDefault="00EE6D79" w:rsidP="00EE6D79">
      <w:pPr>
        <w:widowControl w:val="0"/>
        <w:suppressAutoHyphens/>
        <w:ind w:right="1"/>
        <w:contextualSpacing/>
        <w:rPr>
          <w:rFonts w:ascii="Arial" w:hAnsi="Arial" w:cs="Arial"/>
          <w:bCs/>
          <w:sz w:val="22"/>
          <w:szCs w:val="22"/>
        </w:rPr>
      </w:pPr>
      <w:r w:rsidRPr="00824D19">
        <w:rPr>
          <w:rFonts w:ascii="Arial" w:hAnsi="Arial" w:cs="Arial"/>
          <w:bCs/>
          <w:sz w:val="22"/>
          <w:szCs w:val="22"/>
        </w:rPr>
        <w:t>Kryteria oceny ofert, w ramach których będą prowadzone negocjacje w celu ulepszenia treści ofert:</w:t>
      </w:r>
    </w:p>
    <w:tbl>
      <w:tblPr>
        <w:tblW w:w="9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219"/>
        <w:gridCol w:w="1585"/>
        <w:gridCol w:w="4907"/>
      </w:tblGrid>
      <w:tr w:rsidR="001400AA" w:rsidRPr="00824D19" w14:paraId="29263C1D" w14:textId="77777777" w:rsidTr="00824D19">
        <w:trPr>
          <w:trHeight w:val="745"/>
          <w:jc w:val="center"/>
        </w:trPr>
        <w:tc>
          <w:tcPr>
            <w:tcW w:w="1545" w:type="dxa"/>
            <w:shd w:val="clear" w:color="auto" w:fill="D0CECE"/>
            <w:vAlign w:val="center"/>
          </w:tcPr>
          <w:p w14:paraId="16925CA4" w14:textId="19619D80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1219" w:type="dxa"/>
            <w:shd w:val="clear" w:color="auto" w:fill="D0CECE"/>
            <w:vAlign w:val="center"/>
          </w:tcPr>
          <w:p w14:paraId="07F8CB1C" w14:textId="54BCD358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Waga kryterium [%]</w:t>
            </w:r>
          </w:p>
        </w:tc>
        <w:tc>
          <w:tcPr>
            <w:tcW w:w="1585" w:type="dxa"/>
            <w:shd w:val="clear" w:color="auto" w:fill="D0CECE"/>
            <w:vAlign w:val="center"/>
          </w:tcPr>
          <w:p w14:paraId="6E94A83E" w14:textId="2C9E36C8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Maksymalna liczba punktów za dane kryterium</w:t>
            </w:r>
          </w:p>
        </w:tc>
        <w:tc>
          <w:tcPr>
            <w:tcW w:w="4907" w:type="dxa"/>
            <w:shd w:val="clear" w:color="auto" w:fill="D0CECE"/>
            <w:vAlign w:val="center"/>
          </w:tcPr>
          <w:p w14:paraId="58073FC5" w14:textId="705BBE92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Sposób oceny wg wzoru</w:t>
            </w:r>
          </w:p>
        </w:tc>
      </w:tr>
      <w:tr w:rsidR="001400AA" w:rsidRPr="00824D19" w14:paraId="4A90E9C4" w14:textId="77777777" w:rsidTr="00824D19">
        <w:trPr>
          <w:trHeight w:val="290"/>
          <w:jc w:val="center"/>
        </w:trPr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14:paraId="5867D36D" w14:textId="77777777" w:rsidR="001400AA" w:rsidRPr="007E4F12" w:rsidRDefault="001400AA" w:rsidP="001400AA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Cena brutto</w:t>
            </w:r>
          </w:p>
          <w:p w14:paraId="4862B9B7" w14:textId="2226E0B4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„C”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E7B769A" w14:textId="03E245D6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60 %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3181B29C" w14:textId="3463B1B0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14:paraId="1623CE59" w14:textId="77777777" w:rsidR="001400AA" w:rsidRPr="007E4F12" w:rsidRDefault="001400AA" w:rsidP="001400AA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 = (</w:t>
            </w:r>
            <w:proofErr w:type="spellStart"/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Cn</w:t>
            </w:r>
            <w:proofErr w:type="spellEnd"/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/ Co) x 60 pkt</w:t>
            </w:r>
          </w:p>
          <w:p w14:paraId="76AFDF35" w14:textId="77777777" w:rsidR="001400AA" w:rsidRPr="007E4F12" w:rsidRDefault="001400AA" w:rsidP="001400AA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sz w:val="20"/>
                <w:szCs w:val="20"/>
                <w:lang w:eastAsia="ar-SA"/>
              </w:rPr>
              <w:t>gdzie:</w:t>
            </w:r>
          </w:p>
          <w:p w14:paraId="5412DAE8" w14:textId="77777777" w:rsidR="001400AA" w:rsidRPr="007E4F12" w:rsidRDefault="001400AA" w:rsidP="001400AA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C – ocena punktowa </w:t>
            </w:r>
            <w:r w:rsidRPr="007E4F12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za oceniane kryterium ceny</w:t>
            </w: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;</w:t>
            </w:r>
          </w:p>
          <w:p w14:paraId="7264CA6C" w14:textId="77777777" w:rsidR="001400AA" w:rsidRPr="007E4F12" w:rsidRDefault="001400AA" w:rsidP="001400AA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Cn</w:t>
            </w:r>
            <w:proofErr w:type="spellEnd"/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– najniższa cena ofertowa (brutto) spośród wszystkich podlegających ocenie ofert;</w:t>
            </w:r>
          </w:p>
          <w:p w14:paraId="1FB690C4" w14:textId="77777777" w:rsidR="001400AA" w:rsidRPr="007E4F12" w:rsidRDefault="001400AA" w:rsidP="001400AA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Co – cena oferty ocenianej (</w:t>
            </w:r>
            <w:bookmarkStart w:id="4" w:name="_GoBack"/>
            <w:bookmarkEnd w:id="4"/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brutto).</w:t>
            </w:r>
          </w:p>
          <w:p w14:paraId="39DC68AD" w14:textId="77777777" w:rsidR="001400AA" w:rsidRPr="007E4F12" w:rsidRDefault="001400AA" w:rsidP="001400AA">
            <w:pPr>
              <w:suppressAutoHyphens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sz w:val="20"/>
                <w:szCs w:val="20"/>
                <w:lang w:eastAsia="ar-SA"/>
              </w:rPr>
              <w:t>Ocena w zakresie tego kryterium zostanie dokonana na podstawie wypełnionego załącznika pn. formularz „Oferta Wykonawcy” i złożonej w nim deklaracji Wykonawcy.</w:t>
            </w:r>
          </w:p>
          <w:p w14:paraId="0865F5BC" w14:textId="57A87489" w:rsidR="001400AA" w:rsidRPr="00824D19" w:rsidRDefault="001400AA" w:rsidP="001400AA">
            <w:pPr>
              <w:suppressAutoHyphens/>
              <w:jc w:val="both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sz w:val="20"/>
                <w:szCs w:val="20"/>
                <w:lang w:eastAsia="ar-SA"/>
              </w:rPr>
              <w:t>Maksymalna ilość punktów, jaką Zamawiający może przyznać w tym kryterium to 60 pkt.</w:t>
            </w:r>
          </w:p>
        </w:tc>
      </w:tr>
    </w:tbl>
    <w:p w14:paraId="3464CE15" w14:textId="77777777" w:rsidR="00EE6D79" w:rsidRPr="00824D19" w:rsidRDefault="00EE6D79" w:rsidP="00EE6D79">
      <w:pPr>
        <w:widowControl w:val="0"/>
        <w:tabs>
          <w:tab w:val="left" w:pos="567"/>
        </w:tabs>
        <w:suppressAutoHyphens/>
        <w:ind w:left="284" w:right="1"/>
        <w:contextualSpacing/>
        <w:jc w:val="right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1A42D938" w14:textId="77777777" w:rsidR="00EE6D79" w:rsidRPr="00824D19" w:rsidRDefault="00EE6D79" w:rsidP="00EE6D79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Zasady prowadzenia negocjacji:</w:t>
      </w:r>
    </w:p>
    <w:p w14:paraId="1193E7CD" w14:textId="6B0FEAEE" w:rsidR="00EE6D79" w:rsidRPr="00824D19" w:rsidRDefault="00EE6D79" w:rsidP="00EE6D79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Podczas negocjacji ofert Zamawiający zapewnia równe traktowani</w:t>
      </w:r>
      <w:r w:rsidR="00DB396B"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e</w:t>
      </w: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wszystkich wykonawców, równy dostęp do informacji oraz nie ujawnia informacji technicznych i handlowych związanych z negocjacjami. Prowadzone negocjacje będą miały charakter poufny. </w:t>
      </w:r>
    </w:p>
    <w:p w14:paraId="2D61B566" w14:textId="5CB4A744" w:rsidR="00EE6D79" w:rsidRPr="00824D19" w:rsidRDefault="00EE6D79" w:rsidP="00DB396B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Po zakończeniu negocjacji, zamawiający poinformuje o tym równocześnie wszystkich wykonawców, którzy pozostali w postępowaniu, oraz zaprosi ich do składania ofert ostatecznych. </w:t>
      </w:r>
    </w:p>
    <w:sectPr w:rsidR="00EE6D79" w:rsidRPr="00824D19" w:rsidSect="00824D19">
      <w:footerReference w:type="default" r:id="rId8"/>
      <w:headerReference w:type="first" r:id="rId9"/>
      <w:footerReference w:type="first" r:id="rId10"/>
      <w:pgSz w:w="11906" w:h="16838"/>
      <w:pgMar w:top="851" w:right="1134" w:bottom="851" w:left="1418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B8B54" w14:textId="77777777" w:rsidR="00D65CA3" w:rsidRDefault="00D65CA3" w:rsidP="0061788B">
      <w:r>
        <w:separator/>
      </w:r>
    </w:p>
  </w:endnote>
  <w:endnote w:type="continuationSeparator" w:id="0">
    <w:p w14:paraId="2A53AB2B" w14:textId="77777777" w:rsidR="00D65CA3" w:rsidRDefault="00D65CA3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F14D6E7" w:rsidR="007848DF" w:rsidRDefault="007C4FEF">
        <w:pPr>
          <w:pStyle w:val="Stopka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05249559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0CDDF8B" w14:textId="3856CC0F" w:rsidR="007C4FEF" w:rsidRPr="007C4FEF" w:rsidRDefault="007C4FE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4FE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C4FE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6F68C" w14:textId="77777777" w:rsidR="00D65CA3" w:rsidRDefault="00D65CA3" w:rsidP="0061788B">
      <w:bookmarkStart w:id="0" w:name="_Hlk187750592"/>
      <w:bookmarkEnd w:id="0"/>
      <w:r>
        <w:separator/>
      </w:r>
    </w:p>
  </w:footnote>
  <w:footnote w:type="continuationSeparator" w:id="0">
    <w:p w14:paraId="1F6EE568" w14:textId="77777777" w:rsidR="00D65CA3" w:rsidRDefault="00D65CA3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4F55474A"/>
    <w:multiLevelType w:val="hybridMultilevel"/>
    <w:tmpl w:val="281AE624"/>
    <w:lvl w:ilvl="0" w:tplc="4BAEC1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33655"/>
    <w:multiLevelType w:val="hybridMultilevel"/>
    <w:tmpl w:val="53043EDE"/>
    <w:lvl w:ilvl="0" w:tplc="4BAEC1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133709"/>
    <w:rsid w:val="001400AA"/>
    <w:rsid w:val="002A66BF"/>
    <w:rsid w:val="002A69BB"/>
    <w:rsid w:val="002B4F73"/>
    <w:rsid w:val="002D397A"/>
    <w:rsid w:val="00321310"/>
    <w:rsid w:val="00560DA4"/>
    <w:rsid w:val="005B6208"/>
    <w:rsid w:val="0061788B"/>
    <w:rsid w:val="00636210"/>
    <w:rsid w:val="00707267"/>
    <w:rsid w:val="007848DF"/>
    <w:rsid w:val="007C4FEF"/>
    <w:rsid w:val="008079B8"/>
    <w:rsid w:val="00824D19"/>
    <w:rsid w:val="00843569"/>
    <w:rsid w:val="00886436"/>
    <w:rsid w:val="00895238"/>
    <w:rsid w:val="008A719D"/>
    <w:rsid w:val="0091020E"/>
    <w:rsid w:val="00952385"/>
    <w:rsid w:val="00A212FF"/>
    <w:rsid w:val="00A81AD8"/>
    <w:rsid w:val="00AA6409"/>
    <w:rsid w:val="00B467D1"/>
    <w:rsid w:val="00B92FE6"/>
    <w:rsid w:val="00BB4624"/>
    <w:rsid w:val="00D4091E"/>
    <w:rsid w:val="00D65CA3"/>
    <w:rsid w:val="00DB396B"/>
    <w:rsid w:val="00DD3DA1"/>
    <w:rsid w:val="00E70AAA"/>
    <w:rsid w:val="00EE6D79"/>
    <w:rsid w:val="00F7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A44DF8-6BC1-47A0-8650-C5667104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Małgorzata Borkowska</cp:lastModifiedBy>
  <cp:revision>7</cp:revision>
  <cp:lastPrinted>2024-11-07T09:47:00Z</cp:lastPrinted>
  <dcterms:created xsi:type="dcterms:W3CDTF">2025-01-29T12:14:00Z</dcterms:created>
  <dcterms:modified xsi:type="dcterms:W3CDTF">2025-03-10T10:45:00Z</dcterms:modified>
</cp:coreProperties>
</file>