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FA3" w:rsidRPr="008D7FA3" w:rsidRDefault="008D7FA3" w:rsidP="008D7FA3">
      <w:pPr>
        <w:spacing w:after="0" w:line="240" w:lineRule="auto"/>
        <w:rPr>
          <w:rFonts w:cstheme="minorHAnsi"/>
          <w:b/>
          <w:u w:val="single"/>
        </w:rPr>
      </w:pPr>
    </w:p>
    <w:p w:rsidR="008D7FA3" w:rsidRPr="008D7FA3" w:rsidRDefault="008D7FA3" w:rsidP="008D7FA3">
      <w:pPr>
        <w:spacing w:after="0" w:line="240" w:lineRule="auto"/>
        <w:jc w:val="right"/>
        <w:rPr>
          <w:rFonts w:eastAsia="Calibri" w:cstheme="minorHAnsi"/>
          <w:b/>
          <w:w w:val="89"/>
        </w:rPr>
      </w:pPr>
      <w:r w:rsidRPr="008D7FA3">
        <w:rPr>
          <w:rFonts w:eastAsia="Calibri" w:cstheme="minorHAnsi"/>
          <w:b/>
          <w:w w:val="89"/>
        </w:rPr>
        <w:t>Załącznik nr 1</w:t>
      </w:r>
      <w:r w:rsidRPr="008D7FA3">
        <w:rPr>
          <w:rFonts w:cstheme="minorHAnsi"/>
        </w:rPr>
        <w:t xml:space="preserve"> </w:t>
      </w:r>
      <w:r w:rsidRPr="008D7FA3">
        <w:rPr>
          <w:rFonts w:eastAsia="Calibri" w:cstheme="minorHAnsi"/>
          <w:b/>
          <w:w w:val="89"/>
        </w:rPr>
        <w:t>Zestawienie urządzeń oraz czynności serwisowych.</w:t>
      </w:r>
    </w:p>
    <w:p w:rsidR="008D7FA3" w:rsidRPr="008D7FA3" w:rsidRDefault="008D7FA3" w:rsidP="008D7FA3">
      <w:pPr>
        <w:spacing w:after="0" w:line="240" w:lineRule="auto"/>
        <w:jc w:val="right"/>
        <w:rPr>
          <w:rFonts w:eastAsia="Calibri" w:cstheme="minorHAnsi"/>
          <w:b/>
          <w:w w:val="89"/>
        </w:rPr>
      </w:pPr>
      <w:r w:rsidRPr="008D7FA3">
        <w:rPr>
          <w:rFonts w:eastAsia="Calibri" w:cstheme="minorHAnsi"/>
          <w:b/>
          <w:w w:val="89"/>
        </w:rPr>
        <w:t>Postępowanie nr 169/WEI/BSU/2024</w:t>
      </w:r>
    </w:p>
    <w:p w:rsidR="008D7FA3" w:rsidRPr="008D7FA3" w:rsidRDefault="008D7FA3" w:rsidP="008D7FA3">
      <w:pPr>
        <w:spacing w:after="0" w:line="240" w:lineRule="auto"/>
        <w:jc w:val="right"/>
        <w:rPr>
          <w:rFonts w:eastAsia="Calibri" w:cstheme="minorHAnsi"/>
          <w:b/>
          <w:w w:val="89"/>
        </w:rPr>
      </w:pPr>
      <w:r w:rsidRPr="008D7FA3">
        <w:rPr>
          <w:rFonts w:eastAsia="Calibri" w:cstheme="minorHAnsi"/>
          <w:b/>
          <w:w w:val="89"/>
        </w:rPr>
        <w:t xml:space="preserve">Przeglądy serwisowe instalacji klimatyzacyjnych Budynek </w:t>
      </w:r>
      <w:proofErr w:type="spellStart"/>
      <w:r w:rsidRPr="008D7FA3">
        <w:rPr>
          <w:rFonts w:eastAsia="Calibri" w:cstheme="minorHAnsi"/>
          <w:b/>
          <w:w w:val="89"/>
        </w:rPr>
        <w:t>Płd</w:t>
      </w:r>
      <w:proofErr w:type="spellEnd"/>
      <w:r w:rsidRPr="008D7FA3">
        <w:rPr>
          <w:rFonts w:eastAsia="Calibri" w:cstheme="minorHAnsi"/>
          <w:b/>
          <w:w w:val="89"/>
        </w:rPr>
        <w:t>-Wschód</w:t>
      </w:r>
    </w:p>
    <w:p w:rsidR="008D7FA3" w:rsidRPr="008D7FA3" w:rsidRDefault="008D7FA3" w:rsidP="008D7FA3">
      <w:pPr>
        <w:spacing w:after="0" w:line="240" w:lineRule="auto"/>
        <w:rPr>
          <w:rFonts w:cstheme="minorHAnsi"/>
          <w:b/>
          <w:u w:val="single"/>
        </w:rPr>
      </w:pPr>
    </w:p>
    <w:p w:rsidR="006D5E8C" w:rsidRPr="008D7FA3" w:rsidRDefault="007A2E32" w:rsidP="008D7FA3">
      <w:pPr>
        <w:spacing w:after="0" w:line="240" w:lineRule="auto"/>
        <w:rPr>
          <w:rFonts w:cstheme="minorHAnsi"/>
          <w:b/>
          <w:u w:val="single"/>
        </w:rPr>
      </w:pPr>
      <w:r w:rsidRPr="008D7FA3">
        <w:rPr>
          <w:rFonts w:cstheme="minorHAnsi"/>
          <w:b/>
          <w:u w:val="single"/>
        </w:rPr>
        <w:t>Zestawienie urządzeń oraz czynności serwisowych.</w:t>
      </w: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7E023A" w:rsidRPr="008D7FA3" w:rsidRDefault="007E023A" w:rsidP="008D7FA3">
      <w:pPr>
        <w:spacing w:after="0" w:line="240" w:lineRule="auto"/>
        <w:rPr>
          <w:rFonts w:cstheme="minorHAnsi"/>
          <w:b/>
        </w:rPr>
      </w:pPr>
      <w:r w:rsidRPr="008D7FA3">
        <w:rPr>
          <w:rFonts w:cstheme="minorHAnsi"/>
          <w:b/>
        </w:rPr>
        <w:t xml:space="preserve">Wykonawca musi posiadać </w:t>
      </w:r>
      <w:r w:rsidRPr="008D7FA3">
        <w:rPr>
          <w:rFonts w:cstheme="minorHAnsi"/>
          <w:b/>
          <w:bCs/>
        </w:rPr>
        <w:t>wymagane uprawnienia</w:t>
      </w:r>
      <w:r w:rsidRPr="008D7FA3">
        <w:rPr>
          <w:rFonts w:cstheme="minorHAnsi"/>
          <w:b/>
        </w:rPr>
        <w:t xml:space="preserve"> oraz </w:t>
      </w:r>
      <w:r w:rsidRPr="008D7FA3">
        <w:rPr>
          <w:rFonts w:cstheme="minorHAnsi"/>
          <w:b/>
          <w:bCs/>
        </w:rPr>
        <w:t>niezbędne certyfikaty</w:t>
      </w:r>
      <w:r w:rsidRPr="008D7FA3">
        <w:rPr>
          <w:rFonts w:cstheme="minorHAnsi"/>
          <w:b/>
        </w:rPr>
        <w:t xml:space="preserve"> wydane przez firmę </w:t>
      </w:r>
      <w:proofErr w:type="spellStart"/>
      <w:r w:rsidRPr="008D7FA3">
        <w:rPr>
          <w:rFonts w:cstheme="minorHAnsi"/>
          <w:b/>
        </w:rPr>
        <w:t>Midea</w:t>
      </w:r>
      <w:proofErr w:type="spellEnd"/>
      <w:r w:rsidRPr="008D7FA3">
        <w:rPr>
          <w:rFonts w:cstheme="minorHAnsi"/>
          <w:b/>
        </w:rPr>
        <w:t xml:space="preserve"> oraz </w:t>
      </w:r>
      <w:proofErr w:type="spellStart"/>
      <w:r w:rsidRPr="008D7FA3">
        <w:rPr>
          <w:rFonts w:cstheme="minorHAnsi"/>
          <w:b/>
        </w:rPr>
        <w:t>HiRef</w:t>
      </w:r>
      <w:proofErr w:type="spellEnd"/>
      <w:r w:rsidRPr="008D7FA3">
        <w:rPr>
          <w:rFonts w:cstheme="minorHAnsi"/>
          <w:b/>
        </w:rPr>
        <w:t xml:space="preserve"> dopuszczające do obsługi i dokonywania napraw urządzeń.</w:t>
      </w:r>
    </w:p>
    <w:p w:rsidR="007E023A" w:rsidRPr="008D7FA3" w:rsidRDefault="007E023A" w:rsidP="008D7FA3">
      <w:pPr>
        <w:spacing w:after="0" w:line="240" w:lineRule="auto"/>
        <w:rPr>
          <w:rFonts w:cstheme="minorHAnsi"/>
        </w:rPr>
      </w:pPr>
      <w:r w:rsidRPr="008D7FA3">
        <w:rPr>
          <w:rFonts w:eastAsia="Calibri" w:cstheme="minorHAnsi"/>
          <w:b/>
          <w:bCs/>
          <w:color w:val="000000"/>
        </w:rPr>
        <w:t>Wykonawca zapewni podtrzymanie gwarancji producenta na warunkach określonych w kartach gwarancyjnych na (poniższe) urządzenia.</w:t>
      </w: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Czynności serwisowe wchodzące w zakres przeglądu konserwacyjnego klimatyzatorów  zgodnie z dokumentacją techniczną ruchową </w:t>
      </w:r>
      <w:r w:rsidRPr="008D7FA3">
        <w:rPr>
          <w:rFonts w:cstheme="minorHAnsi"/>
        </w:rPr>
        <w:br/>
        <w:t xml:space="preserve">(DTR): </w:t>
      </w:r>
      <w:r w:rsidRPr="008D7FA3">
        <w:rPr>
          <w:rFonts w:cstheme="minorHAnsi"/>
        </w:rPr>
        <w:br/>
        <w:t xml:space="preserve">1. Jednostka wewnętrzna naścienna: </w:t>
      </w:r>
      <w:r w:rsidRPr="008D7FA3">
        <w:rPr>
          <w:rFonts w:cstheme="minorHAnsi"/>
        </w:rPr>
        <w:br/>
        <w:t xml:space="preserve">1) usunięcie zanieczyszczeń stałych / organicznych typu brud, grzyby, alergeny, zarodniki, </w:t>
      </w:r>
      <w:r w:rsidRPr="008D7FA3">
        <w:rPr>
          <w:rFonts w:cstheme="minorHAnsi"/>
        </w:rPr>
        <w:br/>
        <w:t xml:space="preserve">bakterie itp.,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2) odkażanie środkami chemicznymi które eliminują wszelkie bakterie i drobnoustroje na </w:t>
      </w:r>
      <w:r w:rsidRPr="008D7FA3">
        <w:rPr>
          <w:rFonts w:cstheme="minorHAnsi"/>
        </w:rPr>
        <w:br/>
        <w:t xml:space="preserve">powierzchni parownika i tacy ociekowej,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3) czyszczenie filtrów jednostki wewnętrznej,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4) oczyszczenie obudowy i wentylatora powietrza / turbiny nawiewnej,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5) szczegółowe sprawdzenie pracy i parametrów sterowania urządzenia.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2. Jednostka zewnętrzna: </w:t>
      </w:r>
      <w:r w:rsidRPr="008D7FA3">
        <w:rPr>
          <w:rFonts w:cstheme="minorHAnsi"/>
        </w:rPr>
        <w:br/>
        <w:t xml:space="preserve">1) czyszczenie środkami chemicznymi skraplaczy, płukanie wodą lub powietrzem pod </w:t>
      </w:r>
      <w:r w:rsidRPr="008D7FA3">
        <w:rPr>
          <w:rFonts w:cstheme="minorHAnsi"/>
        </w:rPr>
        <w:br/>
        <w:t xml:space="preserve">ciśnieniem,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2) sprawdzenie stanu technicznego urządzenia,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3) czyszczenie parownika,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4) czyszczenie skraplacza,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5) odkażanie środkiem bakteriobójczym (usuwanie pleśni i grzybów),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6) kontrola stanu instalacji freonowej,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>7) sprawdzenie szczelności układów freonowych,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8) pomiar temperatury odparowania,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9) pomiar ciśnienia czynnika chłodniczego,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10) pomiar temperatury wylotu powietrza z parownika,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11) sprawdzenie szczelności i drożności układu odprowadzenia kondensatu,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12) sprawdzenie przewodów i izolacji ze względu na uszkodzenia mechaniczne, </w:t>
      </w:r>
    </w:p>
    <w:p w:rsidR="007A2E32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13) kontrola stanu instalacji elektrycznej, </w:t>
      </w:r>
    </w:p>
    <w:p w:rsidR="007A2E32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14) pomiar prądu,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15) sprawdzenie działania urządzeń sterujących, </w:t>
      </w:r>
    </w:p>
    <w:p w:rsidR="007E023A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 xml:space="preserve">16) włączenie urządzenia do bieżącej eksploatacji, </w:t>
      </w:r>
    </w:p>
    <w:p w:rsidR="00B8552C" w:rsidRPr="008D7FA3" w:rsidRDefault="007E023A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>17) dokonanie wpisu do karty przeglądów / karta serwisowa.</w:t>
      </w:r>
    </w:p>
    <w:p w:rsidR="00B8552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</w:p>
    <w:p w:rsidR="00B8552C" w:rsidRPr="008D7FA3" w:rsidRDefault="00B8552C" w:rsidP="008D7FA3">
      <w:pPr>
        <w:tabs>
          <w:tab w:val="left" w:pos="2295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ab/>
      </w:r>
    </w:p>
    <w:p w:rsidR="00B8552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</w:p>
    <w:p w:rsidR="00B8552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</w:p>
    <w:p w:rsidR="00B8552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</w:p>
    <w:p w:rsidR="00B8552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</w:p>
    <w:p w:rsidR="00B8552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</w:p>
    <w:p w:rsidR="00B8552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</w:p>
    <w:p w:rsidR="00B8552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</w:p>
    <w:p w:rsidR="006D5E8C" w:rsidRPr="008D7FA3" w:rsidRDefault="00B8552C" w:rsidP="008D7FA3">
      <w:pPr>
        <w:tabs>
          <w:tab w:val="left" w:pos="678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ab/>
      </w: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  <w:r w:rsidRPr="008D7FA3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47304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73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846729" w:rsidRPr="008D7FA3" w:rsidRDefault="006D5E8C" w:rsidP="008D7FA3">
      <w:pPr>
        <w:tabs>
          <w:tab w:val="left" w:pos="294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lastRenderedPageBreak/>
        <w:tab/>
      </w:r>
      <w:bookmarkStart w:id="0" w:name="_GoBack"/>
      <w:r w:rsidR="00846729" w:rsidRPr="008D7FA3">
        <w:rPr>
          <w:rFonts w:cstheme="minorHAnsi"/>
          <w:noProof/>
          <w:lang w:eastAsia="pl-PL"/>
        </w:rPr>
        <w:drawing>
          <wp:inline distT="0" distB="0" distL="0" distR="0" wp14:anchorId="4FA0DBF8" wp14:editId="692398ED">
            <wp:extent cx="5760720" cy="47472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6D5E8C" w:rsidRPr="008D7FA3" w:rsidRDefault="00B8552C" w:rsidP="008D7FA3">
      <w:pPr>
        <w:tabs>
          <w:tab w:val="left" w:pos="2940"/>
        </w:tabs>
        <w:spacing w:after="0" w:line="240" w:lineRule="auto"/>
        <w:rPr>
          <w:rFonts w:cstheme="minorHAnsi"/>
        </w:rPr>
      </w:pPr>
      <w:r w:rsidRPr="008D7FA3">
        <w:rPr>
          <w:rFonts w:cstheme="minorHAnsi"/>
          <w:noProof/>
          <w:lang w:eastAsia="pl-PL"/>
        </w:rPr>
        <w:lastRenderedPageBreak/>
        <w:drawing>
          <wp:inline distT="0" distB="0" distL="0" distR="0" wp14:anchorId="0873801C" wp14:editId="520675FB">
            <wp:extent cx="5760720" cy="469773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6D5E8C" w:rsidRPr="008D7FA3" w:rsidRDefault="00123AED" w:rsidP="008D7FA3">
      <w:pPr>
        <w:spacing w:after="0" w:line="240" w:lineRule="auto"/>
        <w:rPr>
          <w:rFonts w:cstheme="minorHAnsi"/>
        </w:rPr>
      </w:pPr>
      <w:r w:rsidRPr="008D7FA3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48045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6D5E8C" w:rsidRPr="008D7FA3" w:rsidRDefault="00123AED" w:rsidP="008D7FA3">
      <w:pPr>
        <w:spacing w:after="0" w:line="240" w:lineRule="auto"/>
        <w:rPr>
          <w:rFonts w:cstheme="minorHAnsi"/>
        </w:rPr>
      </w:pPr>
      <w:r w:rsidRPr="008D7FA3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4738581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ED" w:rsidRPr="008D7FA3" w:rsidRDefault="00123AED" w:rsidP="008D7FA3">
      <w:pPr>
        <w:spacing w:after="0" w:line="240" w:lineRule="auto"/>
        <w:rPr>
          <w:rFonts w:cstheme="minorHAnsi"/>
        </w:rPr>
      </w:pPr>
    </w:p>
    <w:p w:rsidR="00123AED" w:rsidRPr="008D7FA3" w:rsidRDefault="00123AED" w:rsidP="008D7FA3">
      <w:pPr>
        <w:spacing w:after="0" w:line="240" w:lineRule="auto"/>
        <w:rPr>
          <w:rFonts w:cstheme="minorHAnsi"/>
        </w:rPr>
      </w:pPr>
    </w:p>
    <w:p w:rsidR="00123AED" w:rsidRPr="008D7FA3" w:rsidRDefault="00123AED" w:rsidP="008D7FA3">
      <w:pPr>
        <w:spacing w:after="0" w:line="240" w:lineRule="auto"/>
        <w:rPr>
          <w:rFonts w:cstheme="minorHAnsi"/>
        </w:rPr>
      </w:pPr>
    </w:p>
    <w:p w:rsidR="00123AED" w:rsidRPr="008D7FA3" w:rsidRDefault="00123AED" w:rsidP="008D7FA3">
      <w:pPr>
        <w:spacing w:after="0" w:line="240" w:lineRule="auto"/>
        <w:rPr>
          <w:rFonts w:cstheme="minorHAnsi"/>
        </w:rPr>
      </w:pPr>
    </w:p>
    <w:p w:rsidR="00123AED" w:rsidRPr="008D7FA3" w:rsidRDefault="00123AED" w:rsidP="008D7FA3">
      <w:pPr>
        <w:spacing w:after="0" w:line="240" w:lineRule="auto"/>
        <w:rPr>
          <w:rFonts w:cstheme="minorHAnsi"/>
        </w:rPr>
      </w:pP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51470F" w:rsidRPr="008D7FA3" w:rsidRDefault="0051470F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  <w:r w:rsidRPr="008D7FA3">
        <w:rPr>
          <w:rFonts w:cstheme="minorHAnsi"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2760138" wp14:editId="24197978">
            <wp:simplePos x="0" y="0"/>
            <wp:positionH relativeFrom="column">
              <wp:posOffset>806134</wp:posOffset>
            </wp:positionH>
            <wp:positionV relativeFrom="paragraph">
              <wp:posOffset>-1004251</wp:posOffset>
            </wp:positionV>
            <wp:extent cx="4361805" cy="6363648"/>
            <wp:effectExtent l="8572" t="0" r="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1805" cy="636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D7FA3">
        <w:rPr>
          <w:rFonts w:cstheme="minorHAnsi"/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290830</wp:posOffset>
                </wp:positionH>
                <wp:positionV relativeFrom="paragraph">
                  <wp:posOffset>-452120</wp:posOffset>
                </wp:positionV>
                <wp:extent cx="6003925" cy="5006975"/>
                <wp:effectExtent l="0" t="0" r="0" b="0"/>
                <wp:wrapNone/>
                <wp:docPr id="12" name="Kanw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D73BA" id="Kanwa 12" o:spid="_x0000_s1026" editas="canvas" style="position:absolute;margin-left:22.9pt;margin-top:-35.6pt;width:472.75pt;height:394.25pt;z-index:251665408;mso-position-horizontal-relative:margin" coordsize="60039,5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IaCIEDjAAAACgEAAA8AAAAAAAAA&#10;AAAAAAAAbgMAAGRycy9kb3ducmV2LnhtbFBLBQYAAAAABAAEAPMAAAB+BAAAAAA=&#10;">
                <v:shape id="_x0000_s1027" type="#_x0000_t75" style="position:absolute;width:60039;height:50069;visibility:visible;mso-wrap-style:square">
                  <v:fill o:detectmouseclick="t"/>
                  <v:path o:connecttype="none"/>
                </v:shape>
                <w10:wrap anchorx="margin"/>
              </v:group>
            </w:pict>
          </mc:Fallback>
        </mc:AlternateContent>
      </w: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846729" w:rsidRPr="008D7FA3" w:rsidRDefault="00846729" w:rsidP="008D7FA3">
      <w:pPr>
        <w:spacing w:after="0" w:line="240" w:lineRule="auto"/>
        <w:rPr>
          <w:rFonts w:cstheme="minorHAnsi"/>
        </w:rPr>
      </w:pPr>
    </w:p>
    <w:p w:rsidR="0051470F" w:rsidRPr="008D7FA3" w:rsidRDefault="0051470F" w:rsidP="008D7FA3">
      <w:pPr>
        <w:spacing w:after="0" w:line="240" w:lineRule="auto"/>
        <w:rPr>
          <w:rFonts w:cstheme="minorHAnsi"/>
        </w:rPr>
      </w:pPr>
      <w:r w:rsidRPr="008D7FA3">
        <w:rPr>
          <w:rFonts w:cstheme="minorHAnsi"/>
        </w:rPr>
        <w:t>Wykaz czynności serwisowych dot. szaf klimatyzacji precyzyjnej.</w:t>
      </w:r>
    </w:p>
    <w:p w:rsidR="0051470F" w:rsidRPr="008D7FA3" w:rsidRDefault="0051470F" w:rsidP="008D7FA3">
      <w:pPr>
        <w:spacing w:after="0" w:line="240" w:lineRule="auto"/>
        <w:rPr>
          <w:rFonts w:cstheme="minorHAnsi"/>
        </w:rPr>
      </w:pPr>
    </w:p>
    <w:p w:rsidR="0051470F" w:rsidRPr="008D7FA3" w:rsidRDefault="0051470F" w:rsidP="008D7FA3">
      <w:pPr>
        <w:spacing w:after="0" w:line="240" w:lineRule="auto"/>
        <w:rPr>
          <w:rFonts w:cstheme="minorHAnsi"/>
        </w:rPr>
      </w:pP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Wymiana filtrów powietrza</w:t>
      </w:r>
      <w:r w:rsidR="00DA27B3" w:rsidRPr="008D7FA3">
        <w:rPr>
          <w:rFonts w:asciiTheme="minorHAnsi" w:hAnsiTheme="minorHAnsi" w:cstheme="minorHAnsi"/>
        </w:rPr>
        <w:t xml:space="preserve"> </w:t>
      </w:r>
    </w:p>
    <w:p w:rsidR="0051470F" w:rsidRPr="008D7FA3" w:rsidRDefault="00D7568B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pracy nawilżaczy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czystości wymiennika parownika (czyszczenie gdy konieczne)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temperatury/ciśnienia parowania.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przegrzania czynnika/regulacja.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czystości wirników wentylatorów oraz obudowy (czyszczenie).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płynności obrotów wirnika wentylatora, kontrola mocowania wirnika na osi, kontrola odważników wyważających, kontrola położenia wirnika względem obudowy.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stanu łożysk osi wentylatora/smarowanie/wymiana.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kierunku obrotów wentylatorów, kontrola płynności obrotów silnika wentylatora, kontrola stanu amortyzatorów zespołów wentylatorowych.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 xml:space="preserve">Kontrola poboru mocy elektrycznej przez silnik, kontrola temperatury silnika, 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przekładni pasowej – płaszczyzna ustawienia kół, poziom ugięcia pasa klinowego.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wymiennika skraplacza (w tym czyszczenie).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 xml:space="preserve"> Kontrola temperatury/ciśnienia skraplania/regulacja. 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 xml:space="preserve"> Kontrola płynności obrotów wirnika wentylatorów skraplacza, kontrola temperatury dochłodzenia. 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poziomu oleju w sprężarce, kontrola drożności filtra odwadniacza.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poziomu napełnienia oraz stanu zawilgocenia instalacji freonowej (wziernik chłodniczy).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stanu instalacji elektrycznej, kontrola poboru prądu przez silniki wentylatorów skraplacza, kontrola czystości i drożności dysz nawilżaczy.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Odkamienianie zbiornika wodnego oraz grzałek elektrycznych nawilżacza parowego/wymiana.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 xml:space="preserve">Kontrola czystości i drożności odkraplacza, kontrola szczelności i drożności instalacji odprowadzania skroplin. 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 xml:space="preserve">Kontrola czystości nagrzewnicy elektrycznej/czyszczenie. 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Kontrola działania zabezpieczenia przegrzania grzałek, kontrola poboru prądu przez sprężarki.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lastRenderedPageBreak/>
        <w:t xml:space="preserve">Kontrola zabezpieczeń wysokiego i niskiego ciśnienia, kontrola połączeń elektrycznych nagrzewnicy elektrycznej, silników wentylatorów i innych przewodów o wysokim obciążeniu prądowym, czyszczenie urządzenia. 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Wykonania pomiarów – wartości pomiarowe: pobór prądu przez silniki sprężarek, pobory prądu przez silniki wentylatora, pobór prądu przez nagrzewnice elektryczne, pobór prądu przez nawilżacz,  temperatura przegrzania, temperatura zewnętrzna, ciśnienie tłoczenie/ssanie, kontrola zabezpieczeń LP/HP/przekroczenia temperatur.</w:t>
      </w:r>
    </w:p>
    <w:p w:rsidR="00846729" w:rsidRPr="008D7FA3" w:rsidRDefault="00846729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Sprawdzenie kwasowości i czystości oleju w sprężarkach co 5000 godzin pracy</w:t>
      </w:r>
    </w:p>
    <w:p w:rsidR="00846729" w:rsidRPr="008D7FA3" w:rsidRDefault="00846729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Sprawdzenie stanu krzepliwości glikolu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I inne zapisane w dokumentacji techniczno-ruchowej producenta urządzeń.</w:t>
      </w:r>
    </w:p>
    <w:p w:rsidR="0051470F" w:rsidRPr="008D7FA3" w:rsidRDefault="0051470F" w:rsidP="008D7FA3">
      <w:pPr>
        <w:pStyle w:val="Akapitzlist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Theme="minorHAnsi" w:hAnsiTheme="minorHAnsi" w:cstheme="minorHAnsi"/>
        </w:rPr>
      </w:pPr>
      <w:r w:rsidRPr="008D7FA3">
        <w:rPr>
          <w:rFonts w:asciiTheme="minorHAnsi" w:hAnsiTheme="minorHAnsi" w:cstheme="minorHAnsi"/>
        </w:rPr>
        <w:t>Dokonanie wpisu w kartę urządzenia zgodnie z ustawą z dn. 15.05.2015r. o substancjach zubożających warstwę ozonową oraz o niektórych fluorowanych gazach cieplarnianych.</w:t>
      </w: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</w:p>
    <w:p w:rsidR="006D5E8C" w:rsidRPr="008D7FA3" w:rsidRDefault="006D5E8C" w:rsidP="008D7FA3">
      <w:pPr>
        <w:spacing w:after="0" w:line="240" w:lineRule="auto"/>
        <w:rPr>
          <w:rFonts w:cstheme="minorHAnsi"/>
        </w:rPr>
      </w:pPr>
      <w:r w:rsidRPr="008D7FA3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59130" cy="90684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12" cy="91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E8C" w:rsidRPr="008D7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345CD"/>
    <w:multiLevelType w:val="hybridMultilevel"/>
    <w:tmpl w:val="F950F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8C"/>
    <w:rsid w:val="00123AED"/>
    <w:rsid w:val="001B1D19"/>
    <w:rsid w:val="00383BAB"/>
    <w:rsid w:val="0051470F"/>
    <w:rsid w:val="00552A83"/>
    <w:rsid w:val="006D5E8C"/>
    <w:rsid w:val="007A2E32"/>
    <w:rsid w:val="007E023A"/>
    <w:rsid w:val="00846729"/>
    <w:rsid w:val="008D7FA3"/>
    <w:rsid w:val="00B8552C"/>
    <w:rsid w:val="00D7568B"/>
    <w:rsid w:val="00DA27B3"/>
    <w:rsid w:val="00E309EE"/>
    <w:rsid w:val="00F9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E6DD"/>
  <w15:chartTrackingRefBased/>
  <w15:docId w15:val="{7CF5F08B-6B21-41C1-80E1-8D23D895B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470F"/>
    <w:pPr>
      <w:spacing w:after="200" w:line="276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671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Malec</dc:creator>
  <cp:keywords/>
  <dc:description/>
  <cp:lastModifiedBy>Justyna Tomaszewska</cp:lastModifiedBy>
  <cp:revision>2</cp:revision>
  <dcterms:created xsi:type="dcterms:W3CDTF">2024-03-26T10:15:00Z</dcterms:created>
  <dcterms:modified xsi:type="dcterms:W3CDTF">2024-03-26T10:15:00Z</dcterms:modified>
</cp:coreProperties>
</file>