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FC" w:rsidRPr="00C403FC" w:rsidRDefault="00C403FC" w:rsidP="00C403FC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403FC">
        <w:rPr>
          <w:rFonts w:ascii="Arial" w:eastAsia="MS Gothic" w:hAnsi="Arial" w:cs="Arial"/>
          <w:b/>
          <w:bCs/>
          <w:szCs w:val="22"/>
        </w:rPr>
        <w:t>załącznik nr 1.7 do Specyfikacji Warunków Zamówienia</w:t>
      </w:r>
    </w:p>
    <w:p w:rsidR="00C403FC" w:rsidRPr="00C403FC" w:rsidRDefault="00C403FC" w:rsidP="00C403F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403F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Rz.271.5.2023</w:t>
      </w:r>
    </w:p>
    <w:p w:rsidR="00C403FC" w:rsidRPr="00C403FC" w:rsidRDefault="00C403FC" w:rsidP="00C403FC">
      <w:pPr>
        <w:overflowPunct/>
        <w:spacing w:before="113" w:after="113" w:line="276" w:lineRule="auto"/>
        <w:jc w:val="center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403F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403F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403F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C403F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C403FC" w:rsidRPr="00C403FC" w:rsidRDefault="00C403FC" w:rsidP="00C403F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403F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419" type="#_x0000_t75" style="width:240.75pt;height:57pt" o:ole="">
            <v:imagedata r:id="rId8" o:title=""/>
          </v:shape>
          <w:control r:id="rId9" w:name="unnamed07" w:shapeid="_x0000_i4419"/>
        </w:object>
      </w:r>
    </w:p>
    <w:p w:rsidR="00C403FC" w:rsidRPr="00C403FC" w:rsidRDefault="00C403FC" w:rsidP="00C403F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403F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403F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403FC">
        <w:rPr>
          <w:rFonts w:ascii="Arial" w:eastAsia="Times New Roman" w:hAnsi="Arial" w:cs="Arial"/>
          <w:sz w:val="20"/>
          <w:szCs w:val="20"/>
        </w:rPr>
        <w:t>)</w:t>
      </w:r>
    </w:p>
    <w:p w:rsidR="00C403FC" w:rsidRPr="00C403FC" w:rsidRDefault="00C403FC" w:rsidP="00C403FC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C403FC">
        <w:rPr>
          <w:rFonts w:ascii="Arial" w:eastAsia="Times New Roman" w:hAnsi="Arial" w:cs="Arial"/>
          <w:sz w:val="20"/>
          <w:szCs w:val="20"/>
        </w:rPr>
        <w:t>Reprezentowany przez:</w:t>
      </w:r>
    </w:p>
    <w:p w:rsidR="00C403FC" w:rsidRPr="00C403FC" w:rsidRDefault="00C403FC" w:rsidP="00C403FC">
      <w:pPr>
        <w:overflowPunct/>
        <w:spacing w:before="57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403FC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 id="_x0000_i4418" type="#_x0000_t75" style="width:240.75pt;height:19.5pt" o:ole="">
            <v:imagedata r:id="rId10" o:title=""/>
          </v:shape>
          <w:control r:id="rId11" w:name="unnamed17" w:shapeid="_x0000_i4418"/>
        </w:object>
      </w:r>
      <w:r w:rsidRPr="00C403FC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C403FC" w:rsidRPr="00C403FC" w:rsidRDefault="00C403FC" w:rsidP="00C403FC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403FC">
        <w:rPr>
          <w:rFonts w:ascii="Arial" w:eastAsia="MS Gothic" w:hAnsi="Arial" w:cs="Arial"/>
          <w:b/>
          <w:bCs/>
          <w:spacing w:val="40"/>
          <w:sz w:val="26"/>
          <w:szCs w:val="26"/>
        </w:rPr>
        <w:t>Wykaz zaoferowanego produktu równoważnego</w:t>
      </w:r>
      <w:r w:rsidRPr="00C403FC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Oprawa liniowa</w:t>
      </w:r>
    </w:p>
    <w:p w:rsidR="00C403FC" w:rsidRPr="00C403FC" w:rsidRDefault="00C403FC" w:rsidP="00C403F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403FC">
        <w:rPr>
          <w:rFonts w:ascii="Arial" w:hAnsi="Arial" w:cs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C403FC">
        <w:rPr>
          <w:rFonts w:ascii="Arial" w:hAnsi="Arial" w:cs="Arial"/>
          <w:b/>
          <w:bCs/>
          <w:szCs w:val="22"/>
        </w:rPr>
        <w:t>Pzp</w:t>
      </w:r>
      <w:proofErr w:type="spellEnd"/>
      <w:r w:rsidRPr="00C403FC">
        <w:rPr>
          <w:rFonts w:ascii="Arial" w:hAnsi="Arial" w:cs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C403FC">
        <w:rPr>
          <w:rFonts w:ascii="Arial" w:hAnsi="Arial" w:cs="Arial"/>
          <w:b/>
          <w:bCs/>
          <w:szCs w:val="22"/>
        </w:rPr>
        <w:t>Pzp</w:t>
      </w:r>
      <w:proofErr w:type="spellEnd"/>
      <w:r w:rsidRPr="00C403FC">
        <w:rPr>
          <w:rFonts w:ascii="Arial" w:hAnsi="Arial" w:cs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C403FC">
        <w:rPr>
          <w:rFonts w:ascii="Arial" w:hAnsi="Arial" w:cs="Arial"/>
          <w:b/>
          <w:bCs/>
          <w:szCs w:val="22"/>
        </w:rPr>
        <w:t>Pzp</w:t>
      </w:r>
      <w:proofErr w:type="spellEnd"/>
      <w:r w:rsidRPr="00C403FC">
        <w:rPr>
          <w:rFonts w:ascii="Arial" w:hAnsi="Arial" w:cs="Arial"/>
          <w:b/>
          <w:bCs/>
          <w:szCs w:val="22"/>
        </w:rPr>
        <w:t>.</w:t>
      </w:r>
    </w:p>
    <w:p w:rsidR="00C403FC" w:rsidRPr="00C403FC" w:rsidRDefault="00C403FC" w:rsidP="00C403F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403FC">
        <w:rPr>
          <w:rFonts w:ascii="Arial" w:hAnsi="Arial" w:cs="Arial"/>
          <w:b/>
          <w:bCs/>
          <w:szCs w:val="22"/>
        </w:rPr>
        <w:t>Przedmiot zamówienia: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Remont systemu oświetlenia drogowego na terenie Gminy Miejskiej Legionowo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403FC">
        <w:rPr>
          <w:rFonts w:ascii="Arial" w:hAnsi="Arial" w:cs="Arial"/>
          <w:b/>
          <w:bCs/>
          <w:szCs w:val="22"/>
        </w:rPr>
        <w:t>Zamawiający: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Gmina Miejska Legionowo – Urząd Miasta Legionowo</w:t>
      </w:r>
    </w:p>
    <w:p w:rsidR="00C403FC" w:rsidRPr="00C403FC" w:rsidRDefault="00C403FC" w:rsidP="00C403FC">
      <w:p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Producent oprawy</w:t>
      </w:r>
      <w:r w:rsidRPr="00C403FC">
        <w:rPr>
          <w:rFonts w:ascii="Arial" w:hAnsi="Arial" w:cs="Arial"/>
        </w:rPr>
        <w:object w:dxaOrig="225" w:dyaOrig="225">
          <v:shape id="_x0000_i4417" type="#_x0000_t75" style="width:482.25pt;height:19.5pt" o:ole="">
            <v:imagedata r:id="rId12" o:title=""/>
          </v:shape>
          <w:control r:id="rId13" w:name="unnamed710" w:shapeid="_x0000_i4417"/>
        </w:objec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Nazwa oprawy (nazwa własna oprawy)</w:t>
      </w:r>
    </w:p>
    <w:p w:rsidR="00C403FC" w:rsidRPr="00C403FC" w:rsidRDefault="00C403FC" w:rsidP="00C403FC">
      <w:pPr>
        <w:overflowPunct/>
        <w:rPr>
          <w:rFonts w:ascii="Arial" w:hAnsi="Arial" w:cs="Arial"/>
        </w:rPr>
      </w:pPr>
      <w:r w:rsidRPr="00C403FC">
        <w:rPr>
          <w:rFonts w:ascii="Arial" w:hAnsi="Arial" w:cs="Arial"/>
          <w:b/>
          <w:bCs/>
        </w:rPr>
        <w:object w:dxaOrig="225" w:dyaOrig="225">
          <v:shape id="_x0000_i4416" type="#_x0000_t75" style="width:482.25pt;height:19.5pt" o:ole="">
            <v:imagedata r:id="rId14" o:title=""/>
          </v:shape>
          <w:control r:id="rId15" w:name="unnamed711" w:shapeid="_x0000_i4416"/>
        </w:objec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283" w:after="0"/>
        <w:ind w:left="283" w:hanging="283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budowa oprawy dwukomorowa: otwarcie komory elektrycznej nie powoduje rozszczelnienia komory optycznej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15" type="#_x0000_t75" style="width:8.25pt;height:24pt" o:ole="">
            <v:imagedata r:id="rId16" o:title=""/>
          </v:shape>
          <w:control r:id="rId17" w:name="Spełnia95" w:shapeid="_x0000_i4415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14" type="#_x0000_t75" style="width:8.25pt;height:24pt" o:ole="">
            <v:imagedata r:id="rId18" o:title=""/>
          </v:shape>
          <w:control r:id="rId19" w:name="Nie spełnia95" w:shapeid="_x0000_i4414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0" w:after="0"/>
        <w:ind w:left="284" w:hanging="284"/>
        <w:contextualSpacing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materiał korpusu – ekstrudowane aluminium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13" type="#_x0000_t75" style="width:8.25pt;height:24pt" o:ole="">
            <v:imagedata r:id="rId20" o:title=""/>
          </v:shape>
          <w:control r:id="rId21" w:name="Spełnia96" w:shapeid="_x0000_i4413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12" type="#_x0000_t75" style="width:8.25pt;height:24pt" o:ole="">
            <v:imagedata r:id="rId22" o:title=""/>
          </v:shape>
          <w:control r:id="rId23" w:name="Nie spełnia96" w:shapeid="_x0000_i4412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0" w:after="0"/>
        <w:ind w:left="284" w:hanging="284"/>
        <w:contextualSpacing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korpus pokryty powłoką zapewniającą odporność na korozję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11" type="#_x0000_t75" style="width:8.25pt;height:24pt" o:ole="">
            <v:imagedata r:id="rId24" o:title=""/>
          </v:shape>
          <w:control r:id="rId25" w:name="Spełnia97" w:shapeid="_x0000_i4411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10" type="#_x0000_t75" style="width:8.25pt;height:24pt" o:ole="">
            <v:imagedata r:id="rId26" o:title=""/>
          </v:shape>
          <w:control r:id="rId27" w:name="Nie spełnia97" w:shapeid="_x0000_i4410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0" w:after="0"/>
        <w:ind w:left="284" w:hanging="284"/>
        <w:contextualSpacing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materiał klosza – szkło hartowane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9" type="#_x0000_t75" style="width:8.25pt;height:24pt" o:ole="">
            <v:imagedata r:id="rId28" o:title=""/>
          </v:shape>
          <w:control r:id="rId29" w:name="Spełnia98" w:shapeid="_x0000_i4409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8" type="#_x0000_t75" style="width:8.25pt;height:24pt" o:ole="">
            <v:imagedata r:id="rId30" o:title=""/>
          </v:shape>
          <w:control r:id="rId31" w:name="Nie spełnia98" w:shapeid="_x0000_i4408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0" w:after="0"/>
        <w:ind w:left="284" w:hanging="284"/>
        <w:contextualSpacing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 xml:space="preserve">uchwyt montażowy wykonany ze stali nierdzewnej 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7" type="#_x0000_t75" style="width:8.25pt;height:24pt" o:ole="">
            <v:imagedata r:id="rId32" o:title=""/>
          </v:shape>
          <w:control r:id="rId33" w:name="Spełnia99" w:shapeid="_x0000_i4407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6" type="#_x0000_t75" style="width:8.25pt;height:24pt" o:ole="">
            <v:imagedata r:id="rId34" o:title=""/>
          </v:shape>
          <w:control r:id="rId35" w:name="Nie spełnia99" w:shapeid="_x0000_i4406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0" w:after="0"/>
        <w:ind w:left="284" w:hanging="284"/>
        <w:contextualSpacing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stopień odporności klosza na uderzenia mechaniczne – IK08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5" type="#_x0000_t75" style="width:8.25pt;height:24pt" o:ole="">
            <v:imagedata r:id="rId36" o:title=""/>
          </v:shape>
          <w:control r:id="rId37" w:name="Spełnia100" w:shapeid="_x0000_i4405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4" type="#_x0000_t75" style="width:8.25pt;height:24pt" o:ole="">
            <v:imagedata r:id="rId38" o:title=""/>
          </v:shape>
          <w:control r:id="rId39" w:name="Nie spełnia100" w:shapeid="_x0000_i4404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0" w:after="0"/>
        <w:ind w:left="284" w:hanging="284"/>
        <w:contextualSpacing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szczelność oprawy – IP66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3" type="#_x0000_t75" style="width:8.25pt;height:24pt" o:ole="">
            <v:imagedata r:id="rId40" o:title=""/>
          </v:shape>
          <w:control r:id="rId41" w:name="Spełnia101" w:shapeid="_x0000_i4403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2" type="#_x0000_t75" style="width:8.25pt;height:24pt" o:ole="">
            <v:imagedata r:id="rId42" o:title=""/>
          </v:shape>
          <w:control r:id="rId43" w:name="Nie spełnia101" w:shapeid="_x0000_i4402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suppressAutoHyphens w:val="0"/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znamionowe napięcie pracy – 230V/50Hz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1" type="#_x0000_t75" style="width:8.25pt;height:24pt" o:ole="">
            <v:imagedata r:id="rId32" o:title=""/>
          </v:shape>
          <w:control r:id="rId44" w:name="Spełnia102" w:shapeid="_x0000_i4401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400" type="#_x0000_t75" style="width:8.25pt;height:24pt" o:ole="">
            <v:imagedata r:id="rId45" o:title=""/>
          </v:shape>
          <w:control r:id="rId46" w:name="Nie spełnia102" w:shapeid="_x0000_i4400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suppressAutoHyphens w:val="0"/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9" type="#_x0000_t75" style="width:8.25pt;height:24pt" o:ole="">
            <v:imagedata r:id="rId47" o:title=""/>
          </v:shape>
          <w:control r:id="rId48" w:name="Spełnia103" w:shapeid="_x0000_i4399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8" type="#_x0000_t75" style="width:8.25pt;height:24pt" o:ole="">
            <v:imagedata r:id="rId49" o:title=""/>
          </v:shape>
          <w:control r:id="rId50" w:name="Nie spełnia103" w:shapeid="_x0000_i4398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suppressAutoHyphens w:val="0"/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ochrona przed przepięciami – 10kV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7" type="#_x0000_t75" style="width:8.25pt;height:24pt" o:ole="">
            <v:imagedata r:id="rId51" o:title=""/>
          </v:shape>
          <w:control r:id="rId52" w:name="Spełnia104" w:shapeid="_x0000_i4397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6" type="#_x0000_t75" style="width:8.25pt;height:24pt" o:ole="">
            <v:imagedata r:id="rId53" o:title=""/>
          </v:shape>
          <w:control r:id="rId54" w:name="Nie spełnia104" w:shapeid="_x0000_i4396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suppressAutoHyphens w:val="0"/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klasa ochronności elektrycznej: I lub II – zgodnie z projektem elektrycznym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5" type="#_x0000_t75" style="width:8.25pt;height:24pt" o:ole="">
            <v:imagedata r:id="rId55" o:title=""/>
          </v:shape>
          <w:control r:id="rId56" w:name="Spełnia105" w:shapeid="_x0000_i4395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4" type="#_x0000_t75" style="width:8.25pt;height:24pt" o:ole="">
            <v:imagedata r:id="rId57" o:title=""/>
          </v:shape>
          <w:control r:id="rId58" w:name="Nie spełnia105" w:shapeid="_x0000_i4394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suppressAutoHyphens w:val="0"/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rodzaj źródła światła – LED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3" type="#_x0000_t75" style="width:8.25pt;height:24pt" o:ole="">
            <v:imagedata r:id="rId59" o:title=""/>
          </v:shape>
          <w:control r:id="rId60" w:name="Spełnia106" w:shapeid="_x0000_i4393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2" type="#_x0000_t75" style="width:8.25pt;height:24pt" o:ole="">
            <v:imagedata r:id="rId61" o:title=""/>
          </v:shape>
          <w:control r:id="rId62" w:name="Nie spełnia106" w:shapeid="_x0000_i4392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suppressAutoHyphens w:val="0"/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zakres temperatury barwowej źródeł światła – 3000K ±10%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1" type="#_x0000_t75" style="width:8.25pt;height:24pt" o:ole="">
            <v:imagedata r:id="rId63" o:title=""/>
          </v:shape>
          <w:control r:id="rId64" w:name="Spełnia107" w:shapeid="_x0000_i4391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90" type="#_x0000_t75" style="width:8.25pt;height:24pt" o:ole="">
            <v:imagedata r:id="rId65" o:title=""/>
          </v:shape>
          <w:control r:id="rId66" w:name="Nie spełnia107" w:shapeid="_x0000_i4390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suppressAutoHyphens w:val="0"/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utrzymanie strumienia świetlnego w czasie: 90% po 100 000h (zgodnie z IES LM-80 - TM-21)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89" type="#_x0000_t75" style="width:8.25pt;height:24pt" o:ole="">
            <v:imagedata r:id="rId67" o:title=""/>
          </v:shape>
          <w:control r:id="rId68" w:name="Spełnia108" w:shapeid="_x0000_i4389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88" type="#_x0000_t75" style="width:8.25pt;height:24pt" o:ole="">
            <v:imagedata r:id="rId69" o:title=""/>
          </v:shape>
          <w:control r:id="rId70" w:name="Nie spełnia108" w:shapeid="_x0000_i4388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dane fotometryczne oprawy zamieszczone w programie komputerowym pozwalającym wykonać obliczenia parametrów oświetleniowych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87" type="#_x0000_t75" style="width:8.25pt;height:24pt" o:ole="">
            <v:imagedata r:id="rId71" o:title=""/>
          </v:shape>
          <w:control r:id="rId72" w:name="Spełnia109" w:shapeid="_x0000_i4387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86" type="#_x0000_t75" style="width:8.25pt;height:24pt" o:ole="">
            <v:imagedata r:id="rId73" o:title=""/>
          </v:shape>
          <w:control r:id="rId74" w:name="Nie spełnia109" w:shapeid="_x0000_i4386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suppressAutoHyphens w:val="0"/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 xml:space="preserve">oprawa musi być oznakowana znakiem CE oraz posiadać deklarację zgodności   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85" type="#_x0000_t75" style="width:8.25pt;height:24pt" o:ole="">
            <v:imagedata r:id="rId75" o:title=""/>
          </v:shape>
          <w:control r:id="rId76" w:name="Spełnia110" w:shapeid="_x0000_i4385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84" type="#_x0000_t75" style="width:8.25pt;height:24pt" o:ole="">
            <v:imagedata r:id="rId71" o:title=""/>
          </v:shape>
          <w:control r:id="rId77" w:name="Nie spełnia110" w:shapeid="_x0000_i4384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0" w:after="0"/>
        <w:ind w:left="284" w:hanging="284"/>
        <w:jc w:val="both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oprawa posiada deklarację zgodności oraz aktualny certyfikat akredytowanego ośrodka badawczego potwierdzający wykonanie wyrobów zgodnie z Normami zharmonizowanymi z Dyrektywą LVD (PN-EN 60598-1/PN-EN 60598-2-3) oraz zachowanie reżimów produkcji i jej powtarzalności, zgodnie z Typem 5 wg ISO/IEC 17067, certyfikat ENEC lub równoważny 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83" type="#_x0000_t75" style="width:8.25pt;height:24pt" o:ole="">
            <v:imagedata r:id="rId78" o:title=""/>
          </v:shape>
          <w:control r:id="rId79" w:name="Spełnia111" w:shapeid="_x0000_i4383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82" type="#_x0000_t75" style="width:8.25pt;height:24pt" o:ole="">
            <v:imagedata r:id="rId75" o:title=""/>
          </v:shape>
          <w:control r:id="rId80" w:name="Nie spełnia111" w:shapeid="_x0000_i4382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numPr>
          <w:ilvl w:val="0"/>
          <w:numId w:val="24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 xml:space="preserve"> Oprawa wyposażona w etykietę z kodem QR wraz z dodatkową naklejką do umieszczenia np. we wnęce słupowej i/lub na projekcie. Dostęp do aplikacji z poziomu komputera i urządzeń przenośnych (smartphone, tablet, laptop itp.), zabezpieczony loginem i hasłem lub aplikacja ogólnodostępna. Aplikacja pozwala na przypisanie kont dla administratora i dodatkowych </w:t>
      </w:r>
      <w:proofErr w:type="spellStart"/>
      <w:r w:rsidRPr="00C403FC">
        <w:rPr>
          <w:rFonts w:ascii="Arial" w:hAnsi="Arial" w:cs="Arial"/>
          <w:szCs w:val="22"/>
        </w:rPr>
        <w:t>sub</w:t>
      </w:r>
      <w:proofErr w:type="spellEnd"/>
      <w:r w:rsidRPr="00C403FC">
        <w:rPr>
          <w:rFonts w:ascii="Arial" w:hAnsi="Arial" w:cs="Arial"/>
          <w:szCs w:val="22"/>
        </w:rPr>
        <w:t>-kont dla wykonawców i instalatorów. Kod QR poprzez użycie dedykowanej aplikacji umożliwia uzyskanie pełnej charakterystyki oprawy i dostęp do informacji takich jak: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- parametry fotometryczne, elektryczne oraz mechaniczne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- dokumentacja oprawy, instrukcja montażu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- instrukcja serwisowania w przypadku nieprawidłowego działania oprawy oświetleniowej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- lista części zamiennych wraz z kodami producenta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ab/>
        <w:t>Dedykowana aplikacja po zarejestrowaniu projektu pozwala na: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- wyeksportowanie danych lokalizacyjnych opraw do ogólnodostępnych map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- wprowadzenie indywidualnych opisów danej instalacji np. typ słupa czy jego wysokość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- bezpośrednie raportowanie czynności konserwacyjnych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  <w:szCs w:val="22"/>
        </w:rPr>
        <w:t>- eksport danych o instalacji do pliku .</w:t>
      </w:r>
      <w:proofErr w:type="spellStart"/>
      <w:r w:rsidRPr="00C403FC">
        <w:rPr>
          <w:rFonts w:ascii="Arial" w:hAnsi="Arial" w:cs="Arial"/>
          <w:szCs w:val="22"/>
        </w:rPr>
        <w:t>csv</w:t>
      </w:r>
      <w:proofErr w:type="spellEnd"/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03FC">
        <w:rPr>
          <w:rFonts w:ascii="Arial" w:hAnsi="Arial" w:cs="Arial"/>
        </w:rPr>
        <w:object w:dxaOrig="225" w:dyaOrig="225">
          <v:shape id="_x0000_i4381" type="#_x0000_t75" style="width:8.25pt;height:24pt" o:ole="">
            <v:imagedata r:id="rId73" o:title=""/>
          </v:shape>
          <w:control r:id="rId81" w:name="Spełnia112" w:shapeid="_x0000_i4381"/>
        </w:object>
      </w:r>
      <w:r w:rsidRPr="00C403FC">
        <w:rPr>
          <w:rFonts w:ascii="Arial" w:hAnsi="Arial" w:cs="Arial"/>
          <w:szCs w:val="22"/>
        </w:rPr>
        <w:t xml:space="preserve">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</w:rPr>
      </w:pPr>
      <w:r w:rsidRPr="00C403FC">
        <w:rPr>
          <w:rFonts w:ascii="Arial" w:hAnsi="Arial" w:cs="Arial"/>
        </w:rPr>
        <w:object w:dxaOrig="225" w:dyaOrig="225">
          <v:shape id="_x0000_i4380" type="#_x0000_t75" style="width:8.25pt;height:24pt" o:ole="">
            <v:imagedata r:id="rId82" o:title=""/>
          </v:shape>
          <w:control r:id="rId83" w:name="Nie spełnia112" w:shapeid="_x0000_i4380"/>
        </w:object>
      </w:r>
      <w:r w:rsidRPr="00C403FC">
        <w:rPr>
          <w:rFonts w:ascii="Arial" w:hAnsi="Arial" w:cs="Arial"/>
          <w:szCs w:val="22"/>
        </w:rPr>
        <w:t xml:space="preserve"> Nie spełnia</w:t>
      </w:r>
    </w:p>
    <w:p w:rsidR="00C403FC" w:rsidRPr="00C403FC" w:rsidRDefault="00C403FC" w:rsidP="00C403FC">
      <w:pPr>
        <w:overflowPunct/>
        <w:spacing w:before="0" w:after="0" w:line="276" w:lineRule="auto"/>
        <w:rPr>
          <w:rFonts w:ascii="Arial" w:hAnsi="Arial" w:cs="Arial"/>
        </w:rPr>
      </w:pPr>
      <w:r w:rsidRPr="00C403FC">
        <w:rPr>
          <w:rFonts w:ascii="Arial" w:hAnsi="Arial" w:cs="Arial"/>
          <w:b/>
          <w:bCs/>
          <w:szCs w:val="22"/>
        </w:rPr>
        <w:t>Uwaga</w:t>
      </w:r>
    </w:p>
    <w:p w:rsidR="002E5271" w:rsidRPr="00C403FC" w:rsidRDefault="00C403FC" w:rsidP="00C403FC">
      <w:pPr>
        <w:spacing w:line="276" w:lineRule="auto"/>
        <w:rPr>
          <w:rFonts w:ascii="Arial" w:hAnsi="Arial" w:cs="Arial"/>
        </w:rPr>
      </w:pPr>
      <w:r w:rsidRPr="00C403FC">
        <w:rPr>
          <w:rFonts w:ascii="Arial" w:hAnsi="Arial" w:cs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  <w:bookmarkStart w:id="0" w:name="_GoBack"/>
      <w:bookmarkEnd w:id="0"/>
    </w:p>
    <w:sectPr w:rsidR="002E5271" w:rsidRPr="00C403FC">
      <w:footerReference w:type="default" r:id="rId8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403FC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D0F35"/>
    <w:multiLevelType w:val="multilevel"/>
    <w:tmpl w:val="0F7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16"/>
    <w:lvlOverride w:ilvl="0"/>
    <w:lvlOverride w:ilvl="1"/>
    <w:lvlOverride w:ilvl="2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F0A64"/>
    <w:rsid w:val="004410A0"/>
    <w:rsid w:val="006750AB"/>
    <w:rsid w:val="00694DD7"/>
    <w:rsid w:val="006B6003"/>
    <w:rsid w:val="006C6AFD"/>
    <w:rsid w:val="00891D8F"/>
    <w:rsid w:val="009F6759"/>
    <w:rsid w:val="00A63934"/>
    <w:rsid w:val="00AE2C2D"/>
    <w:rsid w:val="00B1746E"/>
    <w:rsid w:val="00C05D24"/>
    <w:rsid w:val="00C403FC"/>
    <w:rsid w:val="00C6771F"/>
    <w:rsid w:val="00D340F8"/>
    <w:rsid w:val="00D40C58"/>
    <w:rsid w:val="00DC26DB"/>
    <w:rsid w:val="00E268C1"/>
    <w:rsid w:val="00E47CBC"/>
    <w:rsid w:val="00E664FC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footer" Target="footer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control" Target="activeX/activeX36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8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control" Target="activeX/activeX4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control" Target="activeX/activeX39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61" Type="http://schemas.openxmlformats.org/officeDocument/2006/relationships/image" Target="media/image27.wmf"/><Relationship Id="rId82" Type="http://schemas.openxmlformats.org/officeDocument/2006/relationships/image" Target="media/image3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566E-CD78-4FA7-845F-AB250BBA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2023-03-16T12:25:00Z</dcterms:created>
  <dcterms:modified xsi:type="dcterms:W3CDTF">2023-03-16T12:26:00Z</dcterms:modified>
  <dc:language>pl-PL</dc:language>
</cp:coreProperties>
</file>