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jc w:val="right"/>
        <w:rPr>
          <w:rFonts w:ascii="Arial" w:hAnsi="Arial"/>
          <w:b/>
          <w:bCs/>
          <w:sz w:val="16"/>
          <w:szCs w:val="16"/>
        </w:rPr>
      </w:pPr>
      <w:bookmarkStart w:id="5" w:name="_GoBack"/>
      <w:bookmarkEnd w:id="5"/>
      <w:r>
        <w:rPr>
          <w:rFonts w:ascii="Arial" w:hAnsi="Arial"/>
          <w:sz w:val="16"/>
          <w:szCs w:val="16"/>
        </w:rPr>
        <w:t xml:space="preserve">Specyfikacja Warunków Zamówienia </w:t>
      </w:r>
      <w:r>
        <w:rPr>
          <w:rFonts w:ascii="Arial" w:hAnsi="Arial"/>
          <w:sz w:val="16"/>
          <w:szCs w:val="16"/>
        </w:rPr>
        <w:br w:type="textWrapping"/>
      </w:r>
      <w:r>
        <w:rPr>
          <w:rFonts w:ascii="Arial" w:hAnsi="Arial"/>
          <w:sz w:val="16"/>
          <w:szCs w:val="16"/>
        </w:rPr>
        <w:t xml:space="preserve">dla robót budowlanych, w postępowaniu o wartości mniejszej niż próg unijny, </w:t>
      </w:r>
      <w:r>
        <w:rPr>
          <w:rFonts w:ascii="Arial" w:hAnsi="Arial"/>
          <w:sz w:val="16"/>
          <w:szCs w:val="16"/>
        </w:rPr>
        <w:br w:type="textWrapping"/>
      </w:r>
      <w:r>
        <w:rPr>
          <w:rFonts w:ascii="Arial" w:hAnsi="Arial"/>
          <w:sz w:val="16"/>
          <w:szCs w:val="16"/>
        </w:rPr>
        <w:t>tryb podstawowy</w:t>
      </w:r>
      <w:r>
        <w:rPr>
          <w:rFonts w:ascii="Arial" w:hAnsi="Arial"/>
          <w:sz w:val="16"/>
          <w:szCs w:val="16"/>
          <w:u w:val="single"/>
        </w:rPr>
        <w:t xml:space="preserve">, </w:t>
      </w:r>
      <w:r>
        <w:rPr>
          <w:rFonts w:ascii="Arial" w:hAnsi="Arial"/>
          <w:b/>
          <w:bCs/>
          <w:sz w:val="16"/>
          <w:szCs w:val="16"/>
          <w:u w:val="single"/>
        </w:rPr>
        <w:t>bez negocjacji</w:t>
      </w:r>
      <w:bookmarkStart w:id="0" w:name="_Hlk69985681"/>
      <w:r>
        <w:rPr>
          <w:rFonts w:ascii="Arial" w:hAnsi="Arial"/>
          <w:b/>
          <w:bCs/>
          <w:sz w:val="16"/>
          <w:szCs w:val="16"/>
        </w:rPr>
        <w:t>.</w:t>
      </w:r>
    </w:p>
    <w:p>
      <w:pPr>
        <w:pStyle w:val="30"/>
        <w:jc w:val="both"/>
        <w:rPr>
          <w:rFonts w:ascii="Arial" w:hAnsi="Arial"/>
          <w:sz w:val="16"/>
          <w:szCs w:val="16"/>
        </w:rPr>
      </w:pPr>
    </w:p>
    <w:p>
      <w:pPr>
        <w:pStyle w:val="30"/>
        <w:jc w:val="both"/>
        <w:rPr>
          <w:b/>
          <w:u w:val="single"/>
        </w:rPr>
      </w:pPr>
      <w:r>
        <w:rPr>
          <w:rFonts w:ascii="Trebuchet MS" w:hAnsi="Trebuchet MS"/>
          <w:b/>
        </w:rPr>
        <w:t>WTI.271.2.</w:t>
      </w:r>
      <w:r>
        <w:rPr>
          <w:rFonts w:hint="default" w:ascii="Trebuchet MS" w:hAnsi="Trebuchet MS"/>
          <w:b/>
          <w:lang w:val="pl-PL"/>
        </w:rPr>
        <w:t>23</w:t>
      </w:r>
      <w:r>
        <w:rPr>
          <w:rFonts w:ascii="Trebuchet MS" w:hAnsi="Trebuchet MS"/>
          <w:b/>
        </w:rPr>
        <w:t>.202</w:t>
      </w:r>
      <w:r>
        <w:rPr>
          <w:rFonts w:hint="default" w:ascii="Trebuchet MS" w:hAnsi="Trebuchet MS"/>
          <w:b/>
          <w:lang w:val="pl-PL"/>
        </w:rPr>
        <w:t>3</w:t>
      </w:r>
      <w:r>
        <w:rPr>
          <w:rFonts w:ascii="Trebuchet MS" w:hAnsi="Trebuchet MS"/>
          <w:b/>
        </w:rPr>
        <w:t>.ZP</w:t>
      </w:r>
      <w:bookmarkEnd w:id="0"/>
    </w:p>
    <w:p>
      <w:pPr>
        <w:rPr>
          <w:rFonts w:ascii="Trebuchet MS" w:hAnsi="Trebuchet MS" w:cs="Arial"/>
        </w:rPr>
      </w:pPr>
    </w:p>
    <w:p>
      <w:pPr>
        <w:rPr>
          <w:rFonts w:ascii="Trebuchet MS" w:hAnsi="Trebuchet MS" w:cs="Arial"/>
          <w:b/>
          <w:lang w:val="de-DE"/>
        </w:rPr>
      </w:pPr>
    </w:p>
    <w:p>
      <w:pPr>
        <w:spacing w:line="360" w:lineRule="auto"/>
        <w:jc w:val="center"/>
        <w:rPr>
          <w:rFonts w:ascii="Trebuchet MS" w:hAnsi="Trebuchet MS" w:cs="Arial"/>
          <w:b/>
        </w:rPr>
      </w:pPr>
      <w:r>
        <w:rPr>
          <w:rFonts w:ascii="Trebuchet MS" w:hAnsi="Trebuchet MS" w:cs="Arial"/>
          <w:b/>
        </w:rPr>
        <w:t>SPECYFIKACJA WARUNKÓW ZAMÓWIENIA</w:t>
      </w:r>
    </w:p>
    <w:p>
      <w:pPr>
        <w:spacing w:line="360" w:lineRule="auto"/>
        <w:jc w:val="center"/>
        <w:rPr>
          <w:rFonts w:ascii="Trebuchet MS" w:hAnsi="Trebuchet MS" w:cs="Arial"/>
          <w:b/>
        </w:rPr>
      </w:pPr>
      <w:r>
        <w:rPr>
          <w:rFonts w:ascii="Trebuchet MS" w:hAnsi="Trebuchet MS" w:cs="Arial"/>
          <w:b/>
        </w:rPr>
        <w:t>DLA ZAMÓWIENIA O NAZWIE:</w:t>
      </w:r>
    </w:p>
    <w:p>
      <w:pPr>
        <w:tabs>
          <w:tab w:val="left" w:pos="5420"/>
        </w:tabs>
        <w:spacing w:line="360" w:lineRule="auto"/>
        <w:ind w:right="28"/>
        <w:jc w:val="center"/>
        <w:rPr>
          <w:rFonts w:ascii="Trebuchet MS" w:hAnsi="Trebuchet MS" w:cs="Arial"/>
          <w:b/>
        </w:rPr>
      </w:pPr>
      <w:r>
        <w:rPr>
          <w:rFonts w:ascii="Trebuchet MS" w:hAnsi="Trebuchet MS"/>
          <w:b/>
          <w:bCs/>
          <w:iCs/>
          <w:color w:val="000000"/>
          <w:spacing w:val="4"/>
        </w:rPr>
        <w:t>„Modernizacja dróg gminnych”.</w:t>
      </w:r>
    </w:p>
    <w:p>
      <w:pPr>
        <w:tabs>
          <w:tab w:val="center" w:pos="4607"/>
        </w:tabs>
        <w:ind w:right="28"/>
        <w:jc w:val="both"/>
        <w:rPr>
          <w:rFonts w:ascii="Trebuchet MS" w:hAnsi="Trebuchet MS" w:cs="Arial"/>
          <w:b/>
        </w:rPr>
      </w:pPr>
    </w:p>
    <w:p>
      <w:pPr>
        <w:tabs>
          <w:tab w:val="center" w:pos="4607"/>
        </w:tabs>
        <w:ind w:right="28"/>
        <w:jc w:val="both"/>
        <w:rPr>
          <w:rFonts w:ascii="Trebuchet MS" w:hAnsi="Trebuchet MS" w:cs="Arial"/>
          <w:b/>
        </w:rPr>
      </w:pPr>
      <w:r>
        <w:rPr>
          <w:rFonts w:ascii="Trebuchet MS" w:hAnsi="Trebuchet MS" w:cs="Arial"/>
          <w:b/>
        </w:rPr>
        <w:t>Zawartość specyfikacji:</w:t>
      </w:r>
    </w:p>
    <w:p>
      <w:pPr>
        <w:ind w:right="28"/>
        <w:jc w:val="both"/>
        <w:rPr>
          <w:rFonts w:ascii="Trebuchet MS" w:hAnsi="Trebuchet MS" w:cs="Arial"/>
          <w:b/>
        </w:rPr>
      </w:pPr>
    </w:p>
    <w:tbl>
      <w:tblPr>
        <w:tblStyle w:val="37"/>
        <w:tblW w:w="9304" w:type="dxa"/>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528"/>
        <w:gridCol w:w="2132"/>
        <w:gridCol w:w="1309"/>
        <w:gridCol w:w="5335"/>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pPr>
              <w:ind w:right="28"/>
              <w:rPr>
                <w:rFonts w:ascii="Trebuchet MS" w:hAnsi="Trebuchet MS" w:cs="Arial"/>
              </w:rPr>
            </w:pPr>
          </w:p>
        </w:tc>
        <w:tc>
          <w:tcPr>
            <w:tcW w:w="2132" w:type="dxa"/>
            <w:tcBorders>
              <w:top w:val="single" w:color="auto" w:sz="4" w:space="0"/>
              <w:left w:val="single" w:color="auto" w:sz="4" w:space="0"/>
              <w:right w:val="single" w:color="auto" w:sz="4" w:space="0"/>
            </w:tcBorders>
            <w:vAlign w:val="center"/>
          </w:tcPr>
          <w:p>
            <w:pPr>
              <w:ind w:right="28"/>
              <w:jc w:val="center"/>
              <w:rPr>
                <w:rFonts w:ascii="Trebuchet MS" w:hAnsi="Trebuchet MS" w:cs="Arial"/>
                <w:b/>
                <w:bCs/>
              </w:rPr>
            </w:pPr>
            <w:r>
              <w:rPr>
                <w:rFonts w:ascii="Trebuchet MS" w:hAnsi="Trebuchet MS" w:cs="Arial"/>
                <w:b/>
                <w:bCs/>
              </w:rPr>
              <w:t>Postanowienia SWZ część ogólna</w:t>
            </w:r>
          </w:p>
        </w:tc>
        <w:tc>
          <w:tcPr>
            <w:tcW w:w="1309" w:type="dxa"/>
            <w:tcBorders>
              <w:top w:val="single" w:color="auto" w:sz="4" w:space="0"/>
              <w:left w:val="single" w:color="auto" w:sz="4" w:space="0"/>
              <w:right w:val="single" w:color="auto" w:sz="4" w:space="0"/>
            </w:tcBorders>
            <w:shd w:val="clear" w:color="auto" w:fill="FFFFFF" w:themeFill="background1"/>
            <w:vAlign w:val="center"/>
          </w:tcPr>
          <w:p>
            <w:pPr>
              <w:ind w:right="28"/>
              <w:jc w:val="center"/>
              <w:rPr>
                <w:rFonts w:ascii="Trebuchet MS" w:hAnsi="Trebuchet MS" w:cs="Arial"/>
                <w:b/>
                <w:bCs/>
              </w:rPr>
            </w:pPr>
          </w:p>
        </w:tc>
        <w:tc>
          <w:tcPr>
            <w:tcW w:w="5335" w:type="dxa"/>
            <w:tcBorders>
              <w:top w:val="single" w:color="auto" w:sz="4" w:space="0"/>
              <w:left w:val="single" w:color="auto" w:sz="4" w:space="0"/>
              <w:right w:val="single" w:color="auto" w:sz="4" w:space="0"/>
            </w:tcBorders>
          </w:tcPr>
          <w:p>
            <w:pPr>
              <w:ind w:right="28"/>
              <w:jc w:val="center"/>
              <w:rPr>
                <w:rFonts w:ascii="Trebuchet MS" w:hAnsi="Trebuchet MS" w:cs="Arial"/>
                <w:b/>
                <w:bCs/>
              </w:rPr>
            </w:pPr>
            <w:r>
              <w:rPr>
                <w:rFonts w:ascii="Trebuchet MS" w:hAnsi="Trebuchet MS" w:cs="Arial"/>
                <w:b/>
                <w:bCs/>
              </w:rPr>
              <w:t>Rozdziały od I do XXXIV</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pPr>
              <w:ind w:right="28"/>
              <w:jc w:val="center"/>
              <w:rPr>
                <w:rFonts w:ascii="Trebuchet MS" w:hAnsi="Trebuchet MS" w:cs="Arial"/>
              </w:rPr>
            </w:pPr>
            <w:r>
              <w:rPr>
                <w:rFonts w:ascii="Trebuchet MS" w:hAnsi="Trebuchet MS" w:cs="Arial"/>
              </w:rPr>
              <w:t>1.</w:t>
            </w:r>
          </w:p>
        </w:tc>
        <w:tc>
          <w:tcPr>
            <w:tcW w:w="2132" w:type="dxa"/>
            <w:tcBorders>
              <w:top w:val="single" w:color="auto" w:sz="4" w:space="0"/>
              <w:left w:val="single" w:color="auto" w:sz="4" w:space="0"/>
              <w:right w:val="single" w:color="auto" w:sz="4" w:space="0"/>
            </w:tcBorders>
            <w:vAlign w:val="center"/>
          </w:tcPr>
          <w:p>
            <w:pPr>
              <w:ind w:right="28"/>
              <w:rPr>
                <w:rFonts w:ascii="Trebuchet MS" w:hAnsi="Trebuchet MS" w:cs="Arial"/>
              </w:rPr>
            </w:pPr>
            <w:r>
              <w:rPr>
                <w:rFonts w:ascii="Trebuchet MS" w:hAnsi="Trebuchet MS" w:cs="Arial"/>
              </w:rPr>
              <w:t>Załącznik nr 1</w:t>
            </w:r>
          </w:p>
        </w:tc>
        <w:tc>
          <w:tcPr>
            <w:tcW w:w="1309" w:type="dxa"/>
            <w:tcBorders>
              <w:top w:val="single" w:color="auto" w:sz="4" w:space="0"/>
              <w:left w:val="single" w:color="auto" w:sz="4" w:space="0"/>
              <w:right w:val="single" w:color="auto" w:sz="4" w:space="0"/>
            </w:tcBorders>
            <w:shd w:val="clear" w:color="auto" w:fill="FFFFFF" w:themeFill="background1"/>
            <w:vAlign w:val="center"/>
          </w:tcPr>
          <w:p>
            <w:pPr>
              <w:ind w:right="28"/>
              <w:rPr>
                <w:rFonts w:ascii="Trebuchet MS" w:hAnsi="Trebuchet MS" w:cs="Arial"/>
              </w:rPr>
            </w:pPr>
          </w:p>
        </w:tc>
        <w:tc>
          <w:tcPr>
            <w:tcW w:w="5335" w:type="dxa"/>
            <w:tcBorders>
              <w:top w:val="single" w:color="auto" w:sz="4" w:space="0"/>
              <w:left w:val="single" w:color="auto" w:sz="4" w:space="0"/>
              <w:right w:val="single" w:color="auto" w:sz="4" w:space="0"/>
            </w:tcBorders>
          </w:tcPr>
          <w:p>
            <w:pPr>
              <w:ind w:right="28"/>
              <w:jc w:val="both"/>
              <w:rPr>
                <w:rFonts w:ascii="Trebuchet MS" w:hAnsi="Trebuchet MS" w:cs="Arial"/>
              </w:rPr>
            </w:pPr>
            <w:r>
              <w:rPr>
                <w:rFonts w:ascii="Trebuchet MS" w:hAnsi="Trebuchet MS" w:cs="Arial"/>
              </w:rPr>
              <w:t>Formularz oferty</w:t>
            </w:r>
          </w:p>
          <w:p>
            <w:pPr>
              <w:ind w:right="28"/>
              <w:jc w:val="both"/>
              <w:rPr>
                <w:rFonts w:ascii="Trebuchet MS" w:hAnsi="Trebuchet MS" w:cs="Arial"/>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pPr>
              <w:ind w:right="28"/>
              <w:jc w:val="center"/>
              <w:rPr>
                <w:rFonts w:ascii="Trebuchet MS" w:hAnsi="Trebuchet MS" w:cs="Arial"/>
              </w:rPr>
            </w:pPr>
            <w:r>
              <w:rPr>
                <w:rFonts w:ascii="Trebuchet MS" w:hAnsi="Trebuchet MS" w:cs="Arial"/>
              </w:rPr>
              <w:t>2.</w:t>
            </w:r>
          </w:p>
        </w:tc>
        <w:tc>
          <w:tcPr>
            <w:tcW w:w="2132" w:type="dxa"/>
            <w:tcBorders>
              <w:top w:val="single" w:color="auto" w:sz="4" w:space="0"/>
              <w:left w:val="single" w:color="auto" w:sz="4" w:space="0"/>
              <w:right w:val="single" w:color="auto" w:sz="4" w:space="0"/>
            </w:tcBorders>
            <w:vAlign w:val="center"/>
          </w:tcPr>
          <w:p>
            <w:pPr>
              <w:ind w:right="28"/>
              <w:rPr>
                <w:rFonts w:ascii="Trebuchet MS" w:hAnsi="Trebuchet MS" w:cs="Arial"/>
              </w:rPr>
            </w:pPr>
            <w:r>
              <w:rPr>
                <w:rFonts w:ascii="Trebuchet MS" w:hAnsi="Trebuchet MS" w:cs="Arial"/>
              </w:rPr>
              <w:t>Załącznik nr 2</w:t>
            </w:r>
          </w:p>
        </w:tc>
        <w:tc>
          <w:tcPr>
            <w:tcW w:w="1309" w:type="dxa"/>
            <w:tcBorders>
              <w:top w:val="single" w:color="auto" w:sz="4" w:space="0"/>
              <w:left w:val="single" w:color="auto" w:sz="4" w:space="0"/>
              <w:right w:val="single" w:color="auto" w:sz="4" w:space="0"/>
            </w:tcBorders>
            <w:shd w:val="clear" w:color="auto" w:fill="FFFFFF" w:themeFill="background1"/>
            <w:vAlign w:val="center"/>
          </w:tcPr>
          <w:p>
            <w:pPr>
              <w:ind w:right="28"/>
              <w:rPr>
                <w:rFonts w:ascii="Trebuchet MS" w:hAnsi="Trebuchet MS" w:cs="Arial"/>
              </w:rPr>
            </w:pPr>
          </w:p>
        </w:tc>
        <w:tc>
          <w:tcPr>
            <w:tcW w:w="5335" w:type="dxa"/>
            <w:tcBorders>
              <w:top w:val="single" w:color="auto" w:sz="4" w:space="0"/>
              <w:left w:val="single" w:color="auto" w:sz="4" w:space="0"/>
              <w:right w:val="single" w:color="auto" w:sz="4" w:space="0"/>
            </w:tcBorders>
          </w:tcPr>
          <w:p>
            <w:pPr>
              <w:ind w:right="28"/>
              <w:jc w:val="both"/>
              <w:rPr>
                <w:rFonts w:ascii="Trebuchet MS" w:hAnsi="Trebuchet MS" w:cs="Arial"/>
              </w:rPr>
            </w:pPr>
            <w:r>
              <w:rPr>
                <w:rFonts w:ascii="Trebuchet MS" w:hAnsi="Trebuchet MS" w:cs="Arial"/>
              </w:rPr>
              <w:t>Wzór oświadczenia Wykonawcy o niepodleganiu wykluczeniu z postępowania oraz o spełnianiu warunków udziału w postępowaniu</w:t>
            </w:r>
          </w:p>
          <w:p>
            <w:pPr>
              <w:ind w:right="28"/>
              <w:jc w:val="both"/>
              <w:rPr>
                <w:rFonts w:ascii="Trebuchet MS" w:hAnsi="Trebuchet MS" w:cs="Arial"/>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33" w:hRule="atLeast"/>
        </w:trPr>
        <w:tc>
          <w:tcPr>
            <w:tcW w:w="528" w:type="dxa"/>
            <w:tcBorders>
              <w:top w:val="single" w:color="auto" w:sz="4" w:space="0"/>
              <w:left w:val="single" w:color="auto" w:sz="4" w:space="0"/>
              <w:right w:val="single" w:color="auto" w:sz="4" w:space="0"/>
            </w:tcBorders>
            <w:vAlign w:val="center"/>
          </w:tcPr>
          <w:p>
            <w:pPr>
              <w:ind w:right="28"/>
              <w:jc w:val="center"/>
              <w:rPr>
                <w:rFonts w:ascii="Trebuchet MS" w:hAnsi="Trebuchet MS" w:cs="Arial"/>
              </w:rPr>
            </w:pPr>
            <w:r>
              <w:rPr>
                <w:rFonts w:ascii="Trebuchet MS" w:hAnsi="Trebuchet MS" w:cs="Arial"/>
              </w:rPr>
              <w:t>3.</w:t>
            </w:r>
          </w:p>
        </w:tc>
        <w:tc>
          <w:tcPr>
            <w:tcW w:w="2132" w:type="dxa"/>
            <w:tcBorders>
              <w:top w:val="single" w:color="auto" w:sz="4" w:space="0"/>
              <w:left w:val="single" w:color="auto" w:sz="4" w:space="0"/>
              <w:right w:val="single" w:color="auto" w:sz="4" w:space="0"/>
            </w:tcBorders>
            <w:vAlign w:val="center"/>
          </w:tcPr>
          <w:p>
            <w:pPr>
              <w:ind w:right="28"/>
              <w:rPr>
                <w:rFonts w:ascii="Trebuchet MS" w:hAnsi="Trebuchet MS" w:cs="Arial"/>
              </w:rPr>
            </w:pPr>
            <w:r>
              <w:rPr>
                <w:rFonts w:ascii="Trebuchet MS" w:hAnsi="Trebuchet MS" w:cs="Arial"/>
              </w:rPr>
              <w:t>Załącznik nr 3</w:t>
            </w:r>
          </w:p>
        </w:tc>
        <w:tc>
          <w:tcPr>
            <w:tcW w:w="1309" w:type="dxa"/>
            <w:tcBorders>
              <w:top w:val="single" w:color="auto" w:sz="4" w:space="0"/>
              <w:left w:val="single" w:color="auto" w:sz="4" w:space="0"/>
              <w:right w:val="single" w:color="auto" w:sz="4" w:space="0"/>
            </w:tcBorders>
            <w:shd w:val="clear" w:color="auto" w:fill="FFFFFF" w:themeFill="background1"/>
            <w:vAlign w:val="center"/>
          </w:tcPr>
          <w:p>
            <w:pPr>
              <w:ind w:right="28"/>
              <w:rPr>
                <w:rFonts w:ascii="Trebuchet MS" w:hAnsi="Trebuchet MS" w:cs="Arial"/>
              </w:rPr>
            </w:pPr>
          </w:p>
        </w:tc>
        <w:tc>
          <w:tcPr>
            <w:tcW w:w="5335" w:type="dxa"/>
            <w:tcBorders>
              <w:top w:val="single" w:color="auto" w:sz="4" w:space="0"/>
              <w:left w:val="single" w:color="auto" w:sz="4" w:space="0"/>
              <w:right w:val="single" w:color="auto" w:sz="4" w:space="0"/>
            </w:tcBorders>
          </w:tcPr>
          <w:p>
            <w:pPr>
              <w:ind w:right="28"/>
              <w:jc w:val="both"/>
              <w:rPr>
                <w:rFonts w:ascii="Trebuchet MS" w:hAnsi="Trebuchet MS" w:cs="Arial"/>
              </w:rPr>
            </w:pPr>
            <w:r>
              <w:rPr>
                <w:rFonts w:ascii="Trebuchet MS" w:hAnsi="Trebuchet MS" w:cs="Arial"/>
              </w:rPr>
              <w:t>Wzór oświadczenia podmiotu udostępniającego zasoby o braku podstaw wykluczenia oraz spełnianiu warunków udziału w postępowaniu, w zakresie w jakim Wykonawca powołuje się na jego zasoby</w:t>
            </w:r>
          </w:p>
          <w:p>
            <w:pPr>
              <w:ind w:right="28"/>
              <w:jc w:val="both"/>
              <w:rPr>
                <w:rFonts w:ascii="Trebuchet MS" w:hAnsi="Trebuchet M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tcBorders>
          </w:tcPr>
          <w:p>
            <w:pPr>
              <w:ind w:right="28"/>
              <w:jc w:val="center"/>
              <w:rPr>
                <w:rFonts w:ascii="Trebuchet MS" w:hAnsi="Trebuchet MS" w:cs="Arial"/>
              </w:rPr>
            </w:pPr>
            <w:r>
              <w:rPr>
                <w:rFonts w:ascii="Trebuchet MS" w:hAnsi="Trebuchet MS" w:cs="Arial"/>
              </w:rPr>
              <w:t>4.</w:t>
            </w:r>
          </w:p>
        </w:tc>
        <w:tc>
          <w:tcPr>
            <w:tcW w:w="2132" w:type="dxa"/>
            <w:tcBorders>
              <w:top w:val="single" w:color="auto" w:sz="4" w:space="0"/>
            </w:tcBorders>
          </w:tcPr>
          <w:p>
            <w:pPr>
              <w:ind w:right="28"/>
              <w:rPr>
                <w:rFonts w:ascii="Trebuchet MS" w:hAnsi="Trebuchet MS" w:cs="Arial"/>
              </w:rPr>
            </w:pPr>
            <w:r>
              <w:rPr>
                <w:rFonts w:ascii="Trebuchet MS" w:hAnsi="Trebuchet MS" w:cs="Arial"/>
              </w:rPr>
              <w:t>Załącznik nr 4</w:t>
            </w:r>
          </w:p>
        </w:tc>
        <w:tc>
          <w:tcPr>
            <w:tcW w:w="1309" w:type="dxa"/>
            <w:tcBorders>
              <w:top w:val="single" w:color="auto" w:sz="4" w:space="0"/>
            </w:tcBorders>
          </w:tcPr>
          <w:p>
            <w:pPr>
              <w:ind w:right="28"/>
              <w:rPr>
                <w:rFonts w:ascii="Trebuchet MS" w:hAnsi="Trebuchet MS" w:cs="Arial"/>
              </w:rPr>
            </w:pPr>
          </w:p>
        </w:tc>
        <w:tc>
          <w:tcPr>
            <w:tcW w:w="5335" w:type="dxa"/>
            <w:tcBorders>
              <w:top w:val="single" w:color="auto" w:sz="4" w:space="0"/>
            </w:tcBorders>
          </w:tcPr>
          <w:p>
            <w:pPr>
              <w:ind w:right="28"/>
              <w:jc w:val="both"/>
              <w:rPr>
                <w:rFonts w:ascii="Trebuchet MS" w:hAnsi="Trebuchet MS" w:cs="Arial"/>
              </w:rPr>
            </w:pPr>
            <w:r>
              <w:rPr>
                <w:rFonts w:ascii="Trebuchet MS" w:hAnsi="Trebuchet MS" w:cs="Arial"/>
              </w:rPr>
              <w:t>Opis przedmiotu zamówienia</w:t>
            </w:r>
          </w:p>
          <w:p>
            <w:pPr>
              <w:ind w:right="28"/>
              <w:jc w:val="both"/>
              <w:rPr>
                <w:rFonts w:ascii="Trebuchet MS" w:hAnsi="Trebuchet M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28" w:type="dxa"/>
          </w:tcPr>
          <w:p>
            <w:pPr>
              <w:ind w:right="28"/>
              <w:jc w:val="center"/>
              <w:rPr>
                <w:rFonts w:ascii="Trebuchet MS" w:hAnsi="Trebuchet MS" w:cs="Arial"/>
              </w:rPr>
            </w:pPr>
            <w:r>
              <w:rPr>
                <w:rFonts w:ascii="Trebuchet MS" w:hAnsi="Trebuchet MS" w:cs="Arial"/>
              </w:rPr>
              <w:t>5.</w:t>
            </w:r>
          </w:p>
        </w:tc>
        <w:tc>
          <w:tcPr>
            <w:tcW w:w="2132" w:type="dxa"/>
          </w:tcPr>
          <w:p>
            <w:pPr>
              <w:ind w:right="28"/>
              <w:rPr>
                <w:rFonts w:ascii="Trebuchet MS" w:hAnsi="Trebuchet MS" w:cs="Arial"/>
                <w:highlight w:val="yellow"/>
              </w:rPr>
            </w:pPr>
            <w:r>
              <w:rPr>
                <w:rFonts w:ascii="Trebuchet MS" w:hAnsi="Trebuchet MS" w:cs="Arial"/>
              </w:rPr>
              <w:t>Załącznik nr 5</w:t>
            </w:r>
          </w:p>
        </w:tc>
        <w:tc>
          <w:tcPr>
            <w:tcW w:w="1309" w:type="dxa"/>
          </w:tcPr>
          <w:p>
            <w:pPr>
              <w:ind w:right="28"/>
              <w:rPr>
                <w:rFonts w:ascii="Trebuchet MS" w:hAnsi="Trebuchet MS" w:cs="Arial"/>
                <w:highlight w:val="yellow"/>
              </w:rPr>
            </w:pPr>
          </w:p>
        </w:tc>
        <w:tc>
          <w:tcPr>
            <w:tcW w:w="5335" w:type="dxa"/>
          </w:tcPr>
          <w:p>
            <w:pPr>
              <w:ind w:right="28"/>
              <w:jc w:val="both"/>
              <w:rPr>
                <w:rFonts w:ascii="Trebuchet MS" w:hAnsi="Trebuchet MS" w:cs="Arial"/>
              </w:rPr>
            </w:pPr>
            <w:r>
              <w:rPr>
                <w:rFonts w:ascii="Trebuchet MS" w:hAnsi="Trebuchet MS" w:cs="Arial"/>
              </w:rPr>
              <w:t>Projektowane postanowienia umowy, które zostaną wprowadzone do treści umowy w sprawie zamówienia</w:t>
            </w:r>
          </w:p>
          <w:p>
            <w:pPr>
              <w:ind w:right="28"/>
              <w:jc w:val="both"/>
              <w:rPr>
                <w:rFonts w:ascii="Trebuchet MS" w:hAnsi="Trebuchet MS" w:cs="Arial"/>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28" w:type="dxa"/>
          </w:tcPr>
          <w:p>
            <w:pPr>
              <w:ind w:right="28"/>
              <w:jc w:val="center"/>
              <w:rPr>
                <w:rFonts w:ascii="Trebuchet MS" w:hAnsi="Trebuchet MS" w:cs="Arial"/>
              </w:rPr>
            </w:pPr>
            <w:r>
              <w:rPr>
                <w:rFonts w:ascii="Trebuchet MS" w:hAnsi="Trebuchet MS" w:cs="Arial"/>
              </w:rPr>
              <w:t>6.</w:t>
            </w:r>
          </w:p>
        </w:tc>
        <w:tc>
          <w:tcPr>
            <w:tcW w:w="2132" w:type="dxa"/>
          </w:tcPr>
          <w:p>
            <w:pPr>
              <w:ind w:right="28"/>
              <w:rPr>
                <w:rFonts w:ascii="Trebuchet MS" w:hAnsi="Trebuchet MS" w:cs="Arial"/>
              </w:rPr>
            </w:pPr>
            <w:r>
              <w:rPr>
                <w:rFonts w:ascii="Trebuchet MS" w:hAnsi="Trebuchet MS" w:cs="Arial"/>
              </w:rPr>
              <w:t>Załącznik nr 6</w:t>
            </w:r>
          </w:p>
        </w:tc>
        <w:tc>
          <w:tcPr>
            <w:tcW w:w="1309" w:type="dxa"/>
          </w:tcPr>
          <w:p>
            <w:pPr>
              <w:ind w:right="28"/>
              <w:rPr>
                <w:rFonts w:ascii="Trebuchet MS" w:hAnsi="Trebuchet MS" w:cs="Arial"/>
              </w:rPr>
            </w:pPr>
          </w:p>
        </w:tc>
        <w:tc>
          <w:tcPr>
            <w:tcW w:w="5335" w:type="dxa"/>
          </w:tcPr>
          <w:p>
            <w:pPr>
              <w:ind w:right="28"/>
              <w:jc w:val="both"/>
              <w:rPr>
                <w:rFonts w:ascii="Trebuchet MS" w:hAnsi="Trebuchet MS" w:cs="Arial"/>
              </w:rPr>
            </w:pPr>
            <w:r>
              <w:rPr>
                <w:rFonts w:ascii="Trebuchet MS" w:hAnsi="Trebuchet MS" w:cs="Arial"/>
              </w:rPr>
              <w:t>Przedmiary robót</w:t>
            </w:r>
          </w:p>
          <w:p>
            <w:pPr>
              <w:ind w:right="28"/>
              <w:jc w:val="both"/>
              <w:rPr>
                <w:rFonts w:ascii="Trebuchet MS" w:hAnsi="Trebuchet M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28" w:type="dxa"/>
          </w:tcPr>
          <w:p>
            <w:pPr>
              <w:ind w:right="28"/>
              <w:jc w:val="center"/>
              <w:rPr>
                <w:rFonts w:ascii="Trebuchet MS" w:hAnsi="Trebuchet MS" w:cs="Arial"/>
              </w:rPr>
            </w:pPr>
            <w:r>
              <w:rPr>
                <w:rFonts w:ascii="Trebuchet MS" w:hAnsi="Trebuchet MS" w:cs="Arial"/>
              </w:rPr>
              <w:t>7.</w:t>
            </w:r>
          </w:p>
        </w:tc>
        <w:tc>
          <w:tcPr>
            <w:tcW w:w="2132" w:type="dxa"/>
          </w:tcPr>
          <w:p>
            <w:pPr>
              <w:ind w:right="28"/>
              <w:rPr>
                <w:rFonts w:ascii="Trebuchet MS" w:hAnsi="Trebuchet MS" w:cs="Arial"/>
              </w:rPr>
            </w:pPr>
            <w:r>
              <w:rPr>
                <w:rFonts w:ascii="Trebuchet MS" w:hAnsi="Trebuchet MS" w:cs="Arial"/>
              </w:rPr>
              <w:t>Załącznik nr 7</w:t>
            </w:r>
          </w:p>
        </w:tc>
        <w:tc>
          <w:tcPr>
            <w:tcW w:w="1309" w:type="dxa"/>
          </w:tcPr>
          <w:p>
            <w:pPr>
              <w:ind w:right="28"/>
              <w:rPr>
                <w:rFonts w:ascii="Trebuchet MS" w:hAnsi="Trebuchet MS" w:cs="Arial"/>
              </w:rPr>
            </w:pPr>
          </w:p>
        </w:tc>
        <w:tc>
          <w:tcPr>
            <w:tcW w:w="5335" w:type="dxa"/>
          </w:tcPr>
          <w:p>
            <w:pPr>
              <w:ind w:right="28"/>
              <w:jc w:val="both"/>
              <w:rPr>
                <w:rFonts w:ascii="Trebuchet MS" w:hAnsi="Trebuchet MS" w:cs="Arial"/>
              </w:rPr>
            </w:pPr>
            <w:r>
              <w:rPr>
                <w:rFonts w:ascii="Trebuchet MS" w:hAnsi="Trebuchet MS" w:cs="Arial"/>
              </w:rPr>
              <w:t>Specyfikacja techniczna wykonania i odbioru robót (dla wszystkich Części)</w:t>
            </w:r>
          </w:p>
        </w:tc>
      </w:tr>
    </w:tbl>
    <w:p>
      <w:pPr>
        <w:ind w:right="28"/>
        <w:rPr>
          <w:rFonts w:ascii="Trebuchet MS" w:hAnsi="Trebuchet MS" w:cs="Arial"/>
          <w:b/>
        </w:rPr>
      </w:pPr>
    </w:p>
    <w:p>
      <w:pPr>
        <w:ind w:left="4956" w:right="28" w:firstLine="708"/>
        <w:rPr>
          <w:rFonts w:ascii="Trebuchet MS" w:hAnsi="Trebuchet MS" w:cs="Arial"/>
          <w:b/>
        </w:rPr>
      </w:pPr>
    </w:p>
    <w:p>
      <w:pPr>
        <w:ind w:left="4956" w:right="28" w:firstLine="708"/>
        <w:rPr>
          <w:rFonts w:ascii="Trebuchet MS" w:hAnsi="Trebuchet MS" w:cs="Arial"/>
          <w:b/>
        </w:rPr>
      </w:pPr>
    </w:p>
    <w:p>
      <w:pPr>
        <w:spacing w:line="360" w:lineRule="auto"/>
        <w:ind w:left="4956" w:right="28" w:firstLine="708"/>
        <w:rPr>
          <w:rFonts w:ascii="Trebuchet MS" w:hAnsi="Trebuchet MS" w:cs="Arial"/>
          <w:highlight w:val="none"/>
        </w:rPr>
      </w:pPr>
      <w:r>
        <w:rPr>
          <w:rFonts w:ascii="Trebuchet MS" w:hAnsi="Trebuchet MS" w:cs="Arial"/>
          <w:highlight w:val="none"/>
        </w:rPr>
        <w:t xml:space="preserve">Wolbrom, dnia </w:t>
      </w:r>
      <w:r>
        <w:rPr>
          <w:rFonts w:hint="default" w:ascii="Trebuchet MS" w:hAnsi="Trebuchet MS" w:cs="Arial"/>
          <w:highlight w:val="none"/>
          <w:lang w:val="pl-PL"/>
        </w:rPr>
        <w:t>19</w:t>
      </w:r>
      <w:r>
        <w:rPr>
          <w:rFonts w:ascii="Trebuchet MS" w:hAnsi="Trebuchet MS" w:cs="Arial"/>
          <w:highlight w:val="none"/>
        </w:rPr>
        <w:t>.</w:t>
      </w:r>
      <w:r>
        <w:rPr>
          <w:rFonts w:ascii="Trebuchet MS" w:hAnsi="Trebuchet MS" w:cs="Arial"/>
          <w:highlight w:val="none"/>
        </w:rPr>
        <w:t>09.202</w:t>
      </w:r>
      <w:r>
        <w:rPr>
          <w:rFonts w:hint="default" w:ascii="Trebuchet MS" w:hAnsi="Trebuchet MS" w:cs="Arial"/>
          <w:highlight w:val="none"/>
          <w:lang w:val="pl-PL"/>
        </w:rPr>
        <w:t>3</w:t>
      </w:r>
      <w:r>
        <w:rPr>
          <w:rFonts w:ascii="Trebuchet MS" w:hAnsi="Trebuchet MS" w:cs="Arial"/>
          <w:highlight w:val="none"/>
        </w:rPr>
        <w:t>r.</w:t>
      </w:r>
    </w:p>
    <w:p>
      <w:pPr>
        <w:spacing w:line="360" w:lineRule="auto"/>
        <w:ind w:left="5664" w:right="28"/>
        <w:rPr>
          <w:rFonts w:ascii="Trebuchet MS" w:hAnsi="Trebuchet MS" w:cs="Arial"/>
          <w:b/>
        </w:rPr>
      </w:pPr>
      <w:r>
        <w:rPr>
          <w:rFonts w:ascii="Trebuchet MS" w:hAnsi="Trebuchet MS" w:cs="Arial"/>
          <w:b/>
          <w:color w:val="FF0000"/>
        </w:rPr>
        <w:br w:type="textWrapping"/>
      </w:r>
      <w:r>
        <w:rPr>
          <w:rFonts w:ascii="Trebuchet MS" w:hAnsi="Trebuchet MS" w:cs="Arial"/>
          <w:b/>
        </w:rPr>
        <w:t>Zatwierdzona przez:</w:t>
      </w:r>
    </w:p>
    <w:p>
      <w:pPr>
        <w:spacing w:line="360" w:lineRule="auto"/>
        <w:ind w:left="5664" w:right="28"/>
        <w:rPr>
          <w:rFonts w:ascii="Trebuchet MS" w:hAnsi="Trebuchet MS" w:cs="Arial"/>
        </w:rPr>
      </w:pPr>
      <w:r>
        <w:rPr>
          <w:rFonts w:ascii="Trebuchet MS" w:hAnsi="Trebuchet MS" w:cs="Arial"/>
          <w:b/>
          <w:bCs/>
          <w:i/>
          <w:iCs/>
        </w:rPr>
        <w:t xml:space="preserve">BURMISTRZ </w:t>
      </w:r>
      <w:r>
        <w:rPr>
          <w:rFonts w:ascii="Trebuchet MS" w:hAnsi="Trebuchet MS" w:cs="Arial"/>
          <w:b/>
          <w:bCs/>
          <w:i/>
          <w:iCs/>
        </w:rPr>
        <w:br w:type="textWrapping"/>
      </w:r>
      <w:r>
        <w:rPr>
          <w:rFonts w:ascii="Trebuchet MS" w:hAnsi="Trebuchet MS" w:cs="Arial"/>
          <w:b/>
          <w:bCs/>
          <w:i/>
          <w:iCs/>
        </w:rPr>
        <w:t>MIASTA I GMINY WOLBROM</w:t>
      </w:r>
      <w:r>
        <w:rPr>
          <w:rFonts w:ascii="Trebuchet MS" w:hAnsi="Trebuchet MS" w:cs="Arial"/>
          <w:b/>
          <w:bCs/>
          <w:i/>
          <w:iCs/>
        </w:rPr>
        <w:br w:type="textWrapping"/>
      </w:r>
      <w:r>
        <w:rPr>
          <w:rFonts w:ascii="Trebuchet MS" w:hAnsi="Trebuchet MS" w:cs="Arial"/>
          <w:b/>
          <w:bCs/>
          <w:i/>
          <w:iCs/>
        </w:rPr>
        <w:t>Adam Zielnik</w:t>
      </w:r>
    </w:p>
    <w:p>
      <w:pPr>
        <w:spacing w:line="360" w:lineRule="auto"/>
        <w:ind w:left="5664" w:right="28"/>
        <w:jc w:val="both"/>
        <w:rPr>
          <w:rFonts w:ascii="Trebuchet MS" w:hAnsi="Trebuchet MS" w:cs="Arial"/>
          <w:i/>
          <w:sz w:val="16"/>
          <w:szCs w:val="16"/>
        </w:rPr>
      </w:pPr>
      <w:r>
        <w:rPr>
          <w:rFonts w:ascii="Trebuchet MS" w:hAnsi="Trebuchet MS" w:cs="Arial"/>
          <w:i/>
          <w:sz w:val="16"/>
          <w:szCs w:val="16"/>
        </w:rPr>
        <w:br w:type="textWrapping"/>
      </w:r>
      <w:r>
        <w:rPr>
          <w:rFonts w:ascii="Trebuchet MS" w:hAnsi="Trebuchet MS" w:cs="Arial"/>
          <w:i/>
          <w:sz w:val="16"/>
          <w:szCs w:val="16"/>
        </w:rPr>
        <w:t>(podpis Kierownika Zamawiającego</w:t>
      </w:r>
    </w:p>
    <w:p>
      <w:pPr>
        <w:spacing w:line="360" w:lineRule="auto"/>
        <w:ind w:left="4956" w:right="28" w:firstLine="708"/>
        <w:jc w:val="both"/>
        <w:rPr>
          <w:rFonts w:ascii="Trebuchet MS" w:hAnsi="Trebuchet MS" w:cs="Arial"/>
          <w:i/>
          <w:sz w:val="16"/>
          <w:szCs w:val="16"/>
        </w:rPr>
      </w:pPr>
      <w:r>
        <w:rPr>
          <w:rFonts w:ascii="Trebuchet MS" w:hAnsi="Trebuchet MS" w:cs="Arial"/>
          <w:i/>
          <w:sz w:val="16"/>
          <w:szCs w:val="16"/>
        </w:rPr>
        <w:t>lub osoby upoważnionej)</w:t>
      </w:r>
    </w:p>
    <w:p>
      <w:pPr>
        <w:spacing w:line="360" w:lineRule="auto"/>
        <w:rPr>
          <w:rFonts w:ascii="Trebuchet MS" w:hAnsi="Trebuchet MS" w:cs="Arial"/>
          <w:sz w:val="16"/>
          <w:szCs w:val="16"/>
        </w:rPr>
      </w:pPr>
      <w:r>
        <w:rPr>
          <w:rFonts w:ascii="Trebuchet MS" w:hAnsi="Trebuchet MS" w:cs="Arial"/>
          <w:sz w:val="16"/>
          <w:szCs w:val="16"/>
        </w:rPr>
        <w:br w:type="page"/>
      </w:r>
    </w:p>
    <w:p>
      <w:pPr>
        <w:spacing w:line="360" w:lineRule="auto"/>
        <w:ind w:right="28"/>
        <w:jc w:val="center"/>
        <w:rPr>
          <w:rFonts w:ascii="Trebuchet MS" w:hAnsi="Trebuchet MS" w:cs="Arial"/>
          <w:b/>
        </w:rPr>
      </w:pPr>
      <w:r>
        <w:rPr>
          <w:rFonts w:ascii="Trebuchet MS" w:hAnsi="Trebuchet MS" w:cs="Arial"/>
          <w:b/>
        </w:rPr>
        <w:t>POSTANOWIENIA</w:t>
      </w:r>
    </w:p>
    <w:p>
      <w:pPr>
        <w:spacing w:line="360" w:lineRule="auto"/>
        <w:ind w:right="28"/>
        <w:jc w:val="center"/>
        <w:rPr>
          <w:rFonts w:ascii="Trebuchet MS" w:hAnsi="Trebuchet MS" w:cs="Arial"/>
          <w:b/>
        </w:rPr>
      </w:pPr>
      <w:r>
        <w:rPr>
          <w:rFonts w:ascii="Trebuchet MS" w:hAnsi="Trebuchet MS" w:cs="Arial"/>
          <w:b/>
        </w:rPr>
        <w:t>SPECYFIKACJI WARUNKÓW ZAMÓWIENIA</w:t>
      </w:r>
    </w:p>
    <w:p>
      <w:pPr>
        <w:spacing w:line="360" w:lineRule="auto"/>
        <w:ind w:right="28"/>
        <w:jc w:val="center"/>
        <w:rPr>
          <w:rFonts w:ascii="Trebuchet MS" w:hAnsi="Trebuchet MS" w:cs="Arial"/>
          <w:b/>
        </w:rPr>
      </w:pPr>
      <w:r>
        <w:rPr>
          <w:rFonts w:ascii="Trebuchet MS" w:hAnsi="Trebuchet MS" w:cs="Arial"/>
          <w:b/>
        </w:rPr>
        <w:t>(SWZ)</w:t>
      </w:r>
    </w:p>
    <w:p>
      <w:pPr>
        <w:spacing w:line="360" w:lineRule="auto"/>
        <w:ind w:right="28"/>
        <w:jc w:val="both"/>
        <w:rPr>
          <w:rFonts w:ascii="Trebuchet MS" w:hAnsi="Trebuchet MS" w:cs="Arial"/>
        </w:rPr>
      </w:pPr>
    </w:p>
    <w:p>
      <w:pPr>
        <w:pStyle w:val="40"/>
        <w:numPr>
          <w:ilvl w:val="0"/>
          <w:numId w:val="10"/>
        </w:numPr>
        <w:tabs>
          <w:tab w:val="left" w:pos="1701"/>
        </w:tabs>
        <w:spacing w:line="360" w:lineRule="auto"/>
        <w:ind w:right="28"/>
        <w:jc w:val="both"/>
        <w:rPr>
          <w:rFonts w:ascii="Trebuchet MS" w:hAnsi="Trebuchet MS" w:cs="Arial"/>
          <w:b/>
          <w:u w:val="single"/>
        </w:rPr>
      </w:pPr>
      <w:r>
        <w:rPr>
          <w:rFonts w:ascii="Trebuchet MS" w:hAnsi="Trebuchet MS" w:cs="Arial"/>
          <w:b/>
          <w:sz w:val="22"/>
          <w:szCs w:val="22"/>
          <w:u w:val="single"/>
        </w:rPr>
        <w:t>ZAMAWIAJĄCY (NAZWA I ADRES ORAZ INNE DANE TELE-INFORMATYCZNE)</w:t>
      </w:r>
    </w:p>
    <w:p>
      <w:pPr>
        <w:tabs>
          <w:tab w:val="left" w:pos="567"/>
        </w:tabs>
        <w:spacing w:line="360" w:lineRule="auto"/>
        <w:ind w:right="28"/>
        <w:jc w:val="both"/>
        <w:rPr>
          <w:rFonts w:ascii="Trebuchet MS" w:hAnsi="Trebuchet MS" w:cs="Arial"/>
          <w:b/>
          <w:sz w:val="18"/>
        </w:rPr>
      </w:pPr>
    </w:p>
    <w:p>
      <w:pPr>
        <w:spacing w:line="200" w:lineRule="atLeast"/>
        <w:rPr>
          <w:rFonts w:ascii="Trebuchet MS" w:hAnsi="Trebuchet MS"/>
        </w:rPr>
      </w:pPr>
      <w:r>
        <w:rPr>
          <w:rFonts w:ascii="Trebuchet MS" w:hAnsi="Trebuchet MS"/>
        </w:rPr>
        <w:t xml:space="preserve">Nazwa:   </w:t>
      </w:r>
      <w:r>
        <w:rPr>
          <w:rFonts w:ascii="Trebuchet MS" w:hAnsi="Trebuchet MS"/>
          <w:b/>
          <w:bCs/>
        </w:rPr>
        <w:t>Gmina Wolbrom</w:t>
      </w:r>
    </w:p>
    <w:p>
      <w:pPr>
        <w:spacing w:line="200" w:lineRule="atLeast"/>
        <w:rPr>
          <w:rFonts w:ascii="Trebuchet MS" w:hAnsi="Trebuchet MS"/>
        </w:rPr>
      </w:pPr>
      <w:r>
        <w:rPr>
          <w:rFonts w:ascii="Trebuchet MS" w:hAnsi="Trebuchet MS"/>
        </w:rPr>
        <w:t xml:space="preserve">Adres:    </w:t>
      </w:r>
      <w:r>
        <w:rPr>
          <w:rFonts w:ascii="Trebuchet MS" w:hAnsi="Trebuchet MS"/>
          <w:b/>
          <w:bCs/>
        </w:rPr>
        <w:t xml:space="preserve"> ul. Krakowska 1, 32 – 340 Wolbrom</w:t>
      </w:r>
    </w:p>
    <w:p>
      <w:pPr>
        <w:spacing w:line="200" w:lineRule="atLeast"/>
        <w:rPr>
          <w:rFonts w:ascii="Trebuchet MS" w:hAnsi="Trebuchet MS"/>
        </w:rPr>
      </w:pPr>
      <w:r>
        <w:rPr>
          <w:rFonts w:ascii="Trebuchet MS" w:hAnsi="Trebuchet MS"/>
        </w:rPr>
        <w:t xml:space="preserve">Telefon:  </w:t>
      </w:r>
      <w:r>
        <w:rPr>
          <w:rFonts w:ascii="Trebuchet MS" w:hAnsi="Trebuchet MS"/>
          <w:b/>
          <w:bCs/>
        </w:rPr>
        <w:t>+48/32 6442304, 6442320</w:t>
      </w:r>
    </w:p>
    <w:p>
      <w:pPr>
        <w:spacing w:line="200" w:lineRule="atLeast"/>
        <w:rPr>
          <w:rFonts w:ascii="Trebuchet MS" w:hAnsi="Trebuchet MS"/>
        </w:rPr>
      </w:pPr>
      <w:r>
        <w:rPr>
          <w:rFonts w:ascii="Trebuchet MS" w:hAnsi="Trebuchet MS"/>
        </w:rPr>
        <w:t xml:space="preserve">Faks:       </w:t>
      </w:r>
      <w:r>
        <w:rPr>
          <w:rFonts w:ascii="Trebuchet MS" w:hAnsi="Trebuchet MS"/>
          <w:b/>
          <w:bCs/>
        </w:rPr>
        <w:t>+48/32 6442288, +48/32 7065359</w:t>
      </w:r>
    </w:p>
    <w:p>
      <w:pPr>
        <w:spacing w:line="200" w:lineRule="atLeast"/>
        <w:rPr>
          <w:rFonts w:ascii="Trebuchet MS" w:hAnsi="Trebuchet MS"/>
        </w:rPr>
      </w:pPr>
      <w:r>
        <w:rPr>
          <w:rFonts w:ascii="Trebuchet MS" w:hAnsi="Trebuchet MS"/>
        </w:rPr>
        <w:t xml:space="preserve">E-mail: </w:t>
      </w:r>
    </w:p>
    <w:p>
      <w:pPr>
        <w:spacing w:line="200" w:lineRule="atLeast"/>
        <w:ind w:left="1416" w:firstLine="708"/>
        <w:rPr>
          <w:rStyle w:val="31"/>
        </w:rPr>
      </w:pPr>
      <w:r>
        <w:fldChar w:fldCharType="begin"/>
      </w:r>
      <w:r>
        <w:instrText xml:space="preserve"> HYPERLINK "mailto:info@umigwolbrom.pl" </w:instrText>
      </w:r>
      <w:r>
        <w:fldChar w:fldCharType="separate"/>
      </w:r>
      <w:r>
        <w:rPr>
          <w:rStyle w:val="31"/>
          <w:rFonts w:ascii="Trebuchet MS" w:hAnsi="Trebuchet MS"/>
        </w:rPr>
        <w:t>info@umigwolbrom.pl</w:t>
      </w:r>
      <w:r>
        <w:rPr>
          <w:rStyle w:val="31"/>
          <w:rFonts w:ascii="Trebuchet MS" w:hAnsi="Trebuchet MS"/>
        </w:rPr>
        <w:fldChar w:fldCharType="end"/>
      </w:r>
    </w:p>
    <w:p>
      <w:pPr>
        <w:tabs>
          <w:tab w:val="left" w:pos="1418"/>
        </w:tabs>
        <w:spacing w:line="200" w:lineRule="atLeast"/>
        <w:ind w:left="1416" w:firstLine="708"/>
        <w:rPr>
          <w:b/>
          <w:bCs/>
        </w:rPr>
      </w:pPr>
      <w:r>
        <w:fldChar w:fldCharType="begin"/>
      </w:r>
      <w:r>
        <w:instrText xml:space="preserve"> HYPERLINK "mailto:zamowienia@umigwolbrom.pl" </w:instrText>
      </w:r>
      <w:r>
        <w:fldChar w:fldCharType="separate"/>
      </w:r>
      <w:r>
        <w:rPr>
          <w:rStyle w:val="31"/>
          <w:rFonts w:ascii="Trebuchet MS" w:hAnsi="Trebuchet MS"/>
        </w:rPr>
        <w:t>zamowienia@umigwolbrom.pl</w:t>
      </w:r>
      <w:r>
        <w:rPr>
          <w:rStyle w:val="31"/>
          <w:rFonts w:ascii="Trebuchet MS" w:hAnsi="Trebuchet MS"/>
        </w:rPr>
        <w:fldChar w:fldCharType="end"/>
      </w:r>
      <w:r>
        <w:rPr>
          <w:rStyle w:val="31"/>
          <w:rFonts w:ascii="Trebuchet MS" w:hAnsi="Trebuchet MS"/>
        </w:rPr>
        <w:t xml:space="preserve"> </w:t>
      </w:r>
      <w:r>
        <w:rPr>
          <w:rStyle w:val="31"/>
          <w:rFonts w:ascii="Trebuchet MS" w:hAnsi="Trebuchet MS"/>
          <w:b/>
          <w:bCs/>
        </w:rPr>
        <w:t>(zamówienia publiczne)</w:t>
      </w:r>
    </w:p>
    <w:p>
      <w:pPr>
        <w:spacing w:line="200" w:lineRule="atLeast"/>
        <w:rPr>
          <w:rFonts w:ascii="Trebuchet MS" w:hAnsi="Trebuchet MS"/>
        </w:rPr>
      </w:pPr>
      <w:r>
        <w:rPr>
          <w:rFonts w:ascii="Trebuchet MS" w:hAnsi="Trebuchet MS"/>
        </w:rPr>
        <w:t xml:space="preserve">Strona internetowa: </w:t>
      </w:r>
    </w:p>
    <w:p>
      <w:pPr>
        <w:spacing w:line="200" w:lineRule="atLeast"/>
        <w:ind w:left="1416" w:firstLine="708"/>
        <w:rPr>
          <w:rStyle w:val="31"/>
        </w:rPr>
      </w:pPr>
      <w:r>
        <w:fldChar w:fldCharType="begin"/>
      </w:r>
      <w:r>
        <w:instrText xml:space="preserve"> HYPERLINK "http://www.wolbrom.pl" </w:instrText>
      </w:r>
      <w:r>
        <w:fldChar w:fldCharType="separate"/>
      </w:r>
      <w:r>
        <w:rPr>
          <w:rStyle w:val="31"/>
          <w:rFonts w:ascii="Trebuchet MS" w:hAnsi="Trebuchet MS"/>
        </w:rPr>
        <w:t>www.wolbrom.pl</w:t>
      </w:r>
      <w:r>
        <w:rPr>
          <w:rStyle w:val="31"/>
          <w:rFonts w:ascii="Trebuchet MS" w:hAnsi="Trebuchet MS"/>
        </w:rPr>
        <w:fldChar w:fldCharType="end"/>
      </w:r>
      <w:r>
        <w:rPr>
          <w:rStyle w:val="31"/>
          <w:rFonts w:ascii="Trebuchet MS" w:hAnsi="Trebuchet MS"/>
          <w:b/>
          <w:bCs/>
        </w:rPr>
        <w:t xml:space="preserve"> (strona główna),</w:t>
      </w:r>
    </w:p>
    <w:p>
      <w:pPr>
        <w:spacing w:line="288" w:lineRule="auto"/>
        <w:ind w:left="2123" w:right="28"/>
        <w:jc w:val="both"/>
        <w:rPr>
          <w:rFonts w:cs="Arial"/>
        </w:rPr>
      </w:pPr>
      <w:r>
        <w:rPr>
          <w:rFonts w:ascii="Trebuchet MS" w:hAnsi="Trebuchet MS" w:cs="Arial"/>
        </w:rPr>
        <w:t>strona internetowa prowadzonego postępowania oraz na której będą zamieszczane zmiany i wyjaśnienia treści SWZ oraz inne dokumenty zamówienia bezpośrednio związane z postępowaniem</w:t>
      </w:r>
      <w:r>
        <w:rPr>
          <w:rFonts w:ascii="Trebuchet MS" w:hAnsi="Trebuchet MS" w:cs="Arial"/>
          <w:b/>
          <w:bCs/>
        </w:rPr>
        <w:t xml:space="preserve"> (bezpośredni link do postępowania): </w:t>
      </w:r>
    </w:p>
    <w:p>
      <w:pPr>
        <w:spacing w:line="288" w:lineRule="auto"/>
        <w:ind w:left="1415" w:right="28" w:firstLine="708"/>
        <w:jc w:val="both"/>
        <w:rPr>
          <w:rStyle w:val="31"/>
          <w:rFonts w:hint="default"/>
          <w:highlight w:val="none"/>
          <w:lang w:val="pl-PL"/>
        </w:rPr>
      </w:pPr>
      <w:bookmarkStart w:id="1" w:name="_Hlk99097253"/>
      <w:r>
        <w:rPr>
          <w:rStyle w:val="31"/>
          <w:rFonts w:hint="default" w:ascii="Trebuchet MS" w:hAnsi="Trebuchet MS"/>
          <w:highlight w:val="none"/>
        </w:rPr>
        <w:fldChar w:fldCharType="begin"/>
      </w:r>
      <w:r>
        <w:rPr>
          <w:rStyle w:val="31"/>
          <w:rFonts w:hint="default" w:ascii="Trebuchet MS" w:hAnsi="Trebuchet MS"/>
          <w:highlight w:val="none"/>
        </w:rPr>
        <w:instrText xml:space="preserve"> HYPERLINK "https://platformazakupowa.pl/transakcja/819296" </w:instrText>
      </w:r>
      <w:r>
        <w:rPr>
          <w:rStyle w:val="31"/>
          <w:rFonts w:hint="default" w:ascii="Trebuchet MS" w:hAnsi="Trebuchet MS"/>
          <w:highlight w:val="none"/>
        </w:rPr>
        <w:fldChar w:fldCharType="separate"/>
      </w:r>
      <w:r>
        <w:rPr>
          <w:rStyle w:val="31"/>
          <w:rFonts w:hint="default" w:ascii="Trebuchet MS" w:hAnsi="Trebuchet MS"/>
          <w:highlight w:val="none"/>
        </w:rPr>
        <w:t>https://platformazakupowa.pl/transakcja/819296</w:t>
      </w:r>
      <w:r>
        <w:rPr>
          <w:rStyle w:val="31"/>
          <w:rFonts w:hint="default" w:ascii="Trebuchet MS" w:hAnsi="Trebuchet MS"/>
          <w:highlight w:val="none"/>
        </w:rPr>
        <w:fldChar w:fldCharType="end"/>
      </w:r>
      <w:r>
        <w:rPr>
          <w:rStyle w:val="31"/>
          <w:rFonts w:hint="default" w:ascii="Trebuchet MS" w:hAnsi="Trebuchet MS"/>
          <w:highlight w:val="none"/>
          <w:lang w:val="pl-PL"/>
        </w:rPr>
        <w:t xml:space="preserve"> </w:t>
      </w:r>
    </w:p>
    <w:bookmarkEnd w:id="1"/>
    <w:p>
      <w:pPr>
        <w:spacing w:line="200" w:lineRule="atLeast"/>
        <w:ind w:left="1416" w:firstLine="708"/>
        <w:rPr>
          <w:sz w:val="26"/>
        </w:rPr>
      </w:pPr>
    </w:p>
    <w:p>
      <w:pPr>
        <w:spacing w:line="288" w:lineRule="auto"/>
        <w:ind w:right="28"/>
        <w:jc w:val="both"/>
        <w:rPr>
          <w:rFonts w:ascii="Trebuchet MS" w:hAnsi="Trebuchet MS" w:cs="Arial"/>
        </w:rPr>
      </w:pPr>
      <w:r>
        <w:rPr>
          <w:rFonts w:ascii="Trebuchet MS" w:hAnsi="Trebuchet MS" w:cs="Arial"/>
        </w:rPr>
        <w:t xml:space="preserve">Ponadto Zamawiający informuje, iż na stronie internetowej Biuletynu Informacji Publicznej Urzędu Miasta i Gminy Wolbrom tj. </w:t>
      </w:r>
      <w:r>
        <w:fldChar w:fldCharType="begin"/>
      </w:r>
      <w:r>
        <w:instrText xml:space="preserve"> HYPERLINK "https://bip.malopolska.pl/umigwolbrom" </w:instrText>
      </w:r>
      <w:r>
        <w:fldChar w:fldCharType="separate"/>
      </w:r>
      <w:r>
        <w:rPr>
          <w:rStyle w:val="31"/>
          <w:rFonts w:ascii="Trebuchet MS" w:hAnsi="Trebuchet MS" w:cs="Arial"/>
        </w:rPr>
        <w:t>https://bip.malopolska.pl/umigwolbrom</w:t>
      </w:r>
      <w:r>
        <w:rPr>
          <w:rStyle w:val="31"/>
          <w:rFonts w:ascii="Trebuchet MS" w:hAnsi="Trebuchet MS" w:cs="Arial"/>
        </w:rPr>
        <w:fldChar w:fldCharType="end"/>
      </w:r>
      <w:r>
        <w:rPr>
          <w:rFonts w:ascii="Trebuchet MS" w:hAnsi="Trebuchet MS" w:cs="Arial"/>
          <w:color w:val="0000FF"/>
        </w:rPr>
        <w:t xml:space="preserve"> </w:t>
      </w:r>
      <w:r>
        <w:rPr>
          <w:rFonts w:ascii="Trebuchet MS" w:hAnsi="Trebuchet MS" w:cs="Arial"/>
        </w:rPr>
        <w:t>w zakładce Zamówienia publiczne i ogłoszenia / 202</w:t>
      </w:r>
      <w:r>
        <w:rPr>
          <w:rFonts w:hint="default" w:ascii="Trebuchet MS" w:hAnsi="Trebuchet MS" w:cs="Arial"/>
          <w:lang w:val="pl-PL"/>
        </w:rPr>
        <w:t>3</w:t>
      </w:r>
      <w:r>
        <w:rPr>
          <w:rFonts w:ascii="Trebuchet MS" w:hAnsi="Trebuchet MS" w:cs="Arial"/>
        </w:rPr>
        <w:t xml:space="preserve"> rok -  znajduje się przekierowanie do Platformy przetargowej Zamawiającego.</w:t>
      </w:r>
    </w:p>
    <w:p>
      <w:pPr>
        <w:spacing w:line="360" w:lineRule="auto"/>
        <w:ind w:right="28"/>
        <w:jc w:val="both"/>
        <w:rPr>
          <w:rFonts w:ascii="Trebuchet MS" w:hAnsi="Trebuchet MS" w:cs="Arial"/>
        </w:rPr>
      </w:pPr>
    </w:p>
    <w:p>
      <w:pPr>
        <w:pStyle w:val="40"/>
        <w:numPr>
          <w:ilvl w:val="0"/>
          <w:numId w:val="10"/>
        </w:numPr>
        <w:tabs>
          <w:tab w:val="left" w:pos="1701"/>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TRYB UDZIELENIA ZAMÓWIENIA</w:t>
      </w:r>
    </w:p>
    <w:p>
      <w:pPr>
        <w:tabs>
          <w:tab w:val="left" w:pos="1701"/>
        </w:tabs>
        <w:spacing w:line="360" w:lineRule="auto"/>
        <w:ind w:right="28"/>
        <w:jc w:val="center"/>
        <w:rPr>
          <w:rFonts w:ascii="Trebuchet MS" w:hAnsi="Trebuchet MS" w:cs="Arial"/>
          <w:b/>
          <w:sz w:val="18"/>
        </w:rPr>
      </w:pPr>
    </w:p>
    <w:p>
      <w:pPr>
        <w:pStyle w:val="40"/>
        <w:numPr>
          <w:ilvl w:val="0"/>
          <w:numId w:val="11"/>
        </w:numPr>
        <w:spacing w:line="276" w:lineRule="auto"/>
        <w:ind w:left="426" w:right="28" w:hanging="426"/>
        <w:jc w:val="both"/>
        <w:rPr>
          <w:rFonts w:ascii="Trebuchet MS" w:hAnsi="Trebuchet MS" w:cs="Arial"/>
        </w:rPr>
      </w:pPr>
      <w:r>
        <w:rPr>
          <w:rFonts w:ascii="Trebuchet MS" w:hAnsi="Trebuchet MS" w:cs="Arial"/>
        </w:rPr>
        <w:t xml:space="preserve">Postępowanie prowadzone jest w </w:t>
      </w:r>
      <w:r>
        <w:rPr>
          <w:rFonts w:ascii="Trebuchet MS" w:hAnsi="Trebuchet MS" w:cs="Arial"/>
          <w:b/>
        </w:rPr>
        <w:t>trybie</w:t>
      </w:r>
      <w:r>
        <w:rPr>
          <w:rFonts w:ascii="Trebuchet MS" w:hAnsi="Trebuchet MS" w:cs="Arial"/>
        </w:rPr>
        <w:t xml:space="preserve"> </w:t>
      </w:r>
      <w:r>
        <w:rPr>
          <w:rFonts w:ascii="Trebuchet MS" w:hAnsi="Trebuchet MS" w:cs="Arial"/>
          <w:b/>
        </w:rPr>
        <w:t>podstawowym,</w:t>
      </w:r>
      <w:r>
        <w:rPr>
          <w:rFonts w:ascii="Trebuchet MS" w:hAnsi="Trebuchet MS" w:cs="Arial"/>
        </w:rPr>
        <w:t xml:space="preserve"> zgodnie z ustawą z dnia 11 września 2019 r. Prawo zamówień publicznych (t.j. Dz. U. z 202</w:t>
      </w:r>
      <w:r>
        <w:rPr>
          <w:rFonts w:hint="default" w:ascii="Trebuchet MS" w:hAnsi="Trebuchet MS" w:cs="Arial"/>
          <w:lang w:val="pl-PL"/>
        </w:rPr>
        <w:t>3</w:t>
      </w:r>
      <w:r>
        <w:rPr>
          <w:rFonts w:ascii="Trebuchet MS" w:hAnsi="Trebuchet MS" w:cs="Arial"/>
        </w:rPr>
        <w:t xml:space="preserve">r. poz. </w:t>
      </w:r>
      <w:r>
        <w:rPr>
          <w:rFonts w:hint="default" w:ascii="Trebuchet MS" w:hAnsi="Trebuchet MS" w:cs="Arial"/>
          <w:lang w:val="pl-PL"/>
        </w:rPr>
        <w:t>1605</w:t>
      </w:r>
      <w:r>
        <w:rPr>
          <w:rFonts w:ascii="Trebuchet MS" w:hAnsi="Trebuchet MS" w:cs="Arial"/>
        </w:rPr>
        <w:t xml:space="preserve">) zwaną w dalszej części ustawą. </w:t>
      </w:r>
      <w:r>
        <w:rPr>
          <w:rFonts w:hint="default" w:ascii="Trebuchet MS" w:hAnsi="Trebuchet MS" w:cs="Arial"/>
          <w:lang w:val="pl-PL"/>
        </w:rPr>
        <w:t xml:space="preserve">    </w:t>
      </w:r>
      <w:r>
        <w:rPr>
          <w:rFonts w:ascii="Trebuchet MS" w:hAnsi="Trebuchet MS" w:cs="Arial"/>
        </w:rPr>
        <w:t xml:space="preserve">W sprawach nieuregulowanych zapisami niniejszej SWZ, stosuje się przepisy wspomnianej ustawy wraz z aktami wykonawczymi do tej ustawy.  </w:t>
      </w:r>
    </w:p>
    <w:p>
      <w:pPr>
        <w:pStyle w:val="40"/>
        <w:spacing w:line="276" w:lineRule="auto"/>
        <w:ind w:left="426" w:right="28"/>
        <w:jc w:val="both"/>
        <w:rPr>
          <w:rFonts w:ascii="Trebuchet MS" w:hAnsi="Trebuchet MS" w:cs="Arial"/>
        </w:rPr>
      </w:pPr>
    </w:p>
    <w:p>
      <w:pPr>
        <w:pStyle w:val="40"/>
        <w:numPr>
          <w:ilvl w:val="0"/>
          <w:numId w:val="11"/>
        </w:numPr>
        <w:spacing w:line="276" w:lineRule="auto"/>
        <w:ind w:left="426" w:right="28" w:hanging="426"/>
        <w:jc w:val="both"/>
        <w:rPr>
          <w:rFonts w:ascii="Trebuchet MS" w:hAnsi="Trebuchet MS" w:cs="Arial"/>
        </w:rPr>
      </w:pPr>
      <w:r>
        <w:rPr>
          <w:rFonts w:ascii="Trebuchet MS" w:hAnsi="Trebuchet MS" w:cs="Arial"/>
        </w:rPr>
        <w:t xml:space="preserve">Zamawiający dokona wyboru oferty najkorzystniejszej </w:t>
      </w:r>
      <w:r>
        <w:rPr>
          <w:rFonts w:ascii="Trebuchet MS" w:hAnsi="Trebuchet MS" w:cs="Arial"/>
          <w:b/>
          <w:bCs/>
        </w:rPr>
        <w:t xml:space="preserve">bez przeprowadzenia negocjacji, </w:t>
      </w:r>
      <w:r>
        <w:rPr>
          <w:rFonts w:ascii="Trebuchet MS" w:hAnsi="Trebuchet MS" w:cs="Arial"/>
          <w:b/>
          <w:bCs/>
        </w:rPr>
        <w:br w:type="textWrapping"/>
      </w:r>
      <w:r>
        <w:rPr>
          <w:rFonts w:ascii="Trebuchet MS" w:hAnsi="Trebuchet MS" w:cs="Arial"/>
        </w:rPr>
        <w:t>co oznacza</w:t>
      </w:r>
      <w:r>
        <w:rPr>
          <w:rFonts w:ascii="Trebuchet MS" w:hAnsi="Trebuchet MS" w:cs="Arial"/>
          <w:b/>
          <w:bCs/>
        </w:rPr>
        <w:t xml:space="preserve"> tryb podstawowy, o którym mowa w art. 275 pkt 1 ustawy</w:t>
      </w:r>
      <w:r>
        <w:rPr>
          <w:rFonts w:ascii="Trebuchet MS" w:hAnsi="Trebuchet MS" w:cs="Arial"/>
        </w:rPr>
        <w:t>.</w:t>
      </w:r>
    </w:p>
    <w:p>
      <w:pPr>
        <w:spacing w:line="276" w:lineRule="auto"/>
        <w:ind w:right="28"/>
        <w:jc w:val="both"/>
        <w:rPr>
          <w:rFonts w:ascii="Trebuchet MS" w:hAnsi="Trebuchet MS" w:cs="Arial"/>
        </w:rPr>
      </w:pPr>
    </w:p>
    <w:p>
      <w:pPr>
        <w:pStyle w:val="40"/>
        <w:numPr>
          <w:ilvl w:val="0"/>
          <w:numId w:val="11"/>
        </w:numPr>
        <w:spacing w:line="276" w:lineRule="auto"/>
        <w:ind w:left="426" w:right="28" w:hanging="426"/>
        <w:jc w:val="both"/>
        <w:rPr>
          <w:rFonts w:ascii="Trebuchet MS" w:hAnsi="Trebuchet MS" w:cs="Arial"/>
        </w:rPr>
      </w:pPr>
      <w:r>
        <w:rPr>
          <w:rFonts w:ascii="Trebuchet MS" w:hAnsi="Trebuchet MS" w:cs="Arial"/>
        </w:rPr>
        <w:t>Postępowanie prowadzone jest dla wartości zamówienia mniejszej niż próg unijny.</w:t>
      </w:r>
    </w:p>
    <w:p>
      <w:pPr>
        <w:tabs>
          <w:tab w:val="left" w:pos="567"/>
        </w:tabs>
        <w:spacing w:line="360" w:lineRule="auto"/>
        <w:jc w:val="center"/>
        <w:rPr>
          <w:rFonts w:ascii="Trebuchet MS" w:hAnsi="Trebuchet MS" w:cs="Arial"/>
          <w:b/>
        </w:rPr>
      </w:pPr>
    </w:p>
    <w:p>
      <w:pPr>
        <w:pStyle w:val="40"/>
        <w:numPr>
          <w:ilvl w:val="0"/>
          <w:numId w:val="10"/>
        </w:numPr>
        <w:tabs>
          <w:tab w:val="left" w:pos="1701"/>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PRZEDMIOTU ZAMÓWIENIA</w:t>
      </w:r>
    </w:p>
    <w:p>
      <w:pPr>
        <w:tabs>
          <w:tab w:val="left" w:pos="567"/>
        </w:tabs>
        <w:spacing w:line="360" w:lineRule="auto"/>
        <w:jc w:val="center"/>
        <w:rPr>
          <w:rFonts w:ascii="Trebuchet MS" w:hAnsi="Trebuchet MS" w:cs="Arial"/>
          <w:b/>
          <w:sz w:val="18"/>
        </w:rPr>
      </w:pPr>
    </w:p>
    <w:p>
      <w:pPr>
        <w:pStyle w:val="40"/>
        <w:numPr>
          <w:ilvl w:val="0"/>
          <w:numId w:val="12"/>
        </w:numPr>
        <w:spacing w:line="360" w:lineRule="auto"/>
        <w:ind w:left="426" w:hanging="426"/>
        <w:jc w:val="both"/>
        <w:rPr>
          <w:rFonts w:ascii="Trebuchet MS" w:hAnsi="Trebuchet MS" w:cs="Arial"/>
          <w:b/>
        </w:rPr>
      </w:pPr>
      <w:r>
        <w:rPr>
          <w:rFonts w:ascii="Trebuchet MS" w:hAnsi="Trebuchet MS" w:cs="Arial"/>
          <w:b/>
        </w:rPr>
        <w:t>Opis przedmiotu zamówienia:</w:t>
      </w:r>
    </w:p>
    <w:p>
      <w:pPr>
        <w:spacing w:line="276" w:lineRule="auto"/>
        <w:jc w:val="both"/>
        <w:rPr>
          <w:rFonts w:hint="default" w:ascii="Trebuchet MS" w:hAnsi="Trebuchet MS"/>
        </w:rPr>
      </w:pPr>
      <w:r>
        <w:rPr>
          <w:rFonts w:hint="default" w:ascii="Trebuchet MS" w:hAnsi="Trebuchet MS"/>
        </w:rPr>
        <w:t>Przedmiotem zamówienia jest realizacja zadania pn. „Modernizacja dróg gminnych”.</w:t>
      </w:r>
    </w:p>
    <w:p>
      <w:pPr>
        <w:spacing w:line="276" w:lineRule="auto"/>
        <w:jc w:val="both"/>
        <w:rPr>
          <w:rFonts w:hint="default" w:ascii="Trebuchet MS" w:hAnsi="Trebuchet MS"/>
        </w:rPr>
      </w:pPr>
      <w:r>
        <w:rPr>
          <w:rFonts w:hint="default" w:ascii="Trebuchet MS" w:hAnsi="Trebuchet MS"/>
        </w:rPr>
        <w:t xml:space="preserve">Przedmiot zamówienia obejmuje: modernizacje dróg gminnych i wewnętrznych. </w:t>
      </w:r>
    </w:p>
    <w:p>
      <w:pPr>
        <w:spacing w:line="276" w:lineRule="auto"/>
        <w:jc w:val="both"/>
        <w:rPr>
          <w:rFonts w:hint="default" w:ascii="Trebuchet MS" w:hAnsi="Trebuchet MS"/>
        </w:rPr>
      </w:pPr>
    </w:p>
    <w:p>
      <w:pPr>
        <w:spacing w:line="276" w:lineRule="auto"/>
        <w:jc w:val="both"/>
        <w:rPr>
          <w:rFonts w:ascii="Trebuchet MS" w:hAnsi="Trebuchet MS" w:cs="Arial"/>
          <w:b/>
        </w:rPr>
      </w:pPr>
      <w:r>
        <w:rPr>
          <w:rFonts w:ascii="Trebuchet MS" w:hAnsi="Trebuchet MS" w:cs="Arial"/>
        </w:rPr>
        <w:t xml:space="preserve">Szczegółowy opis przedmiotu zamówienia dla każdej części zawierają załączniki do SWZ </w:t>
      </w:r>
      <w:r>
        <w:rPr>
          <w:rFonts w:ascii="Trebuchet MS" w:hAnsi="Trebuchet MS" w:cs="Arial"/>
        </w:rPr>
        <w:br w:type="textWrapping"/>
      </w:r>
      <w:r>
        <w:rPr>
          <w:rFonts w:ascii="Trebuchet MS" w:hAnsi="Trebuchet MS" w:cs="Arial"/>
        </w:rPr>
        <w:t>tj. załącznik nr 4</w:t>
      </w:r>
      <w:r>
        <w:rPr>
          <w:rFonts w:ascii="Trebuchet MS" w:hAnsi="Trebuchet MS" w:cs="Arial"/>
          <w:b/>
        </w:rPr>
        <w:t xml:space="preserve"> </w:t>
      </w:r>
      <w:r>
        <w:rPr>
          <w:rFonts w:ascii="Trebuchet MS" w:hAnsi="Trebuchet MS" w:cs="Arial"/>
        </w:rPr>
        <w:t>oraz:</w:t>
      </w:r>
    </w:p>
    <w:p>
      <w:pPr>
        <w:spacing w:line="276" w:lineRule="auto"/>
        <w:jc w:val="both"/>
        <w:rPr>
          <w:rFonts w:ascii="Trebuchet MS" w:hAnsi="Trebuchet MS" w:cs="Arial"/>
          <w:b/>
        </w:rPr>
      </w:pPr>
      <w:r>
        <w:rPr>
          <w:rFonts w:ascii="Trebuchet MS" w:hAnsi="Trebuchet MS" w:cs="Arial"/>
        </w:rPr>
        <w:t>- przedmiary robót</w:t>
      </w:r>
      <w:r>
        <w:rPr>
          <w:rFonts w:ascii="Trebuchet MS" w:hAnsi="Trebuchet MS" w:cs="Arial"/>
          <w:b/>
        </w:rPr>
        <w:t xml:space="preserve"> - załącznik nr 6,</w:t>
      </w:r>
    </w:p>
    <w:p>
      <w:pPr>
        <w:spacing w:line="276" w:lineRule="auto"/>
        <w:jc w:val="both"/>
        <w:rPr>
          <w:rFonts w:ascii="Trebuchet MS" w:hAnsi="Trebuchet MS" w:cs="Arial"/>
          <w:b/>
        </w:rPr>
      </w:pPr>
      <w:r>
        <w:rPr>
          <w:rFonts w:ascii="Trebuchet MS" w:hAnsi="Trebuchet MS" w:cs="Arial"/>
        </w:rPr>
        <w:t>- specyfikacja techniczna wykonania i odbioru robót budowlanych -</w:t>
      </w:r>
      <w:r>
        <w:rPr>
          <w:rFonts w:ascii="Trebuchet MS" w:hAnsi="Trebuchet MS" w:cs="Arial"/>
          <w:b/>
        </w:rPr>
        <w:t xml:space="preserve"> załącznik nr 7,</w:t>
      </w:r>
    </w:p>
    <w:p>
      <w:pPr>
        <w:tabs>
          <w:tab w:val="left" w:pos="567"/>
        </w:tabs>
        <w:spacing w:line="276" w:lineRule="auto"/>
        <w:jc w:val="both"/>
        <w:rPr>
          <w:rFonts w:ascii="Trebuchet MS" w:hAnsi="Trebuchet MS" w:cs="Arial"/>
          <w:b/>
        </w:rPr>
      </w:pPr>
    </w:p>
    <w:p>
      <w:pPr>
        <w:pStyle w:val="18"/>
        <w:numPr>
          <w:ilvl w:val="0"/>
          <w:numId w:val="12"/>
        </w:numPr>
        <w:spacing w:after="0" w:line="276" w:lineRule="auto"/>
        <w:ind w:left="426" w:hanging="426"/>
        <w:jc w:val="both"/>
        <w:rPr>
          <w:rFonts w:ascii="Trebuchet MS" w:hAnsi="Trebuchet MS" w:cs="Arial"/>
          <w:b/>
        </w:rPr>
      </w:pPr>
      <w:r>
        <w:rPr>
          <w:rFonts w:ascii="Trebuchet MS" w:hAnsi="Trebuchet MS" w:cs="Arial"/>
          <w:b/>
        </w:rPr>
        <w:t>Nazwa/y i kod/y Wspólnego Słownika Zamówień: (CPV):</w:t>
      </w:r>
    </w:p>
    <w:p>
      <w:pPr>
        <w:tabs>
          <w:tab w:val="left" w:pos="567"/>
        </w:tabs>
        <w:spacing w:line="360" w:lineRule="auto"/>
        <w:rPr>
          <w:rFonts w:ascii="Trebuchet MS" w:hAnsi="Trebuchet MS"/>
        </w:rPr>
      </w:pPr>
      <w:r>
        <w:rPr>
          <w:rFonts w:ascii="Trebuchet MS" w:hAnsi="Trebuchet MS"/>
        </w:rPr>
        <w:t>45000000-7 Roboty budowlane;</w:t>
      </w:r>
    </w:p>
    <w:p>
      <w:pPr>
        <w:tabs>
          <w:tab w:val="left" w:pos="567"/>
        </w:tabs>
        <w:spacing w:line="360" w:lineRule="auto"/>
        <w:jc w:val="both"/>
        <w:rPr>
          <w:rFonts w:ascii="Trebuchet MS" w:hAnsi="Trebuchet MS"/>
        </w:rPr>
      </w:pPr>
      <w:r>
        <w:rPr>
          <w:rFonts w:ascii="Trebuchet MS" w:hAnsi="Trebuchet MS"/>
        </w:rPr>
        <w:t>45100000-8 Przygotowanie terenu pod budowę</w:t>
      </w:r>
    </w:p>
    <w:p>
      <w:pPr>
        <w:tabs>
          <w:tab w:val="left" w:pos="567"/>
        </w:tabs>
        <w:spacing w:line="360" w:lineRule="auto"/>
        <w:jc w:val="both"/>
        <w:rPr>
          <w:rFonts w:ascii="Trebuchet MS" w:hAnsi="Trebuchet MS"/>
        </w:rPr>
      </w:pPr>
      <w:r>
        <w:rPr>
          <w:rFonts w:ascii="Trebuchet MS" w:hAnsi="Trebuchet MS"/>
        </w:rPr>
        <w:t>45233200-1 Roboty w zakresie różnych nawierzchni</w:t>
      </w:r>
    </w:p>
    <w:p>
      <w:pPr>
        <w:tabs>
          <w:tab w:val="left" w:pos="567"/>
        </w:tabs>
        <w:spacing w:line="360" w:lineRule="auto"/>
        <w:jc w:val="both"/>
        <w:rPr>
          <w:rFonts w:ascii="Trebuchet MS" w:hAnsi="Trebuchet MS"/>
        </w:rPr>
      </w:pPr>
      <w:r>
        <w:rPr>
          <w:rFonts w:ascii="Trebuchet MS" w:hAnsi="Trebuchet MS"/>
        </w:rPr>
        <w:t>45233120-6 Roboty w zakresie budowy dróg</w:t>
      </w:r>
    </w:p>
    <w:p>
      <w:pPr>
        <w:tabs>
          <w:tab w:val="left" w:pos="567"/>
        </w:tabs>
        <w:spacing w:line="360" w:lineRule="auto"/>
        <w:jc w:val="both"/>
        <w:rPr>
          <w:rFonts w:ascii="Trebuchet MS" w:hAnsi="Trebuchet MS"/>
        </w:rPr>
      </w:pPr>
      <w:r>
        <w:rPr>
          <w:rFonts w:ascii="Trebuchet MS" w:hAnsi="Trebuchet MS"/>
        </w:rPr>
        <w:t>45112000-5 Roboty w zakresie usuwania gleby</w:t>
      </w:r>
    </w:p>
    <w:p>
      <w:pPr>
        <w:tabs>
          <w:tab w:val="left" w:pos="567"/>
        </w:tabs>
        <w:spacing w:line="360" w:lineRule="auto"/>
        <w:jc w:val="both"/>
        <w:rPr>
          <w:rFonts w:ascii="Trebuchet MS" w:hAnsi="Trebuchet MS" w:cs="Arial"/>
          <w:b/>
        </w:rPr>
      </w:pPr>
    </w:p>
    <w:p>
      <w:pPr>
        <w:pStyle w:val="18"/>
        <w:numPr>
          <w:ilvl w:val="0"/>
          <w:numId w:val="12"/>
        </w:numPr>
        <w:spacing w:after="0" w:line="276" w:lineRule="auto"/>
        <w:ind w:left="426" w:hanging="426"/>
        <w:jc w:val="both"/>
        <w:rPr>
          <w:rFonts w:ascii="Trebuchet MS" w:hAnsi="Trebuchet MS" w:cs="Arial"/>
          <w:b/>
        </w:rPr>
      </w:pPr>
      <w:r>
        <w:rPr>
          <w:rFonts w:ascii="Trebuchet MS" w:hAnsi="Trebuchet MS" w:cs="Arial"/>
          <w:b/>
        </w:rPr>
        <w:t>Przedmiotowe środki dowodowe:</w:t>
      </w:r>
    </w:p>
    <w:p>
      <w:pPr>
        <w:spacing w:line="276" w:lineRule="auto"/>
        <w:jc w:val="both"/>
        <w:rPr>
          <w:rFonts w:ascii="Trebuchet MS" w:hAnsi="Trebuchet MS" w:cs="Arial"/>
          <w:lang w:eastAsia="zh-CN"/>
        </w:rPr>
      </w:pPr>
      <w:r>
        <w:rPr>
          <w:rFonts w:ascii="Trebuchet MS" w:hAnsi="Trebuchet MS" w:cs="Arial"/>
          <w:lang w:val="zh-CN" w:eastAsia="zh-CN"/>
        </w:rPr>
        <w:t xml:space="preserve">W przypadku </w:t>
      </w:r>
      <w:r>
        <w:rPr>
          <w:rFonts w:ascii="Trebuchet MS" w:hAnsi="Trebuchet MS" w:cs="Arial"/>
          <w:lang w:eastAsia="zh-CN"/>
        </w:rPr>
        <w:t>zastosowania</w:t>
      </w:r>
      <w:r>
        <w:rPr>
          <w:rFonts w:ascii="Trebuchet MS" w:hAnsi="Trebuchet MS" w:cs="Arial"/>
          <w:lang w:val="zh-CN" w:eastAsia="zh-CN"/>
        </w:rPr>
        <w:t xml:space="preserve"> materiałów, urządzeń, wyrobów</w:t>
      </w:r>
      <w:r>
        <w:rPr>
          <w:rFonts w:ascii="Trebuchet MS" w:hAnsi="Trebuchet MS" w:cs="Arial"/>
          <w:lang w:eastAsia="zh-CN"/>
        </w:rPr>
        <w:t xml:space="preserve"> lub rozwiązań </w:t>
      </w:r>
      <w:r>
        <w:rPr>
          <w:rFonts w:ascii="Trebuchet MS" w:hAnsi="Trebuchet MS" w:cs="Arial"/>
          <w:lang w:val="zh-CN" w:eastAsia="zh-CN"/>
        </w:rPr>
        <w:t>równoważnych, Wykonawca zobowiązany jest do ich wskazania w ofercie</w:t>
      </w:r>
      <w:r>
        <w:rPr>
          <w:rFonts w:ascii="Trebuchet MS" w:hAnsi="Trebuchet MS" w:cs="Arial"/>
          <w:lang w:eastAsia="zh-CN"/>
        </w:rPr>
        <w:t xml:space="preserve"> oraz do złożenia wraz z ofertą kart technicznych lub innych dokumentów potwierdzających, że oferowane rozwiązania równoważne spełniają wymagania Zamawiającego opisane w przedmiocie zamówienia.</w:t>
      </w:r>
    </w:p>
    <w:p>
      <w:pPr>
        <w:tabs>
          <w:tab w:val="left" w:pos="567"/>
        </w:tabs>
        <w:spacing w:line="276" w:lineRule="auto"/>
        <w:jc w:val="both"/>
        <w:rPr>
          <w:rFonts w:ascii="Trebuchet MS" w:hAnsi="Trebuchet MS" w:cs="Arial"/>
        </w:rPr>
      </w:pPr>
      <w:r>
        <w:rPr>
          <w:rFonts w:ascii="Trebuchet MS" w:hAnsi="Trebuchet MS" w:cs="Arial"/>
        </w:rPr>
        <w:t xml:space="preserve">Jeżeli Wykonawca </w:t>
      </w:r>
      <w:r>
        <w:rPr>
          <w:rFonts w:ascii="Trebuchet MS" w:hAnsi="Trebuchet MS" w:cs="Arial"/>
          <w:b/>
        </w:rPr>
        <w:t>nie złoży</w:t>
      </w:r>
      <w:r>
        <w:rPr>
          <w:rFonts w:ascii="Trebuchet MS" w:hAnsi="Trebuchet MS" w:cs="Arial"/>
        </w:rPr>
        <w:t xml:space="preserve"> ww. dokumentów lub złożone dokumenty </w:t>
      </w:r>
      <w:r>
        <w:rPr>
          <w:rFonts w:ascii="Trebuchet MS" w:hAnsi="Trebuchet MS" w:cs="Arial"/>
          <w:b/>
        </w:rPr>
        <w:t>będą niekompletne</w:t>
      </w:r>
      <w:r>
        <w:rPr>
          <w:rFonts w:ascii="Trebuchet MS" w:hAnsi="Trebuchet MS" w:cs="Arial"/>
        </w:rPr>
        <w:t xml:space="preserve"> (nie potwierdzając w ten sposób równoważności oferty w zakresie opisanym w opisie przedmiotu zamówienia), </w:t>
      </w:r>
      <w:r>
        <w:rPr>
          <w:rFonts w:ascii="Trebuchet MS" w:hAnsi="Trebuchet MS" w:cs="Arial"/>
          <w:b/>
        </w:rPr>
        <w:t>Zamawiający nie będzie wzywał do ich złożenia/uzupełnienia.</w:t>
      </w:r>
    </w:p>
    <w:p>
      <w:pPr>
        <w:tabs>
          <w:tab w:val="left" w:pos="567"/>
        </w:tabs>
        <w:spacing w:line="360" w:lineRule="auto"/>
        <w:jc w:val="both"/>
        <w:rPr>
          <w:rFonts w:ascii="Trebuchet MS" w:hAnsi="Trebuchet MS" w:cs="Arial"/>
        </w:rPr>
      </w:pPr>
    </w:p>
    <w:p>
      <w:pPr>
        <w:pStyle w:val="40"/>
        <w:numPr>
          <w:ilvl w:val="0"/>
          <w:numId w:val="10"/>
        </w:numPr>
        <w:tabs>
          <w:tab w:val="left" w:pos="1701"/>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CZĘŚCI ZAMÓWIENIA I MOŻLIWOŚCI SKŁADANIA OFERT CZĘŚCIOWYCH</w:t>
      </w:r>
    </w:p>
    <w:p>
      <w:pPr>
        <w:tabs>
          <w:tab w:val="left" w:pos="1701"/>
        </w:tabs>
        <w:spacing w:line="360" w:lineRule="auto"/>
        <w:ind w:left="1701" w:right="28" w:hanging="1701"/>
        <w:jc w:val="center"/>
        <w:rPr>
          <w:rFonts w:ascii="Trebuchet MS" w:hAnsi="Trebuchet MS" w:cs="Arial"/>
          <w:b/>
          <w:sz w:val="18"/>
        </w:rPr>
      </w:pPr>
    </w:p>
    <w:p>
      <w:pPr>
        <w:pStyle w:val="15"/>
        <w:numPr>
          <w:ilvl w:val="0"/>
          <w:numId w:val="13"/>
        </w:numPr>
        <w:spacing w:line="276" w:lineRule="auto"/>
        <w:ind w:left="426"/>
        <w:jc w:val="both"/>
        <w:rPr>
          <w:rFonts w:ascii="Trebuchet MS" w:hAnsi="Trebuchet MS" w:cs="Arial"/>
          <w:sz w:val="20"/>
        </w:rPr>
      </w:pPr>
      <w:r>
        <w:rPr>
          <w:rFonts w:ascii="Trebuchet MS" w:hAnsi="Trebuchet MS" w:cs="Arial"/>
          <w:sz w:val="20"/>
        </w:rPr>
        <w:t>Zamawiający dopuszcza możliwość składania ofert częściowych, na jedną lub więcej wybranych części (także na wszystkie części). Przedmiot zamówienia został podzielony na następujące części:</w:t>
      </w:r>
    </w:p>
    <w:p>
      <w:pPr>
        <w:pStyle w:val="40"/>
        <w:ind w:left="851"/>
        <w:rPr>
          <w:rFonts w:hint="default" w:ascii="Trebuchet MS" w:hAnsi="Trebuchet MS"/>
          <w:b/>
          <w:bCs/>
          <w:i w:val="0"/>
          <w:iCs w:val="0"/>
        </w:rPr>
      </w:pPr>
      <w:r>
        <w:rPr>
          <w:rFonts w:ascii="Trebuchet MS" w:hAnsi="Trebuchet MS" w:cs="Trebuchet MS"/>
          <w:b/>
          <w:bCs/>
          <w:i w:val="0"/>
          <w:iCs w:val="0"/>
        </w:rPr>
        <w:t>Część nr 1:</w:t>
      </w:r>
      <w:r>
        <w:rPr>
          <w:rFonts w:hint="default" w:ascii="Trebuchet MS" w:hAnsi="Trebuchet MS"/>
          <w:b/>
          <w:bCs/>
          <w:i w:val="0"/>
          <w:iCs w:val="0"/>
        </w:rPr>
        <w:t xml:space="preserve"> Modernizacja dróg gminnych – Fundusz Sołecki.</w:t>
      </w:r>
    </w:p>
    <w:p>
      <w:pPr>
        <w:pStyle w:val="40"/>
        <w:ind w:left="851"/>
        <w:rPr>
          <w:rFonts w:hint="default" w:ascii="Trebuchet MS" w:hAnsi="Trebuchet MS"/>
        </w:rPr>
      </w:pPr>
      <w:r>
        <w:rPr>
          <w:rFonts w:hint="default" w:ascii="Trebuchet MS" w:hAnsi="Trebuchet MS"/>
        </w:rPr>
        <w:t>Zadanie 1. Modernizacja drogi gminnej na terenie sołectwa Jeżówka nr 120639K.</w:t>
      </w:r>
    </w:p>
    <w:p>
      <w:pPr>
        <w:pStyle w:val="40"/>
        <w:ind w:left="851"/>
        <w:rPr>
          <w:rFonts w:hint="default" w:ascii="Trebuchet MS" w:hAnsi="Trebuchet MS"/>
        </w:rPr>
      </w:pPr>
      <w:r>
        <w:rPr>
          <w:rFonts w:hint="default" w:ascii="Trebuchet MS" w:hAnsi="Trebuchet MS"/>
        </w:rPr>
        <w:t>Zadanie 2. Modernizacja drogi gminnej na terenie sołectwa Łobzów nr 120651K .</w:t>
      </w:r>
    </w:p>
    <w:p>
      <w:pPr>
        <w:pStyle w:val="40"/>
        <w:ind w:left="851"/>
        <w:rPr>
          <w:rFonts w:ascii="Trebuchet MS" w:hAnsi="Trebuchet MS" w:cs="Trebuchet MS"/>
        </w:rPr>
      </w:pPr>
      <w:r>
        <w:rPr>
          <w:rFonts w:hint="default" w:ascii="Trebuchet MS" w:hAnsi="Trebuchet MS"/>
        </w:rPr>
        <w:t>Zadanie 3. Modernizacja drogi gminnej na terenie sołectwa Kąpiele Wielkie nr 120645K.</w:t>
      </w:r>
    </w:p>
    <w:p>
      <w:pPr>
        <w:pStyle w:val="40"/>
        <w:ind w:left="786"/>
        <w:rPr>
          <w:rFonts w:ascii="Trebuchet MS" w:hAnsi="Trebuchet MS" w:cs="Trebuchet MS"/>
        </w:rPr>
      </w:pPr>
    </w:p>
    <w:p>
      <w:pPr>
        <w:pStyle w:val="40"/>
        <w:ind w:left="786"/>
        <w:rPr>
          <w:rFonts w:hint="default" w:ascii="Trebuchet MS" w:hAnsi="Trebuchet MS"/>
          <w:b/>
          <w:bCs/>
        </w:rPr>
      </w:pPr>
      <w:r>
        <w:rPr>
          <w:rFonts w:ascii="Trebuchet MS" w:hAnsi="Trebuchet MS" w:cs="Trebuchet MS"/>
          <w:b/>
          <w:bCs/>
        </w:rPr>
        <w:t>Część nr 2:</w:t>
      </w:r>
      <w:r>
        <w:rPr>
          <w:rFonts w:hint="default" w:ascii="Trebuchet MS" w:hAnsi="Trebuchet MS"/>
          <w:b/>
          <w:bCs/>
        </w:rPr>
        <w:t xml:space="preserve"> Modernizacja dróg gminnych – środki własne. </w:t>
      </w:r>
    </w:p>
    <w:p>
      <w:pPr>
        <w:pStyle w:val="40"/>
        <w:ind w:left="786"/>
        <w:rPr>
          <w:rFonts w:hint="default" w:ascii="Trebuchet MS" w:hAnsi="Trebuchet MS"/>
        </w:rPr>
      </w:pPr>
      <w:r>
        <w:rPr>
          <w:rFonts w:hint="default" w:ascii="Trebuchet MS" w:hAnsi="Trebuchet MS"/>
        </w:rPr>
        <w:t>Zadanie 1. Modernizacja drogi wewnętrznej w Wolbromiu (ulica Złota).</w:t>
      </w:r>
    </w:p>
    <w:p>
      <w:pPr>
        <w:pStyle w:val="40"/>
        <w:ind w:left="786"/>
        <w:rPr>
          <w:rFonts w:hint="default" w:ascii="Trebuchet MS" w:hAnsi="Trebuchet MS"/>
        </w:rPr>
      </w:pPr>
      <w:r>
        <w:rPr>
          <w:rFonts w:hint="default" w:ascii="Trebuchet MS" w:hAnsi="Trebuchet MS"/>
        </w:rPr>
        <w:t xml:space="preserve">Zadanie 2. Modernizacja drogi gminnej nr 120558K w Wolbromiu (ulica Targowa). </w:t>
      </w:r>
    </w:p>
    <w:p>
      <w:pPr>
        <w:pStyle w:val="40"/>
        <w:ind w:left="786"/>
        <w:rPr>
          <w:rFonts w:hint="default" w:ascii="Trebuchet MS" w:hAnsi="Trebuchet MS"/>
        </w:rPr>
      </w:pPr>
      <w:r>
        <w:rPr>
          <w:rFonts w:hint="default" w:ascii="Trebuchet MS" w:hAnsi="Trebuchet MS"/>
        </w:rPr>
        <w:t>Zadanie 3. Modernizacja drogi gminnej nr 120518K w Wolbromiu (ulica Kamiennogórska).</w:t>
      </w:r>
    </w:p>
    <w:p>
      <w:pPr>
        <w:pStyle w:val="40"/>
        <w:ind w:left="786"/>
        <w:rPr>
          <w:rFonts w:hint="default" w:ascii="Trebuchet MS" w:hAnsi="Trebuchet MS"/>
        </w:rPr>
      </w:pPr>
      <w:r>
        <w:rPr>
          <w:rFonts w:hint="default" w:ascii="Trebuchet MS" w:hAnsi="Trebuchet MS"/>
        </w:rPr>
        <w:t>Zadanie 4. Modernizacja drogi gminnej nr 120547K w Wolbromiu (ulica Robotnicza).</w:t>
      </w:r>
    </w:p>
    <w:p>
      <w:pPr>
        <w:pStyle w:val="40"/>
        <w:ind w:left="786"/>
        <w:rPr>
          <w:rFonts w:hint="default" w:ascii="Trebuchet MS" w:hAnsi="Trebuchet MS"/>
        </w:rPr>
      </w:pPr>
      <w:r>
        <w:rPr>
          <w:rFonts w:hint="default" w:ascii="Trebuchet MS" w:hAnsi="Trebuchet MS"/>
        </w:rPr>
        <w:t>Zadanie 5. Modernizacja nawierzchni parkingu na działce gminnej nr 3863/6 i  3848/17 w miejscowości Wolbrom.</w:t>
      </w:r>
    </w:p>
    <w:p>
      <w:pPr>
        <w:pStyle w:val="40"/>
        <w:ind w:left="786"/>
        <w:rPr>
          <w:rFonts w:hint="default" w:ascii="Trebuchet MS" w:hAnsi="Trebuchet MS"/>
        </w:rPr>
      </w:pPr>
      <w:r>
        <w:rPr>
          <w:rFonts w:hint="default" w:ascii="Trebuchet MS" w:hAnsi="Trebuchet MS"/>
        </w:rPr>
        <w:t>Zadanie 6. Modernizacja drogi gminnej nr 120675K na terenie sołectwa Załęże.</w:t>
      </w:r>
    </w:p>
    <w:p>
      <w:pPr>
        <w:pStyle w:val="40"/>
        <w:ind w:left="786"/>
        <w:rPr>
          <w:rFonts w:hint="default" w:ascii="Trebuchet MS" w:hAnsi="Trebuchet MS"/>
        </w:rPr>
      </w:pPr>
    </w:p>
    <w:p>
      <w:pPr>
        <w:pStyle w:val="40"/>
        <w:numPr>
          <w:ilvl w:val="0"/>
          <w:numId w:val="10"/>
        </w:numPr>
        <w:tabs>
          <w:tab w:val="left" w:pos="1701"/>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MOŻLIWOŚCI SKŁADANIA OFERT WARIANTOWYCH</w:t>
      </w:r>
    </w:p>
    <w:p>
      <w:pPr>
        <w:spacing w:line="360" w:lineRule="auto"/>
        <w:ind w:left="1701" w:right="28" w:hanging="1701"/>
        <w:jc w:val="center"/>
        <w:rPr>
          <w:rFonts w:ascii="Trebuchet MS" w:hAnsi="Trebuchet MS" w:cs="Arial"/>
          <w:b/>
          <w:sz w:val="18"/>
        </w:rPr>
      </w:pPr>
    </w:p>
    <w:p>
      <w:pPr>
        <w:spacing w:line="360" w:lineRule="auto"/>
        <w:ind w:right="28"/>
        <w:jc w:val="both"/>
        <w:rPr>
          <w:rFonts w:ascii="Trebuchet MS" w:hAnsi="Trebuchet MS" w:cs="Arial"/>
        </w:rPr>
      </w:pPr>
      <w:r>
        <w:rPr>
          <w:rFonts w:ascii="Trebuchet MS" w:hAnsi="Trebuchet MS" w:cs="Arial"/>
        </w:rPr>
        <w:t>Zamawiający nie dopuszcza możliwości złożenia oferty wariantowej.</w:t>
      </w:r>
    </w:p>
    <w:p>
      <w:pPr>
        <w:spacing w:line="360" w:lineRule="auto"/>
        <w:ind w:right="28"/>
        <w:jc w:val="both"/>
        <w:rPr>
          <w:rFonts w:ascii="Trebuchet MS" w:hAnsi="Trebuchet MS" w:cs="Arial"/>
          <w:highlight w:val="none"/>
        </w:rPr>
      </w:pPr>
    </w:p>
    <w:p>
      <w:pPr>
        <w:pStyle w:val="40"/>
        <w:numPr>
          <w:ilvl w:val="0"/>
          <w:numId w:val="10"/>
        </w:numPr>
        <w:tabs>
          <w:tab w:val="left" w:pos="1701"/>
        </w:tabs>
        <w:spacing w:line="360" w:lineRule="auto"/>
        <w:ind w:right="28"/>
        <w:jc w:val="both"/>
        <w:rPr>
          <w:rFonts w:ascii="Trebuchet MS" w:hAnsi="Trebuchet MS" w:cs="Arial"/>
          <w:b/>
          <w:sz w:val="22"/>
          <w:szCs w:val="22"/>
          <w:highlight w:val="none"/>
          <w:u w:val="single"/>
        </w:rPr>
      </w:pPr>
      <w:r>
        <w:rPr>
          <w:rFonts w:ascii="Trebuchet MS" w:hAnsi="Trebuchet MS" w:cs="Arial"/>
          <w:b/>
          <w:sz w:val="22"/>
          <w:szCs w:val="22"/>
          <w:highlight w:val="none"/>
          <w:u w:val="single"/>
        </w:rPr>
        <w:t>INFORMACJA NA TEMAT PRZEWIDYWANEGO ZAMÓWIENIA POLEGAJĄCEGO NA POWTÓRZENIU PODOBNYCH ROBÓT BUDOWLANYCH</w:t>
      </w:r>
    </w:p>
    <w:p>
      <w:pPr>
        <w:spacing w:line="360" w:lineRule="auto"/>
        <w:ind w:right="28"/>
        <w:jc w:val="center"/>
        <w:rPr>
          <w:rFonts w:ascii="Trebuchet MS" w:hAnsi="Trebuchet MS" w:cs="Arial"/>
          <w:b/>
          <w:sz w:val="18"/>
        </w:rPr>
      </w:pPr>
    </w:p>
    <w:p>
      <w:pPr>
        <w:spacing w:line="276" w:lineRule="auto"/>
        <w:ind w:right="28"/>
        <w:jc w:val="both"/>
        <w:rPr>
          <w:rFonts w:ascii="Trebuchet MS" w:hAnsi="Trebuchet MS" w:cs="Arial"/>
        </w:rPr>
      </w:pPr>
      <w:r>
        <w:rPr>
          <w:rFonts w:ascii="Trebuchet MS" w:hAnsi="Trebuchet MS" w:cs="Arial"/>
        </w:rPr>
        <w:t>Zamawiający nie przewiduje udzielenia zamówienia polegającego na powtórzeniu podobnych robót budowlanych, o którym mowa w art. 214 ust.1 pkt 7 ustawy.</w:t>
      </w:r>
    </w:p>
    <w:p>
      <w:pPr>
        <w:spacing w:line="360" w:lineRule="auto"/>
        <w:ind w:right="28"/>
        <w:jc w:val="both"/>
        <w:rPr>
          <w:rFonts w:ascii="Trebuchet MS" w:hAnsi="Trebuchet MS" w:cs="Arial"/>
        </w:rPr>
      </w:pPr>
    </w:p>
    <w:p>
      <w:pPr>
        <w:pStyle w:val="40"/>
        <w:numPr>
          <w:ilvl w:val="0"/>
          <w:numId w:val="10"/>
        </w:numPr>
        <w:tabs>
          <w:tab w:val="left" w:pos="1701"/>
        </w:tabs>
        <w:spacing w:line="360" w:lineRule="auto"/>
        <w:ind w:right="28"/>
        <w:jc w:val="both"/>
        <w:rPr>
          <w:rFonts w:ascii="Trebuchet MS" w:hAnsi="Trebuchet MS" w:cs="Arial"/>
          <w:b/>
        </w:rPr>
      </w:pPr>
      <w:r>
        <w:rPr>
          <w:rFonts w:ascii="Trebuchet MS" w:hAnsi="Trebuchet MS" w:cs="Arial"/>
          <w:b/>
          <w:sz w:val="22"/>
          <w:szCs w:val="22"/>
          <w:u w:val="single"/>
        </w:rPr>
        <w:t>MAKSYMALNA LICZBA WYKONAWCÓW, Z KTÓRYMI ZAMAWIAJĄCY ZAWRZE UMOWĘ RAMOWĄ</w:t>
      </w:r>
    </w:p>
    <w:p>
      <w:pPr>
        <w:tabs>
          <w:tab w:val="left" w:pos="426"/>
        </w:tabs>
        <w:spacing w:line="360" w:lineRule="auto"/>
        <w:ind w:left="1701" w:right="28" w:hanging="1701"/>
        <w:jc w:val="center"/>
        <w:rPr>
          <w:rFonts w:ascii="Trebuchet MS" w:hAnsi="Trebuchet MS" w:cs="Arial"/>
          <w:b/>
          <w:sz w:val="18"/>
        </w:rPr>
      </w:pPr>
    </w:p>
    <w:p>
      <w:pPr>
        <w:tabs>
          <w:tab w:val="left" w:pos="426"/>
        </w:tabs>
        <w:spacing w:line="360" w:lineRule="auto"/>
        <w:ind w:left="1701" w:right="28" w:hanging="1701"/>
        <w:jc w:val="both"/>
        <w:rPr>
          <w:rFonts w:ascii="Trebuchet MS" w:hAnsi="Trebuchet MS" w:cs="Arial"/>
        </w:rPr>
      </w:pPr>
      <w:r>
        <w:rPr>
          <w:rFonts w:ascii="Trebuchet MS" w:hAnsi="Trebuchet MS" w:cs="Arial"/>
        </w:rPr>
        <w:t>Przedmiotowe postępowanie nie jest prowadzone w celu zawarcia umowy ramowej.</w:t>
      </w:r>
    </w:p>
    <w:p>
      <w:pPr>
        <w:tabs>
          <w:tab w:val="left" w:pos="567"/>
        </w:tabs>
        <w:spacing w:line="360" w:lineRule="auto"/>
        <w:jc w:val="both"/>
        <w:rPr>
          <w:rFonts w:ascii="Trebuchet MS" w:hAnsi="Trebuchet MS" w:cs="Arial"/>
        </w:rPr>
      </w:pPr>
    </w:p>
    <w:p>
      <w:pPr>
        <w:pStyle w:val="40"/>
        <w:numPr>
          <w:ilvl w:val="0"/>
          <w:numId w:val="10"/>
        </w:numPr>
        <w:tabs>
          <w:tab w:val="left" w:pos="1701"/>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TERMIN WYKONANIA ZAMÓWIENIA</w:t>
      </w:r>
    </w:p>
    <w:p>
      <w:pPr>
        <w:tabs>
          <w:tab w:val="left" w:pos="567"/>
        </w:tabs>
        <w:spacing w:line="360" w:lineRule="auto"/>
        <w:rPr>
          <w:rFonts w:ascii="Trebuchet MS" w:hAnsi="Trebuchet MS" w:cs="Arial"/>
          <w:b/>
          <w:sz w:val="18"/>
        </w:rPr>
      </w:pPr>
    </w:p>
    <w:p>
      <w:pPr>
        <w:spacing w:line="360" w:lineRule="auto"/>
        <w:jc w:val="both"/>
        <w:rPr>
          <w:rFonts w:ascii="Trebuchet MS" w:hAnsi="Trebuchet MS" w:cs="Arial"/>
          <w:b/>
        </w:rPr>
      </w:pPr>
      <w:r>
        <w:rPr>
          <w:rFonts w:ascii="Trebuchet MS" w:hAnsi="Trebuchet MS" w:cs="Arial"/>
        </w:rPr>
        <w:t xml:space="preserve">Dla wszystkich części ten sam termin realizacji: </w:t>
      </w:r>
      <w:r>
        <w:rPr>
          <w:rFonts w:ascii="Trebuchet MS" w:hAnsi="Trebuchet MS" w:cs="Arial"/>
          <w:b/>
        </w:rPr>
        <w:t xml:space="preserve">do </w:t>
      </w:r>
      <w:r>
        <w:rPr>
          <w:rFonts w:hint="default" w:ascii="Trebuchet MS" w:hAnsi="Trebuchet MS" w:cs="Arial"/>
          <w:b/>
          <w:lang w:val="pl-PL"/>
        </w:rPr>
        <w:t>15.12.2023r.</w:t>
      </w:r>
      <w:r>
        <w:rPr>
          <w:rFonts w:ascii="Trebuchet MS" w:hAnsi="Trebuchet MS" w:cs="Arial"/>
          <w:b/>
        </w:rPr>
        <w:t xml:space="preserve"> </w:t>
      </w:r>
    </w:p>
    <w:p>
      <w:pPr>
        <w:spacing w:line="360" w:lineRule="auto"/>
        <w:jc w:val="both"/>
        <w:rPr>
          <w:rFonts w:hint="default" w:ascii="Trebuchet MS" w:hAnsi="Trebuchet MS" w:cs="Arial"/>
          <w:b w:val="0"/>
          <w:bCs/>
          <w:highlight w:val="none"/>
          <w:lang w:val="pl-PL"/>
        </w:rPr>
      </w:pPr>
      <w:r>
        <w:rPr>
          <w:rFonts w:hint="default" w:ascii="Trebuchet MS" w:hAnsi="Trebuchet MS"/>
          <w:b w:val="0"/>
          <w:bCs/>
          <w:highlight w:val="none"/>
        </w:rPr>
        <w:t xml:space="preserve">Mając na uwadze art. 436 pkt 1 ustawy Zamawiający informuje, iż wskazanie końcowej daty wykonania umowy wynika z faktu, iż przedmiotowe zadanie musi być wykonane i rozliczone do </w:t>
      </w:r>
      <w:r>
        <w:rPr>
          <w:rFonts w:hint="default" w:ascii="Trebuchet MS" w:hAnsi="Trebuchet MS"/>
          <w:b w:val="0"/>
          <w:bCs/>
          <w:highlight w:val="none"/>
          <w:lang w:val="pl-PL"/>
        </w:rPr>
        <w:t>wskazanej daty.</w:t>
      </w:r>
    </w:p>
    <w:p>
      <w:pPr>
        <w:spacing w:line="360" w:lineRule="auto"/>
        <w:jc w:val="both"/>
        <w:rPr>
          <w:rFonts w:ascii="Trebuchet MS" w:hAnsi="Trebuchet MS" w:cs="Arial"/>
          <w:b/>
        </w:rPr>
      </w:pPr>
    </w:p>
    <w:p>
      <w:pPr>
        <w:pStyle w:val="40"/>
        <w:numPr>
          <w:ilvl w:val="0"/>
          <w:numId w:val="10"/>
        </w:numPr>
        <w:tabs>
          <w:tab w:val="left" w:pos="1701"/>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PROJEKTOWANE POSTANOWIENIA UMOWY W SPRAWIE ZAMÓWIENIA PUBLICZNEGO, KTÓRE ZOSTANĄ WPROWADZONE DO TREŚCI TEJ UMOWY</w:t>
      </w:r>
    </w:p>
    <w:p>
      <w:pPr>
        <w:pStyle w:val="14"/>
        <w:spacing w:line="360" w:lineRule="auto"/>
        <w:jc w:val="center"/>
        <w:rPr>
          <w:rFonts w:ascii="Trebuchet MS" w:hAnsi="Trebuchet MS" w:cs="Arial"/>
          <w:b/>
          <w:sz w:val="18"/>
        </w:rPr>
      </w:pPr>
    </w:p>
    <w:p>
      <w:pPr>
        <w:numPr>
          <w:ilvl w:val="0"/>
          <w:numId w:val="14"/>
        </w:numPr>
        <w:spacing w:line="276" w:lineRule="auto"/>
        <w:ind w:left="426" w:hanging="426"/>
        <w:jc w:val="both"/>
        <w:rPr>
          <w:rFonts w:ascii="Trebuchet MS" w:hAnsi="Trebuchet MS" w:cs="Arial"/>
        </w:rPr>
      </w:pPr>
      <w:r>
        <w:rPr>
          <w:rFonts w:ascii="Trebuchet MS" w:hAnsi="Trebuchet MS" w:cs="Arial"/>
        </w:rPr>
        <w:t>Projektowane postanowienia umowy w sprawie zamówienia publicznego, które zostaną wprowadzone do treści tej umowy, zawiera załącznik nr 5 do SWZ.</w:t>
      </w:r>
    </w:p>
    <w:p>
      <w:pPr>
        <w:spacing w:line="276" w:lineRule="auto"/>
        <w:ind w:left="426"/>
        <w:jc w:val="both"/>
        <w:rPr>
          <w:rFonts w:ascii="Trebuchet MS" w:hAnsi="Trebuchet MS" w:cs="Arial"/>
          <w:sz w:val="16"/>
          <w:szCs w:val="16"/>
        </w:rPr>
      </w:pPr>
    </w:p>
    <w:p>
      <w:pPr>
        <w:pStyle w:val="40"/>
        <w:numPr>
          <w:ilvl w:val="1"/>
          <w:numId w:val="15"/>
        </w:numPr>
        <w:tabs>
          <w:tab w:val="left" w:pos="851"/>
        </w:tabs>
        <w:spacing w:line="276" w:lineRule="auto"/>
        <w:jc w:val="both"/>
        <w:rPr>
          <w:rFonts w:ascii="Trebuchet MS" w:hAnsi="Trebuchet MS" w:cs="Arial"/>
        </w:rPr>
      </w:pPr>
      <w:r>
        <w:rPr>
          <w:rFonts w:ascii="Trebuchet MS" w:hAnsi="Trebuchet MS" w:cs="Arial"/>
        </w:rPr>
        <w:t>Zamawiający przewiduje możliwość zmian postanowień zawartej umowy (tzw. zmiany kontraktowe w oparciu o art. 455 ust. 1 pkt 1 ustawy) w stosunku do treści oferty, na podstawie której dokonano wyboru Wykonawcy, zgodnie z warunkami zawartymi w załączniku nr 5 do SWZ.</w:t>
      </w:r>
    </w:p>
    <w:p>
      <w:pPr>
        <w:pStyle w:val="40"/>
        <w:tabs>
          <w:tab w:val="left" w:pos="851"/>
        </w:tabs>
        <w:spacing w:line="276" w:lineRule="auto"/>
        <w:ind w:left="720"/>
        <w:jc w:val="both"/>
        <w:rPr>
          <w:rFonts w:ascii="Trebuchet MS" w:hAnsi="Trebuchet MS" w:cs="Arial"/>
          <w:sz w:val="10"/>
          <w:szCs w:val="10"/>
        </w:rPr>
      </w:pPr>
    </w:p>
    <w:p>
      <w:pPr>
        <w:pStyle w:val="40"/>
        <w:numPr>
          <w:ilvl w:val="1"/>
          <w:numId w:val="15"/>
        </w:numPr>
        <w:tabs>
          <w:tab w:val="left" w:pos="851"/>
        </w:tabs>
        <w:spacing w:line="276" w:lineRule="auto"/>
        <w:jc w:val="both"/>
        <w:rPr>
          <w:rFonts w:ascii="Trebuchet MS" w:hAnsi="Trebuchet MS" w:cs="Arial"/>
        </w:rPr>
      </w:pPr>
      <w:r>
        <w:rPr>
          <w:rFonts w:ascii="Trebuchet MS" w:hAnsi="Trebuchet MS" w:cs="Arial"/>
        </w:rPr>
        <w:t>Zmiana umowy może także nastąpić w przypadkach, o których mowa w art. 455 ust. 1 pkt 2-4 oraz ust. 2 ustawy.</w:t>
      </w:r>
    </w:p>
    <w:p>
      <w:pPr>
        <w:spacing w:line="276" w:lineRule="auto"/>
        <w:jc w:val="both"/>
        <w:rPr>
          <w:rFonts w:ascii="Trebuchet MS" w:hAnsi="Trebuchet MS" w:cs="Arial"/>
          <w:sz w:val="16"/>
          <w:szCs w:val="16"/>
        </w:rPr>
      </w:pPr>
    </w:p>
    <w:p>
      <w:pPr>
        <w:pStyle w:val="40"/>
        <w:numPr>
          <w:ilvl w:val="0"/>
          <w:numId w:val="14"/>
        </w:numPr>
        <w:spacing w:line="276" w:lineRule="auto"/>
        <w:ind w:left="426" w:hanging="426"/>
        <w:jc w:val="both"/>
        <w:rPr>
          <w:rFonts w:ascii="Trebuchet MS" w:hAnsi="Trebuchet MS" w:cs="Arial"/>
        </w:rPr>
      </w:pPr>
      <w:r>
        <w:rPr>
          <w:rFonts w:ascii="Trebuchet MS" w:hAnsi="Trebuchet MS" w:cs="Arial"/>
        </w:rPr>
        <w:t>Przed zawarciem umowy należy dopełnić formalności, które zostały wskazane w Rozdziale XXX SWZ.</w:t>
      </w:r>
    </w:p>
    <w:p>
      <w:pPr>
        <w:pStyle w:val="14"/>
        <w:tabs>
          <w:tab w:val="left" w:pos="567"/>
        </w:tabs>
        <w:spacing w:line="360" w:lineRule="auto"/>
        <w:ind w:left="567" w:hanging="567"/>
        <w:rPr>
          <w:rFonts w:ascii="Trebuchet MS" w:hAnsi="Trebuchet MS" w:cs="Arial"/>
          <w:b/>
          <w:sz w:val="20"/>
        </w:rPr>
      </w:pPr>
    </w:p>
    <w:p>
      <w:pPr>
        <w:pStyle w:val="40"/>
        <w:numPr>
          <w:ilvl w:val="0"/>
          <w:numId w:val="10"/>
        </w:numPr>
        <w:tabs>
          <w:tab w:val="left" w:pos="1701"/>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SPOSOBU OBLICZENIA CENY</w:t>
      </w:r>
    </w:p>
    <w:p>
      <w:pPr>
        <w:pStyle w:val="14"/>
        <w:tabs>
          <w:tab w:val="left" w:pos="567"/>
        </w:tabs>
        <w:spacing w:line="360" w:lineRule="auto"/>
        <w:ind w:left="567" w:hanging="567"/>
        <w:jc w:val="center"/>
        <w:rPr>
          <w:rFonts w:ascii="Trebuchet MS" w:hAnsi="Trebuchet MS" w:cs="Arial"/>
          <w:b/>
          <w:sz w:val="18"/>
        </w:rPr>
      </w:pPr>
    </w:p>
    <w:p>
      <w:pPr>
        <w:numPr>
          <w:ilvl w:val="0"/>
          <w:numId w:val="16"/>
        </w:numPr>
        <w:spacing w:line="276" w:lineRule="auto"/>
        <w:jc w:val="both"/>
        <w:rPr>
          <w:rFonts w:ascii="Trebuchet MS" w:hAnsi="Trebuchet MS" w:cs="Arial"/>
        </w:rPr>
      </w:pPr>
      <w:r>
        <w:rPr>
          <w:rFonts w:ascii="Trebuchet MS" w:hAnsi="Trebuchet MS" w:cs="Arial"/>
        </w:rPr>
        <w:t xml:space="preserve">Wykonawca poda cenę ofertową dla danej części zamówienia na formularzu oferty, </w:t>
      </w:r>
      <w:r>
        <w:rPr>
          <w:rFonts w:ascii="Trebuchet MS" w:hAnsi="Trebuchet MS" w:cs="Arial"/>
        </w:rPr>
        <w:br w:type="textWrapping"/>
      </w:r>
      <w:r>
        <w:rPr>
          <w:rFonts w:ascii="Trebuchet MS" w:hAnsi="Trebuchet MS" w:cs="Arial"/>
        </w:rPr>
        <w:t xml:space="preserve">zgodnie z </w:t>
      </w:r>
      <w:r>
        <w:rPr>
          <w:rFonts w:ascii="Trebuchet MS" w:hAnsi="Trebuchet MS" w:cs="Arial"/>
          <w:b/>
        </w:rPr>
        <w:t>załącznikiem nr 1</w:t>
      </w:r>
      <w:r>
        <w:rPr>
          <w:rFonts w:ascii="Trebuchet MS" w:hAnsi="Trebuchet MS" w:cs="Arial"/>
        </w:rPr>
        <w:t xml:space="preserve"> do SWZ.</w:t>
      </w:r>
    </w:p>
    <w:p>
      <w:pPr>
        <w:numPr>
          <w:ilvl w:val="0"/>
          <w:numId w:val="16"/>
        </w:numPr>
        <w:spacing w:line="276" w:lineRule="auto"/>
        <w:jc w:val="both"/>
        <w:rPr>
          <w:rFonts w:ascii="Trebuchet MS" w:hAnsi="Trebuchet MS" w:cs="Arial"/>
        </w:rPr>
      </w:pPr>
      <w:r>
        <w:rPr>
          <w:rFonts w:ascii="Trebuchet MS" w:hAnsi="Trebuchet MS" w:cs="Arial"/>
        </w:rPr>
        <w:t xml:space="preserve">Cena ofertowa za wykonanie danej części zamówienia wynikać będzie z załączonego/ych </w:t>
      </w:r>
      <w:r>
        <w:rPr>
          <w:rFonts w:ascii="Trebuchet MS" w:hAnsi="Trebuchet MS" w:cs="Arial"/>
        </w:rPr>
        <w:br w:type="textWrapping"/>
      </w:r>
      <w:r>
        <w:rPr>
          <w:rFonts w:ascii="Trebuchet MS" w:hAnsi="Trebuchet MS" w:cs="Arial"/>
        </w:rPr>
        <w:t xml:space="preserve">do oferty kosztorysu/ów ofertowego/ych. Wycenę wszystkich robót w kosztorysie/ach ofertowym/ch należy sporządzić wg przedmiaru/ów robót dla danej części zamówienia stanowiącego/ych załącznik nr 6 do SWZ metodą kalkulacji uproszczonej, przy zastosowaniu podanych w przedmiarze/ach podstaw wyceny. Wykonawca jest zobowiązany wycenić wszystkie pozycje przedmiaru/ów dla danej części zamówienia załączonego/ych do SWZ. Wyliczona w ten sposób cena danej części zamówienia będzie rozliczona w oparciu o kosztorys/y powykonawczy/e (rzeczywiste obmiary wykonanych robót) – </w:t>
      </w:r>
      <w:r>
        <w:rPr>
          <w:rFonts w:ascii="Trebuchet MS" w:hAnsi="Trebuchet MS" w:cs="Arial"/>
          <w:b/>
        </w:rPr>
        <w:t>wynagrodzenie kosztorysowe</w:t>
      </w:r>
      <w:r>
        <w:rPr>
          <w:rFonts w:ascii="Trebuchet MS" w:hAnsi="Trebuchet MS" w:cs="Arial"/>
        </w:rPr>
        <w:t xml:space="preserve">. </w:t>
      </w:r>
      <w:r>
        <w:rPr>
          <w:rFonts w:ascii="Trebuchet MS" w:hAnsi="Trebuchet MS" w:cs="Arial"/>
        </w:rPr>
        <w:br w:type="textWrapping"/>
      </w:r>
      <w:r>
        <w:rPr>
          <w:rFonts w:ascii="Trebuchet MS" w:hAnsi="Trebuchet MS" w:cs="Arial"/>
        </w:rPr>
        <w:t>Wykonawca sporządzając ofertę nie może samodzielnie dokonywać zmian w stosunku do zamieszczonego/ych w SWZ przedmiaru/ów robót. Wszelkie niezgodności czy też sprzeczności pomiędzy przedmiarem/ami, a pozostałymi dokumentami składającymi się na opis przedmiotu zamówienia, powinny być korygowane przez Zamawiającego w trybie udzielania wyjaśnień na zapytania Wykonawców do treści SWZ. Cena ofertowa dla danej części zamówienia musi obejmować wszystkie koszty i składniki niezbędne do realizacji danej części zamówienia wraz z materiałami, robocizną, pracą sprzętu, robotami towarzyszącymi, świadczeniami i usługami oraz pozostałe prace i czynności niezbędne do osiągnięcia wymaganych parametrów technicznych przedmiotu zamówienia oraz należny podatek VAT.</w:t>
      </w:r>
    </w:p>
    <w:p>
      <w:pPr>
        <w:spacing w:line="276" w:lineRule="auto"/>
        <w:ind w:left="567"/>
        <w:jc w:val="both"/>
        <w:rPr>
          <w:rFonts w:ascii="Trebuchet MS" w:hAnsi="Trebuchet MS" w:cs="Arial"/>
        </w:rPr>
      </w:pPr>
    </w:p>
    <w:p>
      <w:pPr>
        <w:numPr>
          <w:ilvl w:val="0"/>
          <w:numId w:val="16"/>
        </w:numPr>
        <w:spacing w:line="276" w:lineRule="auto"/>
        <w:rPr>
          <w:rFonts w:ascii="Trebuchet MS" w:hAnsi="Trebuchet MS" w:cs="Arial"/>
        </w:rPr>
      </w:pPr>
      <w:r>
        <w:rPr>
          <w:rFonts w:ascii="Trebuchet MS" w:hAnsi="Trebuchet MS" w:cs="Arial"/>
          <w:b/>
          <w:bCs/>
        </w:rPr>
        <w:t>W kosztorysie/ach ofertowym/ch dla danej części zamówienia należy podać:</w:t>
      </w:r>
      <w:r>
        <w:rPr>
          <w:rFonts w:ascii="Trebuchet MS" w:hAnsi="Trebuchet MS" w:cs="Arial"/>
          <w:b/>
          <w:bCs/>
        </w:rPr>
        <w:br w:type="textWrapping"/>
      </w:r>
      <w:r>
        <w:rPr>
          <w:rFonts w:ascii="Trebuchet MS" w:hAnsi="Trebuchet MS" w:cs="Arial"/>
          <w:b/>
          <w:bCs/>
        </w:rPr>
        <w:t>a) stawkę roboczogodziny;</w:t>
      </w:r>
      <w:r>
        <w:rPr>
          <w:rFonts w:ascii="Trebuchet MS" w:hAnsi="Trebuchet MS" w:cs="Arial"/>
          <w:b/>
          <w:bCs/>
        </w:rPr>
        <w:br w:type="textWrapping"/>
      </w:r>
      <w:r>
        <w:rPr>
          <w:rFonts w:ascii="Trebuchet MS" w:hAnsi="Trebuchet MS" w:cs="Arial"/>
          <w:b/>
          <w:bCs/>
        </w:rPr>
        <w:t>b) koszty pośrednie;</w:t>
      </w:r>
      <w:r>
        <w:rPr>
          <w:rFonts w:ascii="Trebuchet MS" w:hAnsi="Trebuchet MS" w:cs="Arial"/>
          <w:b/>
          <w:bCs/>
        </w:rPr>
        <w:br w:type="textWrapping"/>
      </w:r>
      <w:r>
        <w:rPr>
          <w:rFonts w:ascii="Trebuchet MS" w:hAnsi="Trebuchet MS" w:cs="Arial"/>
          <w:b/>
          <w:bCs/>
        </w:rPr>
        <w:t>c) zysk;</w:t>
      </w:r>
      <w:r>
        <w:rPr>
          <w:rFonts w:ascii="Trebuchet MS" w:hAnsi="Trebuchet MS" w:cs="Arial"/>
          <w:b/>
          <w:bCs/>
        </w:rPr>
        <w:br w:type="textWrapping"/>
      </w:r>
      <w:r>
        <w:rPr>
          <w:rFonts w:ascii="Trebuchet MS" w:hAnsi="Trebuchet MS" w:cs="Arial"/>
          <w:b/>
          <w:bCs/>
        </w:rPr>
        <w:t>d) cenę jednostkową dla poszczególnych pozycji kosztorysowych;</w:t>
      </w:r>
      <w:r>
        <w:rPr>
          <w:rFonts w:ascii="Trebuchet MS" w:hAnsi="Trebuchet MS" w:cs="Arial"/>
          <w:b/>
          <w:bCs/>
        </w:rPr>
        <w:br w:type="textWrapping"/>
      </w:r>
      <w:r>
        <w:rPr>
          <w:rFonts w:ascii="Trebuchet MS" w:hAnsi="Trebuchet MS" w:cs="Arial"/>
          <w:b/>
          <w:bCs/>
        </w:rPr>
        <w:t>e) wartość poszczególnych pozycji kosztorysowych (cena jednostkowa pozycji jw. pomnożona przez przedmiar);</w:t>
      </w:r>
      <w:r>
        <w:rPr>
          <w:rFonts w:ascii="Trebuchet MS" w:hAnsi="Trebuchet MS" w:cs="Arial"/>
          <w:b/>
          <w:bCs/>
        </w:rPr>
        <w:br w:type="textWrapping"/>
      </w:r>
      <w:r>
        <w:rPr>
          <w:rFonts w:ascii="Trebuchet MS" w:hAnsi="Trebuchet MS" w:cs="Arial"/>
          <w:b/>
          <w:bCs/>
        </w:rPr>
        <w:t>f) wartość kosztorysu jako sumę wszystkich pozycji kosztorysowych.</w:t>
      </w:r>
      <w:r>
        <w:rPr>
          <w:rFonts w:ascii="Trebuchet MS" w:hAnsi="Trebuchet MS" w:cs="Arial"/>
          <w:b/>
          <w:bCs/>
        </w:rPr>
        <w:br w:type="textWrapping"/>
      </w:r>
      <w:r>
        <w:rPr>
          <w:rFonts w:ascii="Trebuchet MS" w:hAnsi="Trebuchet MS" w:cs="Arial"/>
          <w:b/>
          <w:bCs/>
          <w:highlight w:val="yellow"/>
        </w:rPr>
        <w:t>Ww. elementy cenotwórcze mają charakter merytoryczny i będą praktycznie zastosowane w toku rozliczania robót i w tym zakresie stanowią istotną treść oferty. Brak elementów cenotwórczych w kosztorysie/ach ofertowym/ch spowoduje odrzucenie oferty.</w:t>
      </w:r>
      <w:r>
        <w:rPr>
          <w:rFonts w:ascii="Trebuchet MS" w:hAnsi="Trebuchet MS" w:cs="Arial"/>
          <w:b/>
          <w:bCs/>
        </w:rPr>
        <w:t xml:space="preserve">  </w:t>
      </w:r>
      <w:r>
        <w:rPr>
          <w:rFonts w:ascii="Trebuchet MS" w:hAnsi="Trebuchet MS" w:cs="Arial"/>
        </w:rPr>
        <w:br w:type="textWrapping"/>
      </w:r>
    </w:p>
    <w:p>
      <w:pPr>
        <w:numPr>
          <w:ilvl w:val="0"/>
          <w:numId w:val="16"/>
        </w:numPr>
        <w:spacing w:line="276" w:lineRule="auto"/>
        <w:jc w:val="both"/>
        <w:rPr>
          <w:rFonts w:ascii="Trebuchet MS" w:hAnsi="Trebuchet MS" w:cs="Arial"/>
        </w:rPr>
      </w:pPr>
      <w:r>
        <w:rPr>
          <w:rFonts w:ascii="Trebuchet MS" w:hAnsi="Trebuchet MS" w:cs="Arial"/>
        </w:rPr>
        <w:t xml:space="preserve">Zamawiający zastrzega, iż wszystkie inne koszty związane z realizacją danej części zamówienia oprócz robót zasadniczych wycenionych zgodnie z załączonymi przedmiarami robót dla danej części powinny być ujęte w kosztach pośrednich. </w:t>
      </w:r>
    </w:p>
    <w:p>
      <w:pPr>
        <w:spacing w:line="276" w:lineRule="auto"/>
        <w:jc w:val="both"/>
        <w:rPr>
          <w:rFonts w:ascii="Trebuchet MS" w:hAnsi="Trebuchet MS" w:cs="Arial"/>
        </w:rPr>
      </w:pPr>
    </w:p>
    <w:p>
      <w:pPr>
        <w:numPr>
          <w:ilvl w:val="0"/>
          <w:numId w:val="16"/>
        </w:numPr>
        <w:spacing w:line="276" w:lineRule="auto"/>
        <w:jc w:val="both"/>
        <w:rPr>
          <w:rFonts w:ascii="Trebuchet MS" w:hAnsi="Trebuchet MS" w:cs="Arial"/>
        </w:rPr>
      </w:pPr>
      <w:r>
        <w:rPr>
          <w:rFonts w:ascii="Trebuchet MS" w:hAnsi="Trebuchet MS" w:cs="Arial"/>
        </w:rPr>
        <w:t>Cenę oferty dla danej części zamówienia należy podać w następujący sposób:</w:t>
      </w:r>
    </w:p>
    <w:p>
      <w:pPr>
        <w:numPr>
          <w:ilvl w:val="0"/>
          <w:numId w:val="17"/>
        </w:numPr>
        <w:tabs>
          <w:tab w:val="left" w:pos="567"/>
          <w:tab w:val="clear" w:pos="502"/>
        </w:tabs>
        <w:spacing w:line="276" w:lineRule="auto"/>
        <w:ind w:left="567" w:firstLine="0"/>
        <w:jc w:val="both"/>
        <w:rPr>
          <w:rFonts w:ascii="Trebuchet MS" w:hAnsi="Trebuchet MS" w:cs="Arial"/>
        </w:rPr>
      </w:pPr>
      <w:r>
        <w:rPr>
          <w:rFonts w:ascii="Trebuchet MS" w:hAnsi="Trebuchet MS" w:cs="Arial"/>
        </w:rPr>
        <w:t>zgodnie z postanowieniami formularza oferty</w:t>
      </w:r>
      <w:r>
        <w:rPr>
          <w:rFonts w:hint="default" w:ascii="Trebuchet MS" w:hAnsi="Trebuchet MS" w:cs="Arial"/>
          <w:lang w:val="pl-PL"/>
        </w:rPr>
        <w:t>.</w:t>
      </w:r>
    </w:p>
    <w:p>
      <w:pPr>
        <w:spacing w:line="276" w:lineRule="auto"/>
        <w:jc w:val="both"/>
        <w:rPr>
          <w:rFonts w:ascii="Trebuchet MS" w:hAnsi="Trebuchet MS" w:cs="Arial"/>
        </w:rPr>
      </w:pPr>
    </w:p>
    <w:p>
      <w:pPr>
        <w:numPr>
          <w:ilvl w:val="0"/>
          <w:numId w:val="16"/>
        </w:numPr>
        <w:spacing w:line="276" w:lineRule="auto"/>
        <w:jc w:val="both"/>
        <w:rPr>
          <w:rFonts w:ascii="Trebuchet MS" w:hAnsi="Trebuchet MS" w:cs="Arial"/>
        </w:rPr>
      </w:pPr>
      <w:r>
        <w:rPr>
          <w:rFonts w:ascii="Trebuchet MS" w:hAnsi="Trebuchet MS" w:cs="Arial"/>
        </w:rPr>
        <w:t xml:space="preserve">Cena ofertowa danej części zamówienia musi być podana w złotych polskich (PLN), cyfrowo </w:t>
      </w:r>
      <w:r>
        <w:rPr>
          <w:rFonts w:ascii="Trebuchet MS" w:hAnsi="Trebuchet MS" w:cs="Arial"/>
        </w:rPr>
        <w:br w:type="textWrapping"/>
      </w:r>
      <w:r>
        <w:rPr>
          <w:rFonts w:ascii="Trebuchet MS" w:hAnsi="Trebuchet MS" w:cs="Arial"/>
        </w:rPr>
        <w:t>(do drugiego miejsca po przecinku).</w:t>
      </w:r>
    </w:p>
    <w:p>
      <w:pPr>
        <w:spacing w:line="276" w:lineRule="auto"/>
        <w:jc w:val="both"/>
        <w:rPr>
          <w:rFonts w:ascii="Trebuchet MS" w:hAnsi="Trebuchet MS" w:cs="Arial"/>
        </w:rPr>
      </w:pPr>
    </w:p>
    <w:p>
      <w:pPr>
        <w:numPr>
          <w:ilvl w:val="0"/>
          <w:numId w:val="16"/>
        </w:numPr>
        <w:spacing w:line="276" w:lineRule="auto"/>
        <w:jc w:val="both"/>
        <w:rPr>
          <w:rFonts w:ascii="Trebuchet MS" w:hAnsi="Trebuchet MS" w:cs="Arial"/>
        </w:rPr>
      </w:pPr>
      <w:r>
        <w:rPr>
          <w:rFonts w:ascii="Trebuchet MS" w:hAnsi="Trebuchet MS" w:cs="Arial"/>
          <w:color w:val="000000"/>
        </w:rPr>
        <w:t>Wykonawca, składając ofertę (na formularzu oferty stanowiącym załącznik nr 1 do SWZ) informuje Zamawiającego, że wybór jego oferty będzie prowadził do powstania u Zamawiającego obowiązku podatkowego, wskazując:</w:t>
      </w:r>
    </w:p>
    <w:p>
      <w:pPr>
        <w:pStyle w:val="40"/>
        <w:spacing w:line="276" w:lineRule="auto"/>
        <w:rPr>
          <w:rFonts w:ascii="Trebuchet MS" w:hAnsi="Trebuchet MS" w:cs="Arial"/>
          <w:color w:val="000000"/>
          <w:sz w:val="10"/>
          <w:szCs w:val="10"/>
        </w:rPr>
      </w:pPr>
    </w:p>
    <w:p>
      <w:pPr>
        <w:pStyle w:val="40"/>
        <w:numPr>
          <w:ilvl w:val="0"/>
          <w:numId w:val="18"/>
        </w:numPr>
        <w:spacing w:line="276" w:lineRule="auto"/>
        <w:jc w:val="both"/>
        <w:rPr>
          <w:rFonts w:ascii="Trebuchet MS" w:hAnsi="Trebuchet MS" w:cs="Arial"/>
        </w:rPr>
      </w:pPr>
      <w:r>
        <w:rPr>
          <w:rFonts w:ascii="Trebuchet MS" w:hAnsi="Trebuchet MS" w:cs="Arial"/>
          <w:color w:val="000000"/>
        </w:rPr>
        <w:t>nazwę (rodzaj) towaru lub usługi, których dostawa lub świadczenie będą prowadziły do powstania obowiązku podatkowego;</w:t>
      </w:r>
    </w:p>
    <w:p>
      <w:pPr>
        <w:pStyle w:val="40"/>
        <w:numPr>
          <w:ilvl w:val="0"/>
          <w:numId w:val="18"/>
        </w:numPr>
        <w:spacing w:line="276" w:lineRule="auto"/>
        <w:jc w:val="both"/>
        <w:rPr>
          <w:rFonts w:ascii="Trebuchet MS" w:hAnsi="Trebuchet MS" w:cs="Arial"/>
        </w:rPr>
      </w:pPr>
      <w:r>
        <w:rPr>
          <w:rFonts w:ascii="Trebuchet MS" w:hAnsi="Trebuchet MS" w:cs="Arial"/>
          <w:color w:val="000000"/>
        </w:rPr>
        <w:t>wartość towaru lub usługi objętego obowiązkiem podatkowym Zamawiającego, bez kwoty podatku;</w:t>
      </w:r>
    </w:p>
    <w:p>
      <w:pPr>
        <w:pStyle w:val="40"/>
        <w:numPr>
          <w:ilvl w:val="0"/>
          <w:numId w:val="18"/>
        </w:numPr>
        <w:spacing w:line="276" w:lineRule="auto"/>
        <w:jc w:val="both"/>
        <w:rPr>
          <w:rFonts w:ascii="Trebuchet MS" w:hAnsi="Trebuchet MS" w:cs="Arial"/>
        </w:rPr>
      </w:pPr>
      <w:r>
        <w:rPr>
          <w:rFonts w:ascii="Trebuchet MS" w:hAnsi="Trebuchet MS" w:cs="Arial"/>
          <w:color w:val="000000"/>
        </w:rPr>
        <w:t>stawkę podatku od towarów i usług, która zgodnie z wiedzą Wykonawcy, będzie miała zastosowanie.</w:t>
      </w:r>
    </w:p>
    <w:p>
      <w:pPr>
        <w:tabs>
          <w:tab w:val="left" w:pos="1701"/>
        </w:tabs>
        <w:spacing w:line="276" w:lineRule="auto"/>
        <w:ind w:right="28"/>
        <w:jc w:val="both"/>
        <w:rPr>
          <w:rFonts w:ascii="Trebuchet MS" w:hAnsi="Trebuchet MS" w:cs="Arial"/>
          <w:b/>
        </w:rPr>
      </w:pPr>
    </w:p>
    <w:p>
      <w:pPr>
        <w:pStyle w:val="40"/>
        <w:numPr>
          <w:ilvl w:val="0"/>
          <w:numId w:val="10"/>
        </w:numPr>
        <w:tabs>
          <w:tab w:val="left" w:pos="1701"/>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MOŻLIWOŚCI ROZLICZANIA SIĘ W WALUTACH OBCYCH</w:t>
      </w:r>
    </w:p>
    <w:p>
      <w:pPr>
        <w:shd w:val="clear" w:color="auto" w:fill="FFFFFF"/>
        <w:spacing w:line="360" w:lineRule="auto"/>
        <w:ind w:right="100"/>
        <w:jc w:val="center"/>
        <w:rPr>
          <w:rFonts w:ascii="Trebuchet MS" w:hAnsi="Trebuchet MS" w:cs="Arial"/>
          <w:b/>
          <w:sz w:val="18"/>
        </w:rPr>
      </w:pPr>
    </w:p>
    <w:p>
      <w:pPr>
        <w:pStyle w:val="14"/>
        <w:spacing w:line="360" w:lineRule="auto"/>
        <w:rPr>
          <w:rFonts w:ascii="Trebuchet MS" w:hAnsi="Trebuchet MS" w:cs="Arial"/>
          <w:sz w:val="20"/>
        </w:rPr>
      </w:pPr>
      <w:r>
        <w:rPr>
          <w:rFonts w:ascii="Trebuchet MS" w:hAnsi="Trebuchet MS" w:cs="Arial"/>
          <w:sz w:val="20"/>
        </w:rPr>
        <w:t>Zamawiający będzie rozliczał się z Wykonawcą wyłącznie w walucie polskiej (PLN).</w:t>
      </w:r>
    </w:p>
    <w:p>
      <w:pPr>
        <w:tabs>
          <w:tab w:val="left" w:pos="1701"/>
        </w:tabs>
        <w:spacing w:line="360" w:lineRule="auto"/>
        <w:ind w:right="28"/>
        <w:jc w:val="both"/>
        <w:rPr>
          <w:rFonts w:ascii="Trebuchet MS" w:hAnsi="Trebuchet MS" w:cs="Arial"/>
          <w:b/>
        </w:rPr>
      </w:pPr>
    </w:p>
    <w:p>
      <w:pPr>
        <w:pStyle w:val="40"/>
        <w:numPr>
          <w:ilvl w:val="0"/>
          <w:numId w:val="10"/>
        </w:numPr>
        <w:tabs>
          <w:tab w:val="left" w:pos="1701"/>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O ŚRODKACH KOMUNIKACJI ELEKTRONICZNEJ, PRZY UZYCIU KTÓRYCH ZAMAWIAJĄCY BĘDZIE KOMUNIKOWAŁ SIĘ Z WYKONAWCAMI</w:t>
      </w:r>
    </w:p>
    <w:p>
      <w:pPr>
        <w:tabs>
          <w:tab w:val="left" w:pos="0"/>
        </w:tabs>
        <w:spacing w:line="276" w:lineRule="auto"/>
        <w:ind w:right="-114"/>
        <w:jc w:val="center"/>
        <w:rPr>
          <w:rFonts w:ascii="Trebuchet MS" w:hAnsi="Trebuchet MS" w:cs="Arial"/>
          <w:b/>
          <w:sz w:val="18"/>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Z zastrzeżeniem postanowień zawartych w rozdziale XVI SWZ oraz w ust. 2 i w ust. 4 niniejszego rozdziału SWZ, komunikacja między Zamawiającym a Wykonawcami może się odbywać wyłącznie przy użyciu środków komunikacji elektronicznej w rozumieniu ustawy z dnia 18 lipca 2002 r. o świadczeniu usług drogą elektroniczną (Dz.U. z 2020 r. poz. 344), tj:</w:t>
      </w:r>
    </w:p>
    <w:p>
      <w:pPr>
        <w:pStyle w:val="40"/>
        <w:numPr>
          <w:ilvl w:val="2"/>
          <w:numId w:val="19"/>
        </w:numPr>
        <w:tabs>
          <w:tab w:val="left" w:pos="709"/>
        </w:tabs>
        <w:spacing w:line="276" w:lineRule="auto"/>
        <w:ind w:hanging="1914"/>
        <w:jc w:val="both"/>
        <w:rPr>
          <w:rFonts w:ascii="Trebuchet MS" w:hAnsi="Trebuchet MS" w:cs="Arial"/>
        </w:rPr>
      </w:pPr>
      <w:r>
        <w:rPr>
          <w:rFonts w:ascii="Trebuchet MS" w:hAnsi="Trebuchet MS" w:cs="Arial"/>
        </w:rPr>
        <w:t>poprzez</w:t>
      </w:r>
      <w:r>
        <w:rPr>
          <w:rFonts w:ascii="Trebuchet MS" w:hAnsi="Trebuchet MS" w:cs="Arial"/>
          <w:b/>
        </w:rPr>
        <w:t xml:space="preserve"> </w:t>
      </w:r>
      <w:r>
        <w:rPr>
          <w:rFonts w:ascii="Trebuchet MS" w:hAnsi="Trebuchet MS" w:cs="Arial"/>
        </w:rPr>
        <w:t>Platformę przetargową pod adresem:</w:t>
      </w:r>
    </w:p>
    <w:p>
      <w:pPr>
        <w:pStyle w:val="40"/>
        <w:tabs>
          <w:tab w:val="left" w:pos="709"/>
        </w:tabs>
        <w:spacing w:line="276" w:lineRule="auto"/>
        <w:ind w:left="709"/>
        <w:jc w:val="both"/>
        <w:rPr>
          <w:rFonts w:ascii="Trebuchet MS" w:hAnsi="Trebuchet MS" w:cs="Arial"/>
          <w:b/>
          <w:bCs/>
          <w:u w:val="single"/>
        </w:rPr>
      </w:pPr>
      <w:r>
        <w:rPr>
          <w:rStyle w:val="31"/>
          <w:rFonts w:hint="default" w:ascii="Trebuchet MS" w:hAnsi="Trebuchet MS"/>
          <w:u w:val="none"/>
        </w:rPr>
        <w:fldChar w:fldCharType="begin"/>
      </w:r>
      <w:r>
        <w:rPr>
          <w:rStyle w:val="31"/>
          <w:rFonts w:hint="default" w:ascii="Trebuchet MS" w:hAnsi="Trebuchet MS"/>
          <w:u w:val="none"/>
        </w:rPr>
        <w:instrText xml:space="preserve"> HYPERLINK "https://platformazakupowa.pl/transakcja/819296" </w:instrText>
      </w:r>
      <w:r>
        <w:rPr>
          <w:rStyle w:val="31"/>
          <w:rFonts w:hint="default" w:ascii="Trebuchet MS" w:hAnsi="Trebuchet MS"/>
          <w:u w:val="none"/>
        </w:rPr>
        <w:fldChar w:fldCharType="separate"/>
      </w:r>
      <w:r>
        <w:rPr>
          <w:rStyle w:val="31"/>
          <w:rFonts w:hint="default" w:ascii="Trebuchet MS" w:hAnsi="Trebuchet MS"/>
        </w:rPr>
        <w:t>https://platformazakupowa.pl/transakcja/819296</w:t>
      </w:r>
      <w:r>
        <w:rPr>
          <w:rStyle w:val="31"/>
          <w:rFonts w:hint="default" w:ascii="Trebuchet MS" w:hAnsi="Trebuchet MS"/>
          <w:u w:val="none"/>
        </w:rPr>
        <w:fldChar w:fldCharType="end"/>
      </w:r>
      <w:r>
        <w:rPr>
          <w:rStyle w:val="31"/>
          <w:rFonts w:hint="default" w:ascii="Trebuchet MS" w:hAnsi="Trebuchet MS"/>
          <w:u w:val="none"/>
          <w:lang w:val="pl-PL"/>
        </w:rPr>
        <w:t xml:space="preserve"> </w:t>
      </w:r>
      <w:r>
        <w:rPr>
          <w:rFonts w:ascii="Trebuchet MS" w:hAnsi="Trebuchet MS" w:cs="Arial"/>
        </w:rPr>
        <w:t>(zwaną dalej zamiennie Platformą przetargową)</w:t>
      </w:r>
      <w:r>
        <w:rPr>
          <w:rFonts w:ascii="Trebuchet MS" w:hAnsi="Trebuchet MS" w:cs="Arial"/>
        </w:rPr>
        <w:br w:type="textWrapping"/>
      </w:r>
      <w:r>
        <w:rPr>
          <w:rFonts w:ascii="Trebuchet MS" w:hAnsi="Trebuchet MS" w:cs="Arial"/>
          <w:b/>
          <w:bCs/>
          <w:u w:val="single"/>
        </w:rPr>
        <w:t>lub</w:t>
      </w:r>
    </w:p>
    <w:p>
      <w:pPr>
        <w:pStyle w:val="40"/>
        <w:numPr>
          <w:ilvl w:val="2"/>
          <w:numId w:val="19"/>
        </w:numPr>
        <w:tabs>
          <w:tab w:val="left" w:pos="709"/>
        </w:tabs>
        <w:spacing w:line="276" w:lineRule="auto"/>
        <w:ind w:left="709" w:hanging="283"/>
        <w:jc w:val="both"/>
        <w:rPr>
          <w:rFonts w:ascii="Trebuchet MS" w:hAnsi="Trebuchet MS" w:cs="Arial"/>
        </w:rPr>
      </w:pPr>
      <w:r>
        <w:rPr>
          <w:rFonts w:ascii="Trebuchet MS" w:hAnsi="Trebuchet MS" w:cs="Arial"/>
        </w:rPr>
        <w:t xml:space="preserve">pocztą elektroniczną na adres e-mail Zamawiającego: </w:t>
      </w:r>
      <w:r>
        <w:fldChar w:fldCharType="begin"/>
      </w:r>
      <w:r>
        <w:instrText xml:space="preserve"> HYPERLINK "mailto:zamowienia@umigwolbrom.pl" </w:instrText>
      </w:r>
      <w:r>
        <w:fldChar w:fldCharType="separate"/>
      </w:r>
      <w:r>
        <w:rPr>
          <w:rStyle w:val="31"/>
          <w:rFonts w:ascii="Trebuchet MS" w:hAnsi="Trebuchet MS"/>
        </w:rPr>
        <w:t>zamowienia@umigwolbrom.pl</w:t>
      </w:r>
      <w:r>
        <w:rPr>
          <w:rStyle w:val="31"/>
          <w:rFonts w:ascii="Trebuchet MS" w:hAnsi="Trebuchet MS"/>
        </w:rPr>
        <w:fldChar w:fldCharType="end"/>
      </w:r>
      <w:r>
        <w:rPr>
          <w:rFonts w:ascii="Trebuchet MS" w:hAnsi="Trebuchet MS" w:cs="Arial"/>
        </w:rPr>
        <w:t xml:space="preserve"> oraz adresy e-mail Wykonawców podane w formularzach ofertowych</w:t>
      </w:r>
      <w:r>
        <w:t xml:space="preserve"> </w:t>
      </w:r>
      <w:r>
        <w:rPr>
          <w:rFonts w:ascii="Trebuchet MS" w:hAnsi="Trebuchet MS" w:cs="Arial"/>
        </w:rPr>
        <w:t>lub innych przekazanych dokumentach.</w:t>
      </w:r>
    </w:p>
    <w:p>
      <w:pPr>
        <w:spacing w:line="276" w:lineRule="auto"/>
        <w:jc w:val="both"/>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b/>
        </w:rPr>
        <w:t>Ofertę składa się pod rygorem nieważności, zgodnie z wyborem Wykonawcy:</w:t>
      </w:r>
    </w:p>
    <w:p>
      <w:pPr>
        <w:pStyle w:val="40"/>
        <w:numPr>
          <w:ilvl w:val="2"/>
          <w:numId w:val="19"/>
        </w:numPr>
        <w:spacing w:line="276" w:lineRule="auto"/>
        <w:ind w:left="851" w:hanging="425"/>
        <w:jc w:val="both"/>
        <w:rPr>
          <w:rFonts w:ascii="Trebuchet MS" w:hAnsi="Trebuchet MS" w:cs="Arial"/>
        </w:rPr>
      </w:pPr>
      <w:r>
        <w:rPr>
          <w:rFonts w:ascii="Trebuchet MS" w:hAnsi="Trebuchet MS" w:cs="Arial"/>
          <w:b/>
        </w:rPr>
        <w:t>w formie elektronicznej (oznacza to postać elektroniczną opatrzoną kwalifikowanym podpisem elektronicznym) lub</w:t>
      </w:r>
    </w:p>
    <w:p>
      <w:pPr>
        <w:pStyle w:val="40"/>
        <w:numPr>
          <w:ilvl w:val="2"/>
          <w:numId w:val="19"/>
        </w:numPr>
        <w:spacing w:line="276" w:lineRule="auto"/>
        <w:ind w:left="851" w:hanging="425"/>
        <w:jc w:val="both"/>
        <w:rPr>
          <w:rFonts w:ascii="Trebuchet MS" w:hAnsi="Trebuchet MS" w:cs="Arial"/>
        </w:rPr>
      </w:pPr>
      <w:r>
        <w:rPr>
          <w:rFonts w:ascii="Trebuchet MS" w:hAnsi="Trebuchet MS" w:cs="Arial"/>
          <w:b/>
        </w:rPr>
        <w:t>w postaci elektronicznej opatrzonej podpisem zaufanym lub podpisem osobistym</w:t>
      </w:r>
    </w:p>
    <w:p>
      <w:pPr>
        <w:spacing w:line="276" w:lineRule="auto"/>
        <w:ind w:left="426"/>
        <w:jc w:val="both"/>
        <w:rPr>
          <w:rFonts w:ascii="Trebuchet MS" w:hAnsi="Trebuchet MS" w:cs="Arial"/>
          <w:b/>
          <w:sz w:val="24"/>
          <w:szCs w:val="24"/>
        </w:rPr>
      </w:pPr>
      <w:r>
        <w:rPr>
          <w:rFonts w:ascii="Trebuchet MS" w:hAnsi="Trebuchet MS" w:cs="Arial"/>
          <w:b/>
          <w:sz w:val="24"/>
          <w:szCs w:val="24"/>
        </w:rPr>
        <w:t xml:space="preserve">- wyłącznie poprzez Platformę przetargową. </w:t>
      </w:r>
    </w:p>
    <w:p>
      <w:pPr>
        <w:spacing w:line="276" w:lineRule="auto"/>
        <w:ind w:left="426"/>
        <w:jc w:val="both"/>
        <w:rPr>
          <w:rFonts w:ascii="Trebuchet MS" w:hAnsi="Trebuchet MS" w:cs="Arial"/>
          <w:b/>
          <w:sz w:val="24"/>
          <w:szCs w:val="24"/>
        </w:rPr>
      </w:pPr>
    </w:p>
    <w:p>
      <w:pPr>
        <w:spacing w:line="276" w:lineRule="auto"/>
        <w:ind w:left="426"/>
        <w:jc w:val="both"/>
        <w:rPr>
          <w:rFonts w:ascii="Trebuchet MS" w:hAnsi="Trebuchet MS" w:cs="Arial"/>
          <w:b/>
          <w:sz w:val="24"/>
          <w:szCs w:val="24"/>
        </w:rPr>
      </w:pPr>
      <w:r>
        <w:rPr>
          <w:rFonts w:ascii="Trebuchet MS" w:hAnsi="Trebuchet MS" w:cs="Arial"/>
          <w:b/>
        </w:rPr>
        <w:t>Ilekroć w niniejszej SWZ jest mowa o ofercie, należy przez to rozumieć również ofertę dodatkową.</w:t>
      </w:r>
    </w:p>
    <w:p>
      <w:pPr>
        <w:spacing w:line="276" w:lineRule="auto"/>
        <w:jc w:val="both"/>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pPr>
        <w:spacing w:line="276" w:lineRule="auto"/>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Komunikacja ustna dopuszczalna jest wyłącznie w odniesieniu do informacji, które nie są istotne, w szczególności nie dotyczą ogłoszenia o zamówieniu lub dokumentów zamówienia, ofert, o ile jej treść jest udokumentowana (wymagana jest pisemna notatka z ustnej rozmowy lub negocjacji).</w:t>
      </w:r>
    </w:p>
    <w:p>
      <w:pPr>
        <w:spacing w:line="276" w:lineRule="auto"/>
        <w:jc w:val="both"/>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Niezwłocznie po otwarciu złożonych ofert, Zamawiający zamieści na Platformie przetargowej informacje o:</w:t>
      </w:r>
    </w:p>
    <w:p>
      <w:pPr>
        <w:pStyle w:val="40"/>
        <w:numPr>
          <w:ilvl w:val="2"/>
          <w:numId w:val="19"/>
        </w:numPr>
        <w:spacing w:line="276" w:lineRule="auto"/>
        <w:ind w:left="851"/>
        <w:jc w:val="both"/>
        <w:rPr>
          <w:rFonts w:ascii="Trebuchet MS" w:hAnsi="Trebuchet MS" w:cs="Arial"/>
        </w:rPr>
      </w:pPr>
      <w:r>
        <w:rPr>
          <w:rFonts w:ascii="Trebuchet MS" w:hAnsi="Trebuchet MS" w:cs="Arial"/>
        </w:rPr>
        <w:t>nazwach albo imionach i nazwiskach oraz siedzibach lub miejscach prowadzonej działalności gospodarczej albo miejscach zamieszkania Wykonawców, których oferty zostały otwarte;</w:t>
      </w:r>
    </w:p>
    <w:p>
      <w:pPr>
        <w:pStyle w:val="40"/>
        <w:numPr>
          <w:ilvl w:val="2"/>
          <w:numId w:val="19"/>
        </w:numPr>
        <w:spacing w:line="276" w:lineRule="auto"/>
        <w:ind w:left="851"/>
        <w:jc w:val="both"/>
        <w:rPr>
          <w:rFonts w:ascii="Trebuchet MS" w:hAnsi="Trebuchet MS" w:cs="Arial"/>
          <w:b/>
        </w:rPr>
      </w:pPr>
      <w:r>
        <w:rPr>
          <w:rFonts w:ascii="Trebuchet MS" w:hAnsi="Trebuchet MS" w:cs="Arial"/>
        </w:rPr>
        <w:t>cenach zawartych w ofertach.</w:t>
      </w:r>
    </w:p>
    <w:p>
      <w:pPr>
        <w:spacing w:line="276" w:lineRule="auto"/>
        <w:jc w:val="both"/>
        <w:rPr>
          <w:rFonts w:ascii="Trebuchet MS" w:hAnsi="Trebuchet MS" w:cs="Arial"/>
          <w:b/>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Informację o wyborze oferty najkorzystniejszej bądź o unieważnieniu postępowania Zamawiający zamieści na Platformie przetargowej.</w:t>
      </w:r>
    </w:p>
    <w:p>
      <w:pPr>
        <w:spacing w:line="276" w:lineRule="auto"/>
        <w:jc w:val="both"/>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b/>
        </w:rPr>
      </w:pPr>
      <w:r>
        <w:rPr>
          <w:rFonts w:ascii="Trebuchet MS" w:hAnsi="Trebuchet MS" w:cs="Arial"/>
          <w:b/>
        </w:rPr>
        <w:t>Przyjmuje się, że dokument wysłany przy użyciu Platformy przetargowej został doręczony Wykonawcy w sposób umożliwiający zapoznanie się z jego treścią, w dniu jego przekazania na Platformę przetargową.</w:t>
      </w:r>
    </w:p>
    <w:p>
      <w:pPr>
        <w:spacing w:line="360" w:lineRule="auto"/>
        <w:jc w:val="both"/>
        <w:rPr>
          <w:rFonts w:ascii="Trebuchet MS" w:hAnsi="Trebuchet MS" w:cs="Arial"/>
        </w:rPr>
      </w:pPr>
    </w:p>
    <w:p>
      <w:pPr>
        <w:pStyle w:val="40"/>
        <w:numPr>
          <w:ilvl w:val="0"/>
          <w:numId w:val="10"/>
        </w:numPr>
        <w:tabs>
          <w:tab w:val="left" w:pos="1701"/>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O WYMAGANIACH TECHNICZNYCH I ORGANIZACYJNYCH SPORZĄDZANIA, WYSYŁANIA I ODBIERANIA KORESPONDENCJI ELEKTRONICZNEJ</w:t>
      </w:r>
    </w:p>
    <w:p>
      <w:pPr>
        <w:tabs>
          <w:tab w:val="left" w:pos="0"/>
        </w:tabs>
        <w:spacing w:line="360" w:lineRule="auto"/>
        <w:ind w:right="-114"/>
        <w:jc w:val="center"/>
        <w:rPr>
          <w:rFonts w:ascii="Trebuchet MS" w:hAnsi="Trebuchet MS" w:cs="Arial"/>
          <w:b/>
          <w:sz w:val="18"/>
        </w:rPr>
      </w:pPr>
    </w:p>
    <w:p>
      <w:pPr>
        <w:pStyle w:val="40"/>
        <w:numPr>
          <w:ilvl w:val="0"/>
          <w:numId w:val="20"/>
        </w:numPr>
        <w:spacing w:line="276" w:lineRule="auto"/>
        <w:ind w:left="426" w:hanging="426"/>
        <w:jc w:val="both"/>
        <w:rPr>
          <w:rFonts w:ascii="Trebuchet MS" w:hAnsi="Trebuchet MS" w:cs="Arial"/>
        </w:rPr>
      </w:pPr>
      <w:r>
        <w:rPr>
          <w:rFonts w:ascii="Trebuchet MS" w:hAnsi="Trebuchet MS" w:cs="Arial"/>
        </w:rPr>
        <w:t xml:space="preserve">Wykonawca zamierzający złożyć ofertę (wyłącznie poprzez Platformę przetargową) – zobowiązany jest zapoznać się z instrukcjami/regulaminami użytkowników Platformy przetargowej - dostępnymi pod adresem </w:t>
      </w:r>
      <w:bookmarkStart w:id="2" w:name="_Hlk70498752"/>
      <w:r>
        <w:rPr>
          <w:rFonts w:ascii="Trebuchet MS" w:hAnsi="Trebuchet MS"/>
        </w:rPr>
        <w:fldChar w:fldCharType="begin"/>
      </w:r>
      <w:r>
        <w:rPr>
          <w:rFonts w:ascii="Trebuchet MS" w:hAnsi="Trebuchet MS"/>
        </w:rPr>
        <w:instrText xml:space="preserve"> HYPERLINK "https://platformazakupowa.pl/pn/wolbrom" </w:instrText>
      </w:r>
      <w:r>
        <w:rPr>
          <w:rFonts w:ascii="Trebuchet MS" w:hAnsi="Trebuchet MS"/>
        </w:rPr>
        <w:fldChar w:fldCharType="separate"/>
      </w:r>
      <w:r>
        <w:rPr>
          <w:rStyle w:val="31"/>
          <w:rFonts w:ascii="Trebuchet MS" w:hAnsi="Trebuchet MS"/>
        </w:rPr>
        <w:t>https://platformazakupowa.pl/pn/wolbrom</w:t>
      </w:r>
      <w:r>
        <w:rPr>
          <w:rFonts w:ascii="Trebuchet MS" w:hAnsi="Trebuchet MS"/>
        </w:rPr>
        <w:fldChar w:fldCharType="end"/>
      </w:r>
      <w:r>
        <w:rPr>
          <w:rFonts w:ascii="Trebuchet MS" w:hAnsi="Trebuchet MS"/>
        </w:rPr>
        <w:t xml:space="preserve"> </w:t>
      </w:r>
      <w:bookmarkEnd w:id="2"/>
      <w:r>
        <w:rPr>
          <w:rFonts w:ascii="Trebuchet MS" w:hAnsi="Trebuchet MS" w:cs="Arial"/>
        </w:rPr>
        <w:t xml:space="preserve">oraz je zaakceptować. </w:t>
      </w:r>
    </w:p>
    <w:p>
      <w:pPr>
        <w:spacing w:line="276" w:lineRule="auto"/>
        <w:jc w:val="both"/>
        <w:rPr>
          <w:rStyle w:val="31"/>
          <w:rFonts w:ascii="Trebuchet MS" w:hAnsi="Trebuchet MS" w:cs="Arial"/>
          <w:color w:val="auto"/>
          <w:u w:val="none"/>
        </w:rPr>
      </w:pPr>
    </w:p>
    <w:p>
      <w:pPr>
        <w:pStyle w:val="40"/>
        <w:numPr>
          <w:ilvl w:val="0"/>
          <w:numId w:val="20"/>
        </w:numPr>
        <w:spacing w:line="276" w:lineRule="auto"/>
        <w:ind w:left="426" w:hanging="426"/>
        <w:jc w:val="both"/>
        <w:rPr>
          <w:rFonts w:ascii="Trebuchet MS" w:hAnsi="Trebuchet MS" w:cs="Arial"/>
        </w:rPr>
      </w:pPr>
      <w:r>
        <w:rPr>
          <w:rFonts w:ascii="Trebuchet MS" w:hAnsi="Trebuchet MS" w:cs="Arial"/>
        </w:rPr>
        <w:t xml:space="preserve">Złożenie oferty poprzez Platformę przetargową oznacza akceptację instrukcji/regulaminów, </w:t>
      </w:r>
      <w:r>
        <w:rPr>
          <w:rFonts w:ascii="Trebuchet MS" w:hAnsi="Trebuchet MS" w:cs="Arial"/>
        </w:rPr>
        <w:br w:type="textWrapping"/>
      </w:r>
      <w:r>
        <w:rPr>
          <w:rFonts w:ascii="Trebuchet MS" w:hAnsi="Trebuchet MS" w:cs="Arial"/>
        </w:rPr>
        <w:t>o których mowa w ust. 1 niniejszego rozdziału SWZ.</w:t>
      </w:r>
    </w:p>
    <w:p>
      <w:pPr>
        <w:spacing w:line="276" w:lineRule="auto"/>
        <w:rPr>
          <w:rFonts w:ascii="Trebuchet MS" w:hAnsi="Trebuchet MS" w:cs="Arial"/>
        </w:rPr>
      </w:pPr>
    </w:p>
    <w:p>
      <w:pPr>
        <w:pStyle w:val="40"/>
        <w:numPr>
          <w:ilvl w:val="0"/>
          <w:numId w:val="20"/>
        </w:numPr>
        <w:spacing w:line="276" w:lineRule="auto"/>
        <w:ind w:left="426" w:hanging="426"/>
        <w:jc w:val="both"/>
        <w:rPr>
          <w:rFonts w:ascii="Trebuchet MS" w:hAnsi="Trebuchet MS" w:cs="Arial"/>
        </w:rPr>
      </w:pPr>
      <w:r>
        <w:rPr>
          <w:rFonts w:ascii="Trebuchet MS" w:hAnsi="Trebuchet MS" w:cs="Arial"/>
        </w:rPr>
        <w:t>Wymagania techniczne związane z korzystaniem z Platformy przetargowej – wskazane są na stronie internetowej Platformy przetargowej - pod adresem:</w:t>
      </w:r>
    </w:p>
    <w:p>
      <w:pPr>
        <w:spacing w:line="276" w:lineRule="auto"/>
        <w:ind w:firstLine="426"/>
        <w:rPr>
          <w:rFonts w:ascii="Trebuchet MS" w:hAnsi="Trebuchet MS"/>
          <w:color w:val="0000FF"/>
          <w:u w:val="single"/>
        </w:rPr>
      </w:pPr>
      <w:bookmarkStart w:id="3" w:name="_Hlk70498999"/>
      <w:r>
        <w:rPr>
          <w:rFonts w:ascii="Trebuchet MS" w:hAnsi="Trebuchet MS"/>
          <w:color w:val="0000FF"/>
          <w:u w:val="single"/>
        </w:rPr>
        <w:fldChar w:fldCharType="begin"/>
      </w:r>
      <w:r>
        <w:rPr>
          <w:rFonts w:ascii="Trebuchet MS" w:hAnsi="Trebuchet MS"/>
          <w:color w:val="0000FF"/>
          <w:u w:val="single"/>
        </w:rPr>
        <w:instrText xml:space="preserve"> HYPERLINK "https://platformazakupowa.pl/pn/wolbrom" </w:instrText>
      </w:r>
      <w:r>
        <w:rPr>
          <w:rFonts w:ascii="Trebuchet MS" w:hAnsi="Trebuchet MS"/>
          <w:color w:val="0000FF"/>
          <w:u w:val="single"/>
        </w:rPr>
        <w:fldChar w:fldCharType="separate"/>
      </w:r>
      <w:r>
        <w:rPr>
          <w:rStyle w:val="31"/>
          <w:rFonts w:ascii="Trebuchet MS" w:hAnsi="Trebuchet MS"/>
        </w:rPr>
        <w:t>https://platformazakupowa.pl/pn/wolbrom</w:t>
      </w:r>
      <w:bookmarkEnd w:id="3"/>
      <w:r>
        <w:rPr>
          <w:rFonts w:ascii="Trebuchet MS" w:hAnsi="Trebuchet MS"/>
          <w:color w:val="0000FF"/>
          <w:u w:val="single"/>
        </w:rPr>
        <w:fldChar w:fldCharType="end"/>
      </w:r>
    </w:p>
    <w:p>
      <w:pPr>
        <w:spacing w:line="276" w:lineRule="auto"/>
        <w:ind w:firstLine="426"/>
        <w:rPr>
          <w:rFonts w:ascii="Trebuchet MS" w:hAnsi="Trebuchet MS" w:cs="Arial"/>
        </w:rPr>
      </w:pPr>
    </w:p>
    <w:p>
      <w:pPr>
        <w:pStyle w:val="40"/>
        <w:numPr>
          <w:ilvl w:val="0"/>
          <w:numId w:val="20"/>
        </w:numPr>
        <w:spacing w:line="276" w:lineRule="auto"/>
        <w:ind w:left="426" w:hanging="426"/>
        <w:jc w:val="both"/>
        <w:rPr>
          <w:rFonts w:ascii="Trebuchet MS" w:hAnsi="Trebuchet MS" w:cs="Arial"/>
        </w:rPr>
      </w:pPr>
      <w:r>
        <w:rPr>
          <w:rFonts w:ascii="Trebuchet MS" w:hAnsi="Trebuchet MS" w:cs="Arial"/>
        </w:rPr>
        <w:t xml:space="preserve">Wsparcia technicznego w zakresie działania Platformy przetargowej udziela jej dostawca, tj. Open Nexus Sp. z o.o., Bolesława Krzywoustego 3, 61-441 Poznań; numer telefonu 22 101 02 02; adres e-mail: </w:t>
      </w:r>
      <w:r>
        <w:fldChar w:fldCharType="begin"/>
      </w:r>
      <w:r>
        <w:instrText xml:space="preserve"> HYPERLINK "mailto:cwk@platformazakupowa.pl" </w:instrText>
      </w:r>
      <w:r>
        <w:fldChar w:fldCharType="separate"/>
      </w:r>
      <w:r>
        <w:rPr>
          <w:rStyle w:val="31"/>
          <w:rFonts w:ascii="Trebuchet MS" w:hAnsi="Trebuchet MS" w:cs="Arial"/>
        </w:rPr>
        <w:t>cwk@platformazakupowa.pl</w:t>
      </w:r>
      <w:r>
        <w:rPr>
          <w:rStyle w:val="31"/>
          <w:rFonts w:ascii="Trebuchet MS" w:hAnsi="Trebuchet MS" w:cs="Arial"/>
        </w:rPr>
        <w:fldChar w:fldCharType="end"/>
      </w:r>
      <w:r>
        <w:rPr>
          <w:rFonts w:ascii="Trebuchet MS" w:hAnsi="Trebuchet MS" w:cs="Arial"/>
        </w:rPr>
        <w:t xml:space="preserve"> . </w:t>
      </w:r>
    </w:p>
    <w:p>
      <w:pPr>
        <w:spacing w:line="276" w:lineRule="auto"/>
        <w:rPr>
          <w:rFonts w:ascii="Trebuchet MS" w:hAnsi="Trebuchet MS" w:cs="Arial"/>
        </w:rPr>
      </w:pPr>
    </w:p>
    <w:p>
      <w:pPr>
        <w:pStyle w:val="40"/>
        <w:numPr>
          <w:ilvl w:val="0"/>
          <w:numId w:val="20"/>
        </w:numPr>
        <w:spacing w:line="276" w:lineRule="auto"/>
        <w:ind w:left="426" w:hanging="426"/>
        <w:jc w:val="both"/>
        <w:rPr>
          <w:rFonts w:ascii="Trebuchet MS" w:hAnsi="Trebuchet MS" w:cs="Arial"/>
        </w:rPr>
      </w:pPr>
      <w:r>
        <w:rPr>
          <w:rFonts w:ascii="Trebuchet MS" w:hAnsi="Trebuchet MS" w:cs="Arial"/>
        </w:rPr>
        <w:t>Sposoby złożenia oferty za pośrednictwem Platformy przetargowej oraz potwierdzenia złożenia oferty, zostały opisane w Instrukcjach użytkowników Platformy przetargowej (</w:t>
      </w:r>
      <w:r>
        <w:fldChar w:fldCharType="begin"/>
      </w:r>
      <w:r>
        <w:instrText xml:space="preserve"> HYPERLINK "https://platformazakupowa.pl/pn/wolbrom/" </w:instrText>
      </w:r>
      <w:r>
        <w:fldChar w:fldCharType="separate"/>
      </w:r>
      <w:r>
        <w:rPr>
          <w:rStyle w:val="31"/>
          <w:rFonts w:ascii="Trebuchet MS" w:hAnsi="Trebuchet MS" w:cs="Arial"/>
        </w:rPr>
        <w:t>https://platformazakupowa.pl/pn/wolbrom</w:t>
      </w:r>
      <w:r>
        <w:rPr>
          <w:rStyle w:val="31"/>
          <w:rFonts w:ascii="Trebuchet MS" w:hAnsi="Trebuchet MS" w:cs="Arial"/>
        </w:rPr>
        <w:fldChar w:fldCharType="end"/>
      </w:r>
      <w:r>
        <w:rPr>
          <w:rFonts w:ascii="Trebuchet MS" w:hAnsi="Trebuchet MS" w:cs="Arial"/>
        </w:rPr>
        <w:t xml:space="preserve">  w zakładce Regulamin/Instrukcje).</w:t>
      </w:r>
    </w:p>
    <w:p>
      <w:pPr>
        <w:autoSpaceDE w:val="0"/>
        <w:autoSpaceDN w:val="0"/>
        <w:adjustRightInd w:val="0"/>
        <w:spacing w:line="276" w:lineRule="auto"/>
        <w:ind w:firstLine="426"/>
        <w:rPr>
          <w:color w:val="000000"/>
          <w:sz w:val="24"/>
          <w:szCs w:val="24"/>
        </w:rPr>
      </w:pPr>
    </w:p>
    <w:p>
      <w:pPr>
        <w:pStyle w:val="40"/>
        <w:numPr>
          <w:ilvl w:val="0"/>
          <w:numId w:val="20"/>
        </w:numPr>
        <w:spacing w:line="276" w:lineRule="auto"/>
        <w:ind w:left="426" w:hanging="426"/>
        <w:jc w:val="both"/>
        <w:rPr>
          <w:rFonts w:ascii="Trebuchet MS" w:hAnsi="Trebuchet MS" w:cs="Arial"/>
        </w:rPr>
      </w:pPr>
      <w:r>
        <w:rPr>
          <w:rFonts w:ascii="Trebuchet MS" w:hAnsi="Trebuchet MS"/>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(tj. Dz.U. z 202</w:t>
      </w:r>
      <w:r>
        <w:rPr>
          <w:rFonts w:hint="default" w:ascii="Trebuchet MS" w:hAnsi="Trebuchet MS"/>
          <w:lang w:val="pl-PL"/>
        </w:rPr>
        <w:t>3</w:t>
      </w:r>
      <w:r>
        <w:rPr>
          <w:rFonts w:ascii="Trebuchet MS" w:hAnsi="Trebuchet MS"/>
        </w:rPr>
        <w:t xml:space="preserve">r. poz. </w:t>
      </w:r>
      <w:r>
        <w:rPr>
          <w:rFonts w:hint="default" w:ascii="Trebuchet MS" w:hAnsi="Trebuchet MS"/>
          <w:lang w:val="pl-PL"/>
        </w:rPr>
        <w:t>5</w:t>
      </w:r>
      <w:r>
        <w:rPr>
          <w:rFonts w:ascii="Trebuchet MS" w:hAnsi="Trebuchet MS"/>
        </w:rPr>
        <w:t>7 z późn. zm.), z zastrzeżeniem formatów, o których mowa w art. 66 ust. 1 ustawy, z uwzględnieniem rodzaju przekazywanych danych.</w:t>
      </w:r>
    </w:p>
    <w:p>
      <w:pPr>
        <w:spacing w:line="276" w:lineRule="auto"/>
        <w:rPr>
          <w:rFonts w:ascii="Trebuchet MS" w:hAnsi="Trebuchet MS" w:cs="Arial"/>
        </w:rPr>
      </w:pPr>
      <w:r>
        <w:rPr>
          <w:rFonts w:ascii="Trebuchet MS" w:hAnsi="Trebuchet MS" w:cs="Arial"/>
        </w:rPr>
        <w:t xml:space="preserve"> </w:t>
      </w:r>
    </w:p>
    <w:p>
      <w:pPr>
        <w:pStyle w:val="40"/>
        <w:numPr>
          <w:ilvl w:val="0"/>
          <w:numId w:val="20"/>
        </w:numPr>
        <w:spacing w:line="276" w:lineRule="auto"/>
        <w:ind w:left="426" w:hanging="426"/>
        <w:jc w:val="both"/>
        <w:rPr>
          <w:rFonts w:ascii="Trebuchet MS" w:hAnsi="Trebuchet MS" w:cs="Arial"/>
        </w:rPr>
      </w:pPr>
      <w:r>
        <w:rPr>
          <w:rFonts w:ascii="Trebuchet MS" w:hAnsi="Trebuchet MS"/>
        </w:rPr>
        <w:t>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pPr>
        <w:spacing w:line="276" w:lineRule="auto"/>
        <w:rPr>
          <w:rFonts w:ascii="Trebuchet MS" w:hAnsi="Trebuchet MS" w:cs="Arial"/>
        </w:rPr>
      </w:pPr>
    </w:p>
    <w:p>
      <w:pPr>
        <w:pStyle w:val="40"/>
        <w:numPr>
          <w:ilvl w:val="0"/>
          <w:numId w:val="20"/>
        </w:numPr>
        <w:spacing w:line="276" w:lineRule="auto"/>
        <w:ind w:left="426" w:hanging="426"/>
        <w:jc w:val="both"/>
        <w:rPr>
          <w:rFonts w:ascii="Trebuchet MS" w:hAnsi="Trebuchet MS" w:cs="Arial"/>
        </w:rPr>
      </w:pPr>
      <w:r>
        <w:rPr>
          <w:rFonts w:ascii="Trebuchet MS" w:hAnsi="Trebuchet MS"/>
        </w:rPr>
        <w:t>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w:t>
      </w:r>
      <w:r>
        <w:rPr>
          <w:rFonts w:hint="default" w:ascii="Trebuchet MS" w:hAnsi="Trebuchet MS"/>
          <w:lang w:val="pl-PL"/>
        </w:rPr>
        <w:t xml:space="preserve">tj. </w:t>
      </w:r>
      <w:r>
        <w:rPr>
          <w:rFonts w:ascii="Trebuchet MS" w:hAnsi="Trebuchet MS"/>
        </w:rPr>
        <w:t>Dz. U. z 2022r. poz. 1233), Wykonawca, w celu utrzymania w poufności tych informacji, przekazuje je w wydzielonym i odpowiednio oznaczonym pliku.</w:t>
      </w:r>
    </w:p>
    <w:p>
      <w:pPr>
        <w:spacing w:line="276" w:lineRule="auto"/>
        <w:rPr>
          <w:rFonts w:ascii="Trebuchet MS" w:hAnsi="Trebuchet MS" w:cs="Arial"/>
        </w:rPr>
      </w:pPr>
    </w:p>
    <w:p>
      <w:pPr>
        <w:pStyle w:val="40"/>
        <w:numPr>
          <w:ilvl w:val="0"/>
          <w:numId w:val="20"/>
        </w:numPr>
        <w:spacing w:line="276" w:lineRule="auto"/>
        <w:ind w:left="426" w:hanging="426"/>
        <w:jc w:val="both"/>
        <w:rPr>
          <w:rFonts w:ascii="Trebuchet MS" w:hAnsi="Trebuchet MS" w:cs="Arial"/>
        </w:rPr>
      </w:pPr>
      <w:r>
        <w:rPr>
          <w:rFonts w:ascii="Trebuchet MS" w:hAnsi="Trebuchet MS"/>
        </w:rPr>
        <w:t>Podmiotowe środki dowodowe, przedmiotowe środki dowodowe oraz inne dokumenty lub oświadczenia, sporządzone w języku obcym przekazuje się wraz z tłumaczeniem na język polski.</w:t>
      </w:r>
    </w:p>
    <w:p>
      <w:pPr>
        <w:spacing w:line="276" w:lineRule="auto"/>
        <w:rPr>
          <w:rFonts w:ascii="Trebuchet MS" w:hAnsi="Trebuchet MS" w:cs="Arial"/>
        </w:rPr>
      </w:pPr>
    </w:p>
    <w:p>
      <w:pPr>
        <w:pStyle w:val="40"/>
        <w:numPr>
          <w:ilvl w:val="0"/>
          <w:numId w:val="20"/>
        </w:numPr>
        <w:spacing w:line="276" w:lineRule="auto"/>
        <w:ind w:left="426" w:hanging="426"/>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pPr>
        <w:spacing w:line="276" w:lineRule="auto"/>
        <w:rPr>
          <w:rFonts w:ascii="Trebuchet MS" w:hAnsi="Trebuchet MS" w:cs="Arial"/>
          <w:sz w:val="10"/>
          <w:szCs w:val="10"/>
        </w:rPr>
      </w:pPr>
    </w:p>
    <w:p>
      <w:pPr>
        <w:pStyle w:val="40"/>
        <w:numPr>
          <w:ilvl w:val="1"/>
          <w:numId w:val="20"/>
        </w:numPr>
        <w:tabs>
          <w:tab w:val="left" w:pos="851"/>
        </w:tabs>
        <w:spacing w:line="276" w:lineRule="auto"/>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pPr>
        <w:tabs>
          <w:tab w:val="left" w:pos="851"/>
        </w:tabs>
        <w:spacing w:line="276" w:lineRule="auto"/>
        <w:ind w:left="360"/>
        <w:jc w:val="both"/>
        <w:rPr>
          <w:rFonts w:ascii="Trebuchet MS" w:hAnsi="Trebuchet MS" w:cs="Arial"/>
          <w:sz w:val="10"/>
          <w:szCs w:val="10"/>
        </w:rPr>
      </w:pPr>
    </w:p>
    <w:p>
      <w:pPr>
        <w:pStyle w:val="40"/>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10.1. niniejszego rozdziału SWZ, dokonuje w przypadku:</w:t>
      </w:r>
    </w:p>
    <w:p>
      <w:pPr>
        <w:spacing w:line="276" w:lineRule="auto"/>
        <w:rPr>
          <w:rFonts w:ascii="Trebuchet MS" w:hAnsi="Trebuchet MS" w:cs="Arial"/>
          <w:sz w:val="10"/>
          <w:szCs w:val="10"/>
        </w:rPr>
      </w:pPr>
    </w:p>
    <w:p>
      <w:pPr>
        <w:autoSpaceDE w:val="0"/>
        <w:autoSpaceDN w:val="0"/>
        <w:adjustRightInd w:val="0"/>
        <w:spacing w:line="276" w:lineRule="auto"/>
        <w:ind w:left="851" w:hanging="425"/>
        <w:jc w:val="both"/>
        <w:rPr>
          <w:rFonts w:ascii="Trebuchet MS" w:hAnsi="Trebuchet MS"/>
        </w:rPr>
      </w:pPr>
      <w:r>
        <w:rPr>
          <w:rFonts w:ascii="Trebuchet MS" w:hAnsi="Trebuchet MS"/>
        </w:rPr>
        <w:t>1)</w:t>
      </w:r>
      <w:r>
        <w:rPr>
          <w:rFonts w:ascii="Trebuchet MS" w:hAnsi="Trebuchet MS"/>
        </w:rPr>
        <w:tab/>
      </w:r>
      <w:r>
        <w:rPr>
          <w:rFonts w:ascii="Trebuchet MS" w:hAnsi="Trebuchet M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pPr>
        <w:autoSpaceDE w:val="0"/>
        <w:autoSpaceDN w:val="0"/>
        <w:adjustRightInd w:val="0"/>
        <w:spacing w:line="276" w:lineRule="auto"/>
        <w:ind w:left="851" w:hanging="425"/>
        <w:jc w:val="both"/>
        <w:rPr>
          <w:rFonts w:ascii="Trebuchet MS" w:hAnsi="Trebuchet MS"/>
        </w:rPr>
      </w:pPr>
      <w:r>
        <w:rPr>
          <w:rFonts w:ascii="Trebuchet MS" w:hAnsi="Trebuchet MS"/>
        </w:rPr>
        <w:t>2)</w:t>
      </w:r>
      <w:r>
        <w:rPr>
          <w:rFonts w:ascii="Trebuchet MS" w:hAnsi="Trebuchet MS"/>
        </w:rPr>
        <w:tab/>
      </w:r>
      <w:r>
        <w:rPr>
          <w:rFonts w:ascii="Trebuchet MS" w:hAnsi="Trebuchet MS"/>
        </w:rPr>
        <w:t>przedmiotowych środków dowodowych – odpowiednio Wykonawca lub Wykonawca wspólnie ubiegający się o udzielenie zamówienia;</w:t>
      </w:r>
    </w:p>
    <w:p>
      <w:pPr>
        <w:spacing w:line="276" w:lineRule="auto"/>
        <w:ind w:left="851" w:hanging="425"/>
        <w:jc w:val="both"/>
        <w:rPr>
          <w:rFonts w:ascii="Trebuchet MS" w:hAnsi="Trebuchet MS" w:cs="Arial"/>
        </w:rPr>
      </w:pPr>
      <w:r>
        <w:rPr>
          <w:rFonts w:ascii="Trebuchet MS" w:hAnsi="Trebuchet MS"/>
        </w:rPr>
        <w:t>3)</w:t>
      </w:r>
      <w:r>
        <w:rPr>
          <w:rFonts w:ascii="Trebuchet MS" w:hAnsi="Trebuchet MS"/>
        </w:rPr>
        <w:tab/>
      </w:r>
      <w:r>
        <w:rPr>
          <w:rFonts w:ascii="Trebuchet MS" w:hAnsi="Trebuchet MS"/>
        </w:rPr>
        <w:t>innych dokumentów – odpowiednio Wykonawca lub Wykonawca wspólnie ubiegający się o udzielenie zamówienia, w zakresie dokumentów, które każdego z nich dotyczą.</w:t>
      </w:r>
    </w:p>
    <w:p>
      <w:pPr>
        <w:spacing w:line="276" w:lineRule="auto"/>
        <w:rPr>
          <w:rFonts w:ascii="Trebuchet MS" w:hAnsi="Trebuchet MS" w:cs="Arial"/>
          <w:sz w:val="10"/>
          <w:szCs w:val="10"/>
        </w:rPr>
      </w:pPr>
    </w:p>
    <w:p>
      <w:pPr>
        <w:pStyle w:val="40"/>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10.1. niniejszego rozdziału SWZ, może dokonać również notariusz.</w:t>
      </w:r>
    </w:p>
    <w:p>
      <w:pPr>
        <w:tabs>
          <w:tab w:val="left" w:pos="851"/>
        </w:tabs>
        <w:spacing w:line="276" w:lineRule="auto"/>
        <w:ind w:left="360"/>
        <w:jc w:val="both"/>
        <w:rPr>
          <w:rFonts w:ascii="Trebuchet MS" w:hAnsi="Trebuchet MS" w:cs="Arial"/>
          <w:sz w:val="10"/>
          <w:szCs w:val="10"/>
        </w:rPr>
      </w:pPr>
    </w:p>
    <w:p>
      <w:pPr>
        <w:pStyle w:val="40"/>
        <w:numPr>
          <w:ilvl w:val="1"/>
          <w:numId w:val="20"/>
        </w:numPr>
        <w:tabs>
          <w:tab w:val="left" w:pos="851"/>
        </w:tabs>
        <w:spacing w:line="276" w:lineRule="auto"/>
        <w:jc w:val="both"/>
        <w:rPr>
          <w:rFonts w:ascii="Trebuchet MS" w:hAnsi="Trebuchet MS" w:cs="Arial"/>
        </w:rPr>
      </w:pPr>
      <w:r>
        <w:rPr>
          <w:rFonts w:ascii="Trebuchet MS" w:hAnsi="Trebuchet MS"/>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pPr>
        <w:spacing w:line="276" w:lineRule="auto"/>
        <w:rPr>
          <w:rFonts w:ascii="Trebuchet MS" w:hAnsi="Trebuchet MS" w:cs="Arial"/>
        </w:rPr>
      </w:pPr>
    </w:p>
    <w:p>
      <w:pPr>
        <w:pStyle w:val="40"/>
        <w:numPr>
          <w:ilvl w:val="0"/>
          <w:numId w:val="20"/>
        </w:numPr>
        <w:spacing w:line="276" w:lineRule="auto"/>
        <w:ind w:left="426" w:hanging="426"/>
        <w:jc w:val="both"/>
        <w:rPr>
          <w:rFonts w:ascii="Trebuchet MS" w:hAnsi="Trebuchet MS" w:cs="Arial"/>
        </w:rPr>
      </w:pPr>
      <w:r>
        <w:rPr>
          <w:rFonts w:ascii="Trebuchet MS" w:hAnsi="Trebuchet MS"/>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pPr>
        <w:spacing w:line="360" w:lineRule="auto"/>
        <w:rPr>
          <w:rFonts w:ascii="Trebuchet MS" w:hAnsi="Trebuchet MS" w:cs="Arial"/>
          <w:sz w:val="10"/>
          <w:szCs w:val="10"/>
        </w:rPr>
      </w:pPr>
    </w:p>
    <w:p>
      <w:pPr>
        <w:pStyle w:val="40"/>
        <w:numPr>
          <w:ilvl w:val="1"/>
          <w:numId w:val="20"/>
        </w:numPr>
        <w:tabs>
          <w:tab w:val="left" w:pos="851"/>
        </w:tabs>
        <w:spacing w:line="276" w:lineRule="auto"/>
        <w:jc w:val="both"/>
        <w:rPr>
          <w:rFonts w:ascii="Trebuchet MS" w:hAnsi="Trebuchet MS" w:cs="Arial"/>
        </w:rPr>
      </w:pPr>
      <w:r>
        <w:rPr>
          <w:rFonts w:ascii="Trebuchet MS" w:hAnsi="Trebuchet MS"/>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pPr>
        <w:pStyle w:val="40"/>
        <w:tabs>
          <w:tab w:val="left" w:pos="851"/>
        </w:tabs>
        <w:spacing w:line="276" w:lineRule="auto"/>
        <w:ind w:left="720"/>
        <w:jc w:val="both"/>
        <w:rPr>
          <w:rFonts w:ascii="Trebuchet MS" w:hAnsi="Trebuchet MS" w:cs="Arial"/>
          <w:sz w:val="10"/>
          <w:szCs w:val="10"/>
        </w:rPr>
      </w:pPr>
    </w:p>
    <w:p>
      <w:pPr>
        <w:pStyle w:val="40"/>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dokonuje w przypadku:</w:t>
      </w:r>
    </w:p>
    <w:p>
      <w:pPr>
        <w:spacing w:line="276" w:lineRule="auto"/>
        <w:jc w:val="both"/>
        <w:rPr>
          <w:rFonts w:ascii="Trebuchet MS" w:hAnsi="Trebuchet MS" w:cs="Arial"/>
          <w:sz w:val="10"/>
          <w:szCs w:val="10"/>
        </w:rPr>
      </w:pPr>
    </w:p>
    <w:p>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pPr>
        <w:autoSpaceDE w:val="0"/>
        <w:autoSpaceDN w:val="0"/>
        <w:adjustRightInd w:val="0"/>
        <w:spacing w:line="276"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przedmiotowego środka dowodowego oświadczenia, o którym mowa w art. 117 ust. 4 ustawy, lub zobowiązania podmiotu udostępniającego zasoby – odpowiednio Wykonawca lub Wykonawca wspólnie ubiegający się o udzielenie zamówienia; </w:t>
      </w:r>
    </w:p>
    <w:p>
      <w:pPr>
        <w:spacing w:line="276" w:lineRule="auto"/>
        <w:ind w:left="851" w:hanging="284"/>
        <w:jc w:val="both"/>
        <w:rPr>
          <w:rFonts w:ascii="Trebuchet MS" w:hAnsi="Trebuchet MS" w:cs="Arial"/>
        </w:rPr>
      </w:pPr>
      <w:r>
        <w:rPr>
          <w:rFonts w:ascii="Trebuchet MS" w:hAnsi="Trebuchet MS"/>
        </w:rPr>
        <w:t>3)</w:t>
      </w:r>
      <w:r>
        <w:rPr>
          <w:rFonts w:ascii="Trebuchet MS" w:hAnsi="Trebuchet MS"/>
        </w:rPr>
        <w:tab/>
      </w:r>
      <w:r>
        <w:rPr>
          <w:rFonts w:ascii="Trebuchet MS" w:hAnsi="Trebuchet MS"/>
        </w:rPr>
        <w:t>pełnomocnictwa – mocodawca.</w:t>
      </w:r>
    </w:p>
    <w:p>
      <w:pPr>
        <w:spacing w:line="276" w:lineRule="auto"/>
        <w:rPr>
          <w:rFonts w:ascii="Trebuchet MS" w:hAnsi="Trebuchet MS" w:cs="Arial"/>
          <w:sz w:val="10"/>
          <w:szCs w:val="10"/>
        </w:rPr>
      </w:pPr>
    </w:p>
    <w:p>
      <w:pPr>
        <w:pStyle w:val="40"/>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może dokonać również notariusz.</w:t>
      </w:r>
    </w:p>
    <w:p>
      <w:pPr>
        <w:spacing w:line="276" w:lineRule="auto"/>
        <w:jc w:val="both"/>
        <w:rPr>
          <w:rFonts w:ascii="Trebuchet MS" w:hAnsi="Trebuchet MS" w:cs="Arial"/>
        </w:rPr>
      </w:pPr>
    </w:p>
    <w:p>
      <w:pPr>
        <w:pStyle w:val="40"/>
        <w:numPr>
          <w:ilvl w:val="0"/>
          <w:numId w:val="20"/>
        </w:numPr>
        <w:spacing w:line="276" w:lineRule="auto"/>
        <w:ind w:left="426" w:hanging="426"/>
        <w:jc w:val="both"/>
        <w:rPr>
          <w:rFonts w:ascii="Trebuchet MS" w:hAnsi="Trebuchet MS" w:cs="Arial"/>
        </w:rPr>
      </w:pPr>
      <w:r>
        <w:rPr>
          <w:rFonts w:ascii="Trebuchet MS" w:hAnsi="Trebuchet M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pPr>
        <w:spacing w:line="276" w:lineRule="auto"/>
        <w:rPr>
          <w:rFonts w:ascii="Trebuchet MS" w:hAnsi="Trebuchet MS" w:cs="Arial"/>
        </w:rPr>
      </w:pPr>
    </w:p>
    <w:p>
      <w:pPr>
        <w:pStyle w:val="40"/>
        <w:numPr>
          <w:ilvl w:val="0"/>
          <w:numId w:val="20"/>
        </w:numPr>
        <w:spacing w:line="276" w:lineRule="auto"/>
        <w:ind w:left="426" w:hanging="426"/>
        <w:jc w:val="both"/>
        <w:rPr>
          <w:rFonts w:ascii="Trebuchet MS" w:hAnsi="Trebuchet MS" w:cs="Arial"/>
        </w:rPr>
      </w:pPr>
      <w:r>
        <w:rPr>
          <w:rFonts w:ascii="Trebuchet MS" w:hAnsi="Trebuchet MS"/>
        </w:rPr>
        <w:t>Dokumenty elektroniczne w postępowaniu spełniają łącznie następujące wymagania:</w:t>
      </w:r>
    </w:p>
    <w:p>
      <w:pPr>
        <w:spacing w:line="276" w:lineRule="auto"/>
        <w:rPr>
          <w:rFonts w:ascii="Trebuchet MS" w:hAnsi="Trebuchet MS" w:cs="Arial"/>
          <w:sz w:val="10"/>
          <w:szCs w:val="10"/>
        </w:rPr>
      </w:pPr>
    </w:p>
    <w:p>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są utrwalone w sposób umożliwiający ich wielokrotne odczytanie, zapisanie i powielenie, a także przekazanie przy użyciu środków komunikacji elektronicznej lub na informatycznym nośniku danych; </w:t>
      </w:r>
    </w:p>
    <w:p>
      <w:pPr>
        <w:autoSpaceDE w:val="0"/>
        <w:autoSpaceDN w:val="0"/>
        <w:adjustRightInd w:val="0"/>
        <w:spacing w:line="276"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umożliwiają prezentację treści w postaci elektronicznej, w szczególności przez wyświetlenie tej treści na monitorze ekranowym; </w:t>
      </w:r>
    </w:p>
    <w:p>
      <w:pPr>
        <w:autoSpaceDE w:val="0"/>
        <w:autoSpaceDN w:val="0"/>
        <w:adjustRightInd w:val="0"/>
        <w:spacing w:line="276" w:lineRule="auto"/>
        <w:ind w:left="851" w:hanging="284"/>
        <w:jc w:val="both"/>
        <w:rPr>
          <w:rFonts w:ascii="Trebuchet MS" w:hAnsi="Trebuchet MS"/>
        </w:rPr>
      </w:pPr>
      <w:r>
        <w:rPr>
          <w:rFonts w:ascii="Trebuchet MS" w:hAnsi="Trebuchet MS"/>
        </w:rPr>
        <w:t>3)</w:t>
      </w:r>
      <w:r>
        <w:rPr>
          <w:rFonts w:ascii="Trebuchet MS" w:hAnsi="Trebuchet MS"/>
        </w:rPr>
        <w:tab/>
      </w:r>
      <w:r>
        <w:rPr>
          <w:rFonts w:ascii="Trebuchet MS" w:hAnsi="Trebuchet MS"/>
        </w:rPr>
        <w:t xml:space="preserve">umożliwiają prezentację treści w postaci papierowej, w szczególności za pomocą wydruku; </w:t>
      </w:r>
    </w:p>
    <w:p>
      <w:pPr>
        <w:spacing w:line="276" w:lineRule="auto"/>
        <w:ind w:left="851" w:hanging="284"/>
        <w:jc w:val="both"/>
        <w:rPr>
          <w:rFonts w:ascii="Trebuchet MS" w:hAnsi="Trebuchet MS"/>
        </w:rPr>
      </w:pPr>
      <w:r>
        <w:rPr>
          <w:rFonts w:ascii="Trebuchet MS" w:hAnsi="Trebuchet MS"/>
        </w:rPr>
        <w:t>4)</w:t>
      </w:r>
      <w:r>
        <w:rPr>
          <w:rFonts w:ascii="Trebuchet MS" w:hAnsi="Trebuchet MS"/>
        </w:rPr>
        <w:tab/>
      </w:r>
      <w:r>
        <w:rPr>
          <w:rFonts w:ascii="Trebuchet MS" w:hAnsi="Trebuchet MS"/>
        </w:rPr>
        <w:t>zawierają dane w układzie niepozostawiającym wątpliwości co do treści i kontekstu zapisanych informacji.</w:t>
      </w:r>
    </w:p>
    <w:p>
      <w:pPr>
        <w:spacing w:line="276" w:lineRule="auto"/>
        <w:jc w:val="both"/>
        <w:rPr>
          <w:rFonts w:ascii="Trebuchet MS" w:hAnsi="Trebuchet MS" w:cs="Arial"/>
        </w:rPr>
      </w:pPr>
    </w:p>
    <w:p>
      <w:pPr>
        <w:pStyle w:val="40"/>
        <w:numPr>
          <w:ilvl w:val="0"/>
          <w:numId w:val="20"/>
        </w:numPr>
        <w:spacing w:line="276" w:lineRule="auto"/>
        <w:ind w:left="426" w:hanging="426"/>
        <w:jc w:val="both"/>
        <w:rPr>
          <w:rFonts w:ascii="Trebuchet MS" w:hAnsi="Trebuchet MS" w:cs="Arial"/>
        </w:rPr>
      </w:pPr>
      <w:r>
        <w:rPr>
          <w:rFonts w:ascii="Trebuchet MS" w:hAnsi="Trebuchet MS"/>
        </w:rPr>
        <w:t>Zamawiający informuje, iż w przypadku przesyłania przez Wykonawcę dokumentów elektronicznych skompresowanych (w tym oferty przetargowej) dopuszczone są wyłącznie formaty danych wskazane w Rozporządzeniu Rady Ministrów z dnia 12 kwietnia 2012 r.</w:t>
      </w:r>
      <w:r>
        <w:rPr>
          <w:rFonts w:hint="default" w:ascii="Trebuchet MS" w:hAnsi="Trebuchet MS"/>
          <w:lang w:val="pl-PL"/>
        </w:rPr>
        <w:t xml:space="preserve"> </w:t>
      </w:r>
      <w:r>
        <w:rPr>
          <w:rFonts w:ascii="Trebuchet MS" w:hAnsi="Trebuchet MS"/>
        </w:rPr>
        <w:t xml:space="preserve">w sprawie Krajowych Ram Interoperacyjności, minimalnych wymagań dla rejestrów publicznych i wymiany informacji w postaci elektronicznej oraz minimalnych wymagań dla systemów teleinformatycznych z zastrzeżeniem, iż Zamawiający dopuszcza możliwość przysyłania dokumentów elektronicznych </w:t>
      </w:r>
      <w:r>
        <w:rPr>
          <w:rFonts w:ascii="Trebuchet MS" w:hAnsi="Trebuchet MS"/>
        </w:rPr>
        <w:br w:type="textWrapping"/>
      </w:r>
      <w:r>
        <w:rPr>
          <w:rFonts w:ascii="Trebuchet MS" w:hAnsi="Trebuchet MS"/>
        </w:rPr>
        <w:t>(w tym oferty) skompresowanych formatem .rar</w:t>
      </w:r>
      <w:r>
        <w:rPr>
          <w:rFonts w:hint="default" w:ascii="Trebuchet MS" w:hAnsi="Trebuchet MS"/>
          <w:lang w:val="pl-PL"/>
        </w:rPr>
        <w:t>.</w:t>
      </w:r>
    </w:p>
    <w:p>
      <w:pPr>
        <w:spacing w:line="276" w:lineRule="auto"/>
        <w:jc w:val="both"/>
        <w:rPr>
          <w:rFonts w:ascii="Trebuchet MS" w:hAnsi="Trebuchet MS"/>
          <w:color w:val="000000" w:themeColor="text1"/>
        </w:rPr>
      </w:pPr>
    </w:p>
    <w:p>
      <w:pPr>
        <w:pStyle w:val="40"/>
        <w:numPr>
          <w:ilvl w:val="0"/>
          <w:numId w:val="20"/>
        </w:numPr>
        <w:spacing w:line="276" w:lineRule="auto"/>
        <w:ind w:left="425" w:hanging="426"/>
        <w:jc w:val="both"/>
        <w:rPr>
          <w:rFonts w:ascii="Trebuchet MS" w:hAnsi="Trebuchet MS" w:cs="Arial"/>
          <w:color w:val="000000" w:themeColor="text1"/>
        </w:rPr>
      </w:pPr>
      <w:r>
        <w:rPr>
          <w:rFonts w:ascii="Trebuchet MS" w:hAnsi="Trebuchet MS"/>
          <w:color w:val="000000" w:themeColor="text1"/>
        </w:rPr>
        <w:t>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pPr>
        <w:pStyle w:val="40"/>
        <w:spacing w:line="276" w:lineRule="auto"/>
        <w:ind w:left="425"/>
        <w:jc w:val="both"/>
        <w:rPr>
          <w:rFonts w:ascii="Trebuchet MS" w:hAnsi="Trebuchet MS" w:cs="Arial"/>
          <w:color w:val="000000" w:themeColor="text1"/>
        </w:rPr>
      </w:pPr>
      <w:r>
        <w:rPr>
          <w:rFonts w:ascii="Trebuchet MS" w:hAnsi="Trebuchet MS"/>
          <w:color w:val="000000" w:themeColor="text1"/>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pPr>
        <w:pStyle w:val="14"/>
        <w:spacing w:line="360" w:lineRule="auto"/>
        <w:ind w:left="1701" w:hanging="1701"/>
        <w:jc w:val="center"/>
        <w:rPr>
          <w:rFonts w:ascii="Trebuchet MS" w:hAnsi="Trebuchet MS" w:cs="Arial"/>
          <w:b/>
          <w:sz w:val="20"/>
        </w:rPr>
      </w:pPr>
    </w:p>
    <w:p>
      <w:pPr>
        <w:pStyle w:val="40"/>
        <w:numPr>
          <w:ilvl w:val="0"/>
          <w:numId w:val="10"/>
        </w:numPr>
        <w:tabs>
          <w:tab w:val="left" w:pos="1701"/>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SPOSOBU UDZIELANIA WYJAŚNIEŃ DOTYCZĄCYCH SPECYFIKACJI WARUNKÓW ZAMÓWIENIA</w:t>
      </w:r>
    </w:p>
    <w:p>
      <w:pPr>
        <w:pStyle w:val="14"/>
        <w:spacing w:line="360" w:lineRule="auto"/>
        <w:ind w:right="28"/>
        <w:rPr>
          <w:rFonts w:ascii="Trebuchet MS" w:hAnsi="Trebuchet MS" w:cs="Arial"/>
          <w:sz w:val="18"/>
        </w:rPr>
      </w:pPr>
    </w:p>
    <w:p>
      <w:pPr>
        <w:pStyle w:val="14"/>
        <w:numPr>
          <w:ilvl w:val="0"/>
          <w:numId w:val="21"/>
        </w:numPr>
        <w:tabs>
          <w:tab w:val="left" w:pos="426"/>
          <w:tab w:val="clear" w:pos="567"/>
        </w:tabs>
        <w:spacing w:line="276" w:lineRule="auto"/>
        <w:ind w:right="28"/>
        <w:rPr>
          <w:rFonts w:ascii="Trebuchet MS" w:hAnsi="Trebuchet MS" w:cs="Arial"/>
          <w:sz w:val="20"/>
        </w:rPr>
      </w:pPr>
      <w:r>
        <w:rPr>
          <w:rFonts w:ascii="Trebuchet MS" w:hAnsi="Trebuchet MS" w:cs="Arial"/>
          <w:sz w:val="20"/>
        </w:rPr>
        <w:t>Treść SWZ wraz z załącznikami zamieszczona jest na Platformie przetargowej.</w:t>
      </w:r>
    </w:p>
    <w:p>
      <w:pPr>
        <w:pStyle w:val="14"/>
        <w:numPr>
          <w:ilvl w:val="0"/>
          <w:numId w:val="21"/>
        </w:numPr>
        <w:tabs>
          <w:tab w:val="left" w:pos="426"/>
          <w:tab w:val="clear" w:pos="567"/>
        </w:tabs>
        <w:spacing w:line="276" w:lineRule="auto"/>
        <w:ind w:right="28"/>
        <w:rPr>
          <w:rFonts w:ascii="Trebuchet MS" w:hAnsi="Trebuchet MS" w:cs="Arial"/>
          <w:sz w:val="20"/>
        </w:rPr>
      </w:pPr>
      <w:r>
        <w:rPr>
          <w:rFonts w:ascii="Trebuchet MS" w:hAnsi="Trebuchet MS" w:cs="Arial"/>
          <w:sz w:val="20"/>
        </w:rPr>
        <w:t>Wykonawca może zwrócić się do Zamawiającego z wnioskiem o wyjaśnienie treści SWZ.</w:t>
      </w:r>
    </w:p>
    <w:p>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Zamawiający niezwłocznie udzieli wyjaśnień, jednakże nie później niż na 2 dni przed upływem terminu składania ofert, o ile wniosek o wyjaśnienie SWZ wpłynie do Zamawiającego nie później niż na 4 dni przed upływem terminu składania ofert.</w:t>
      </w:r>
    </w:p>
    <w:p>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Wszelkie wyjaśnienia, modyfikacje treści SWZ oraz inne informacje związane z niniejszym postępowaniem, Zamawiający będzie zamieszczał wyłącznie na Platformie przetargowej, w wierszu oznaczonym tytułem oraz znakiem sprawy niniejszego postępowania.</w:t>
      </w:r>
    </w:p>
    <w:p>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w:t>
      </w:r>
    </w:p>
    <w:p>
      <w:pPr>
        <w:pStyle w:val="14"/>
        <w:numPr>
          <w:ilvl w:val="0"/>
          <w:numId w:val="21"/>
        </w:numPr>
        <w:tabs>
          <w:tab w:val="left" w:pos="142"/>
          <w:tab w:val="clear" w:pos="567"/>
        </w:tabs>
        <w:spacing w:line="276" w:lineRule="auto"/>
        <w:ind w:left="426" w:right="28" w:hanging="426"/>
        <w:rPr>
          <w:rFonts w:ascii="Trebuchet MS" w:hAnsi="Trebuchet MS" w:cs="Arial"/>
          <w:sz w:val="20"/>
        </w:rPr>
      </w:pPr>
      <w:r>
        <w:rPr>
          <w:rFonts w:ascii="Trebuchet MS" w:hAnsi="Trebuchet MS" w:cs="Arial"/>
          <w:sz w:val="20"/>
        </w:rPr>
        <w:t>Zamawiający oświadcza, iż nie zamierza zwoływać zebrania Wykonawców w celu wyjaśnienia treści SWZ.</w:t>
      </w:r>
    </w:p>
    <w:p>
      <w:pPr>
        <w:pStyle w:val="14"/>
        <w:spacing w:line="276" w:lineRule="auto"/>
        <w:rPr>
          <w:rFonts w:ascii="Trebuchet MS" w:hAnsi="Trebuchet MS" w:cs="Arial"/>
          <w:sz w:val="20"/>
        </w:rPr>
      </w:pPr>
    </w:p>
    <w:p>
      <w:pPr>
        <w:pStyle w:val="40"/>
        <w:numPr>
          <w:ilvl w:val="0"/>
          <w:numId w:val="10"/>
        </w:numPr>
        <w:tabs>
          <w:tab w:val="left" w:pos="1701"/>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OSOBY ZE STRONY ZAMAWIAJĄCEGO UPRAWNIONE DO KOMUNIKOWANIA SIĘ Z WYKONAWCAMI</w:t>
      </w:r>
    </w:p>
    <w:p>
      <w:pPr>
        <w:spacing w:line="360" w:lineRule="auto"/>
        <w:jc w:val="both"/>
        <w:rPr>
          <w:rFonts w:ascii="Trebuchet MS" w:hAnsi="Trebuchet MS" w:cs="Arial"/>
          <w:sz w:val="18"/>
        </w:rPr>
      </w:pPr>
    </w:p>
    <w:p>
      <w:pPr>
        <w:pStyle w:val="14"/>
        <w:spacing w:line="276" w:lineRule="auto"/>
        <w:rPr>
          <w:rFonts w:ascii="Trebuchet MS" w:hAnsi="Trebuchet MS" w:cs="Arial"/>
          <w:sz w:val="20"/>
        </w:rPr>
      </w:pPr>
      <w:r>
        <w:rPr>
          <w:rFonts w:ascii="Trebuchet MS" w:hAnsi="Trebuchet MS" w:cs="Arial"/>
          <w:sz w:val="20"/>
        </w:rPr>
        <w:t xml:space="preserve">Zamawiający wyznacza następującą osobę do komunikowania się z Wykonawcami, w sprawach dotyczących niniejszego postępowania: </w:t>
      </w:r>
      <w:r>
        <w:rPr>
          <w:rFonts w:ascii="Trebuchet MS" w:hAnsi="Trebuchet MS" w:cs="Arial"/>
          <w:b/>
          <w:color w:val="000000"/>
          <w:sz w:val="20"/>
        </w:rPr>
        <w:t>Mateusz Patela</w:t>
      </w:r>
      <w:r>
        <w:rPr>
          <w:rFonts w:ascii="Trebuchet MS" w:hAnsi="Trebuchet MS" w:cs="Arial"/>
          <w:color w:val="000000"/>
          <w:sz w:val="20"/>
        </w:rPr>
        <w:t xml:space="preserve"> –Zamówienia Publiczne.</w:t>
      </w:r>
    </w:p>
    <w:p>
      <w:pPr>
        <w:tabs>
          <w:tab w:val="left" w:pos="1701"/>
        </w:tabs>
        <w:spacing w:line="360" w:lineRule="auto"/>
        <w:ind w:right="28"/>
        <w:jc w:val="both"/>
        <w:rPr>
          <w:rFonts w:ascii="Trebuchet MS" w:hAnsi="Trebuchet MS" w:cs="Arial"/>
          <w:b/>
        </w:rPr>
      </w:pPr>
    </w:p>
    <w:p>
      <w:pPr>
        <w:pStyle w:val="40"/>
        <w:numPr>
          <w:ilvl w:val="0"/>
          <w:numId w:val="10"/>
        </w:numPr>
        <w:tabs>
          <w:tab w:val="left" w:pos="1701"/>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SPOSOBU PRZYGOTOWANIA OFERTY</w:t>
      </w:r>
    </w:p>
    <w:p>
      <w:pPr>
        <w:pStyle w:val="15"/>
        <w:spacing w:line="360" w:lineRule="auto"/>
        <w:jc w:val="both"/>
        <w:rPr>
          <w:rFonts w:ascii="Trebuchet MS" w:hAnsi="Trebuchet MS" w:cs="Arial"/>
          <w:sz w:val="18"/>
          <w:szCs w:val="18"/>
        </w:rPr>
      </w:pPr>
    </w:p>
    <w:p>
      <w:pPr>
        <w:pStyle w:val="15"/>
        <w:numPr>
          <w:ilvl w:val="0"/>
          <w:numId w:val="22"/>
        </w:numPr>
        <w:tabs>
          <w:tab w:val="left" w:pos="426"/>
        </w:tabs>
        <w:spacing w:line="276" w:lineRule="auto"/>
        <w:ind w:left="426" w:hanging="426"/>
        <w:jc w:val="both"/>
        <w:rPr>
          <w:rFonts w:ascii="Trebuchet MS" w:hAnsi="Trebuchet MS" w:cs="Arial"/>
          <w:sz w:val="20"/>
        </w:rPr>
      </w:pPr>
      <w:r>
        <w:rPr>
          <w:rFonts w:ascii="Trebuchet MS" w:hAnsi="Trebuchet MS" w:cs="Arial"/>
          <w:sz w:val="20"/>
        </w:rPr>
        <w:t>Ofertę należy sporządzić na formularzu oferty lub według takiego samego schematu, stanowiącego załącznik nr 1</w:t>
      </w:r>
      <w:r>
        <w:rPr>
          <w:rFonts w:ascii="Trebuchet MS" w:hAnsi="Trebuchet MS" w:cs="Arial"/>
          <w:b/>
          <w:sz w:val="20"/>
        </w:rPr>
        <w:t xml:space="preserve"> </w:t>
      </w:r>
      <w:r>
        <w:rPr>
          <w:rFonts w:ascii="Trebuchet MS" w:hAnsi="Trebuchet MS" w:cs="Arial"/>
          <w:sz w:val="20"/>
        </w:rPr>
        <w:t xml:space="preserve">do SWZ. Ofertę należy złożyć pod rygorem nieważności w formie elektronicznej </w:t>
      </w:r>
      <w:r>
        <w:rPr>
          <w:rFonts w:hint="default" w:ascii="Trebuchet MS" w:hAnsi="Trebuchet MS" w:cs="Arial"/>
          <w:sz w:val="20"/>
          <w:lang w:val="pl-PL"/>
        </w:rPr>
        <w:t xml:space="preserve">            </w:t>
      </w:r>
      <w:r>
        <w:rPr>
          <w:rFonts w:ascii="Trebuchet MS" w:hAnsi="Trebuchet MS" w:cs="Arial"/>
          <w:sz w:val="20"/>
        </w:rPr>
        <w:t>(w postaci elektronicznej opatrzonej kwalifikowanym podpisem elektronicznym) lub w postaci elektronicznej opatrzonej podpisem zaufanym lub podpisem osobistym.</w:t>
      </w:r>
    </w:p>
    <w:p>
      <w:pPr>
        <w:pStyle w:val="15"/>
        <w:spacing w:line="276" w:lineRule="auto"/>
        <w:jc w:val="both"/>
        <w:rPr>
          <w:rFonts w:ascii="Trebuchet MS" w:hAnsi="Trebuchet MS" w:cs="Arial"/>
          <w:sz w:val="20"/>
        </w:rPr>
      </w:pPr>
    </w:p>
    <w:p>
      <w:pPr>
        <w:pStyle w:val="15"/>
        <w:numPr>
          <w:ilvl w:val="0"/>
          <w:numId w:val="22"/>
        </w:numPr>
        <w:tabs>
          <w:tab w:val="left" w:pos="426"/>
        </w:tabs>
        <w:spacing w:line="276" w:lineRule="auto"/>
        <w:ind w:left="425" w:hanging="425"/>
        <w:jc w:val="both"/>
        <w:rPr>
          <w:rFonts w:ascii="Trebuchet MS" w:hAnsi="Trebuchet MS" w:cs="Arial"/>
          <w:sz w:val="20"/>
        </w:rPr>
      </w:pPr>
      <w:r>
        <w:rPr>
          <w:rFonts w:ascii="Trebuchet MS" w:hAnsi="Trebuchet MS" w:cs="Arial"/>
          <w:b/>
          <w:sz w:val="20"/>
        </w:rPr>
        <w:t xml:space="preserve">Oferta wraz z załącznikami musi być złożona za pośrednictwem Platformy przetargowej. Zamawiający zaleca, aby oferta została utworzona w formacie .pdf oraz podpisana wewnętrznym </w:t>
      </w:r>
      <w:r>
        <w:rPr>
          <w:rFonts w:hint="default" w:ascii="Trebuchet MS" w:hAnsi="Trebuchet MS" w:cs="Arial"/>
          <w:b/>
          <w:sz w:val="20"/>
          <w:lang w:val="pl-PL"/>
        </w:rPr>
        <w:t xml:space="preserve">kwalifikowanym </w:t>
      </w:r>
      <w:r>
        <w:rPr>
          <w:rFonts w:ascii="Trebuchet MS" w:hAnsi="Trebuchet MS" w:cs="Arial"/>
          <w:b/>
          <w:sz w:val="20"/>
        </w:rPr>
        <w:t>podpisem elektronicznym – zgodnie z rozdz. XII ust. 2 niniejszej SWZ. W przypadku zastosowania podpisu zewnętrznego należy pamiętać o obowiązku dołączenia do pliku stanowiącego ofertę także pliku podpisującego, który generuje się automatycznie podczas złożenia podpisu.</w:t>
      </w:r>
    </w:p>
    <w:p>
      <w:pPr>
        <w:pStyle w:val="15"/>
        <w:spacing w:line="276" w:lineRule="auto"/>
        <w:jc w:val="both"/>
        <w:rPr>
          <w:rFonts w:ascii="Trebuchet MS" w:hAnsi="Trebuchet MS" w:cs="Arial"/>
          <w:sz w:val="20"/>
        </w:rPr>
      </w:pPr>
    </w:p>
    <w:p>
      <w:pPr>
        <w:pStyle w:val="15"/>
        <w:numPr>
          <w:ilvl w:val="0"/>
          <w:numId w:val="23"/>
        </w:numPr>
        <w:tabs>
          <w:tab w:val="left" w:pos="426"/>
          <w:tab w:val="left" w:pos="567"/>
        </w:tabs>
        <w:spacing w:line="276" w:lineRule="auto"/>
        <w:jc w:val="both"/>
        <w:rPr>
          <w:rFonts w:ascii="Trebuchet MS" w:hAnsi="Trebuchet MS" w:cs="Arial"/>
          <w:b/>
          <w:sz w:val="20"/>
        </w:rPr>
      </w:pPr>
      <w:r>
        <w:rPr>
          <w:rFonts w:ascii="Trebuchet MS" w:hAnsi="Trebuchet MS" w:cs="Arial"/>
          <w:b/>
          <w:sz w:val="20"/>
        </w:rPr>
        <w:t>Wraz z ofertą (dotyczy oferty składanej w odpowiedzi na ogłoszenie o zamówieniu) należy złożyć:</w:t>
      </w:r>
    </w:p>
    <w:p>
      <w:pPr>
        <w:numPr>
          <w:ilvl w:val="1"/>
          <w:numId w:val="23"/>
        </w:numPr>
        <w:tabs>
          <w:tab w:val="left" w:pos="465"/>
          <w:tab w:val="left" w:pos="891"/>
          <w:tab w:val="left" w:pos="993"/>
        </w:tabs>
        <w:spacing w:line="276" w:lineRule="auto"/>
        <w:ind w:left="822" w:hanging="397"/>
        <w:jc w:val="both"/>
        <w:rPr>
          <w:rFonts w:ascii="Trebuchet MS" w:hAnsi="Trebuchet MS" w:cs="Arial"/>
        </w:rPr>
      </w:pPr>
      <w:r>
        <w:rPr>
          <w:rFonts w:ascii="Trebuchet MS" w:hAnsi="Trebuchet MS" w:cs="Arial"/>
          <w:b/>
        </w:rPr>
        <w:t>Oświadczenie, o którym mowa w art. 125 ust. 1 ustawy</w:t>
      </w:r>
      <w:r>
        <w:rPr>
          <w:rFonts w:ascii="Trebuchet MS" w:hAnsi="Trebuchet MS" w:cs="Arial"/>
        </w:rPr>
        <w:t xml:space="preserve">, o niepodleganiu wykluczeniu z postępowania oraz spełnianiu warunków udziału w postępowaniu, w zakresie wskazanym w rozdziale XIX SWZ – zgodnie z załącznikiem nr 2 i 3 do SWZ. Oświadczenie stanowi dowód potwierdzający brak podstaw wykluczenia Wykonawcy oraz spełniania przez niego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w:t>
      </w:r>
      <w:r>
        <w:rPr>
          <w:rFonts w:ascii="Trebuchet MS" w:hAnsi="Trebuchet MS"/>
          <w:bCs/>
        </w:rPr>
        <w:t>technicznych lub zawodowych podmiotów udostępniających zasoby, przedstawia wraz z oświadczeniem, o którym wyżej mowa, także oświadczenie</w:t>
      </w:r>
      <w:r>
        <w:rPr>
          <w:rFonts w:ascii="Trebuchet MS" w:hAnsi="Trebuchet MS" w:cs="Arial"/>
        </w:rPr>
        <w:t xml:space="preserve"> podmiotu udostępniającego zasoby, potwierdzające brak</w:t>
      </w:r>
      <w:r>
        <w:rPr>
          <w:rFonts w:ascii="Trebuchet MS" w:hAnsi="Trebuchet MS"/>
          <w:bCs/>
        </w:rPr>
        <w:t xml:space="preserve"> podstaw wykluczenia tego podmiotu oraz odpowiednio spełnianie warunków udziału w postępowaniu w zakresie, w jakim Wykonawca powołuje się na jego zasoby (załącznik nr 3 do SWZ).</w:t>
      </w:r>
    </w:p>
    <w:p>
      <w:pPr>
        <w:tabs>
          <w:tab w:val="left" w:pos="993"/>
        </w:tabs>
        <w:spacing w:line="276" w:lineRule="auto"/>
        <w:jc w:val="both"/>
        <w:rPr>
          <w:rFonts w:ascii="Trebuchet MS" w:hAnsi="Trebuchet MS" w:cs="Arial"/>
          <w:sz w:val="10"/>
          <w:szCs w:val="10"/>
        </w:rPr>
      </w:pPr>
    </w:p>
    <w:p>
      <w:pPr>
        <w:pStyle w:val="15"/>
        <w:numPr>
          <w:ilvl w:val="1"/>
          <w:numId w:val="23"/>
        </w:numPr>
        <w:tabs>
          <w:tab w:val="left" w:pos="465"/>
          <w:tab w:val="left" w:pos="891"/>
          <w:tab w:val="left" w:pos="993"/>
        </w:tabs>
        <w:spacing w:line="276" w:lineRule="auto"/>
        <w:ind w:left="879" w:hanging="454"/>
        <w:jc w:val="both"/>
        <w:rPr>
          <w:rFonts w:ascii="Trebuchet MS" w:hAnsi="Trebuchet MS" w:cs="Arial"/>
          <w:sz w:val="20"/>
        </w:rPr>
      </w:pPr>
      <w:r>
        <w:rPr>
          <w:rFonts w:ascii="Trebuchet MS" w:hAnsi="Trebuchet MS" w:cs="Arial"/>
          <w:b/>
          <w:sz w:val="20"/>
        </w:rPr>
        <w:t>Oświadczenie, że Wykonawca zapoznał się z warunkami zamówienia i z projektowanymi postanowieniami umowy</w:t>
      </w:r>
      <w:r>
        <w:rPr>
          <w:rFonts w:ascii="Trebuchet MS" w:hAnsi="Trebuchet MS" w:cs="Arial"/>
          <w:sz w:val="20"/>
        </w:rPr>
        <w:t xml:space="preserve"> w sprawie zamówienia, które zostaną wprowadzone do umowy w sprawie zamówienia oraz, że przyjmuje ich treść bez żadnych zastrzeżeń – zgodnie z treścią zawartą w formularzu oferty, stanowiącym </w:t>
      </w:r>
      <w:r>
        <w:rPr>
          <w:rFonts w:ascii="Trebuchet MS" w:hAnsi="Trebuchet MS" w:cs="Arial"/>
          <w:b/>
          <w:sz w:val="20"/>
        </w:rPr>
        <w:t xml:space="preserve">załącznikiem nr 1 </w:t>
      </w:r>
      <w:r>
        <w:rPr>
          <w:rFonts w:ascii="Trebuchet MS" w:hAnsi="Trebuchet MS" w:cs="Arial"/>
          <w:sz w:val="20"/>
        </w:rPr>
        <w:t>do SWZ. Oświadczenie składa się, pod rygorem nieważności, w formie elektronicznej (w postaci elektronicznej opatrzonej kwalifikowanym podpisem elektronicznym) lub w postaci elektronicznej opatrzonej podpisem zaufanym lub podpisem osobistym</w:t>
      </w:r>
    </w:p>
    <w:p>
      <w:pPr>
        <w:pStyle w:val="15"/>
        <w:spacing w:line="276" w:lineRule="auto"/>
        <w:jc w:val="both"/>
        <w:rPr>
          <w:rFonts w:ascii="Trebuchet MS" w:hAnsi="Trebuchet MS" w:cs="Arial"/>
          <w:sz w:val="10"/>
          <w:szCs w:val="10"/>
        </w:rPr>
      </w:pPr>
    </w:p>
    <w:p>
      <w:pPr>
        <w:pStyle w:val="15"/>
        <w:numPr>
          <w:ilvl w:val="1"/>
          <w:numId w:val="23"/>
        </w:numPr>
        <w:tabs>
          <w:tab w:val="left" w:pos="891"/>
        </w:tabs>
        <w:spacing w:line="276" w:lineRule="auto"/>
        <w:ind w:left="851" w:right="28"/>
        <w:jc w:val="both"/>
        <w:rPr>
          <w:rFonts w:ascii="Trebuchet MS" w:hAnsi="Trebuchet MS" w:cs="Arial"/>
          <w:b/>
          <w:sz w:val="20"/>
        </w:rPr>
      </w:pPr>
      <w:r>
        <w:rPr>
          <w:rFonts w:ascii="Trebuchet MS" w:hAnsi="Trebuchet MS" w:cs="Arial"/>
          <w:b/>
          <w:sz w:val="20"/>
        </w:rPr>
        <w:t>Pełnomocnictwo ustanowione do reprezentowania Wykonawcy/ów ubiegającego/cych się o udzielenie zamówienia publicznego.</w:t>
      </w:r>
    </w:p>
    <w:p>
      <w:pPr>
        <w:pStyle w:val="15"/>
        <w:spacing w:line="276" w:lineRule="auto"/>
        <w:ind w:left="851" w:right="28"/>
        <w:jc w:val="both"/>
        <w:rPr>
          <w:rFonts w:ascii="Trebuchet MS" w:hAnsi="Trebuchet MS" w:cs="Arial"/>
          <w:bCs/>
          <w:sz w:val="20"/>
        </w:rPr>
      </w:pPr>
      <w:r>
        <w:rPr>
          <w:rFonts w:ascii="Trebuchet MS" w:hAnsi="Trebuchet MS" w:cs="Arial"/>
          <w:bCs/>
          <w:sz w:val="20"/>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lub notariusz.</w:t>
      </w:r>
    </w:p>
    <w:p>
      <w:pPr>
        <w:pStyle w:val="15"/>
        <w:spacing w:line="276" w:lineRule="auto"/>
        <w:ind w:right="28"/>
        <w:jc w:val="both"/>
        <w:rPr>
          <w:rFonts w:ascii="Trebuchet MS" w:hAnsi="Trebuchet MS" w:cs="Arial"/>
          <w:sz w:val="10"/>
          <w:szCs w:val="10"/>
        </w:rPr>
      </w:pPr>
    </w:p>
    <w:p>
      <w:pPr>
        <w:pStyle w:val="15"/>
        <w:numPr>
          <w:ilvl w:val="1"/>
          <w:numId w:val="23"/>
        </w:numPr>
        <w:tabs>
          <w:tab w:val="left" w:pos="891"/>
        </w:tabs>
        <w:spacing w:line="276" w:lineRule="auto"/>
        <w:ind w:left="851" w:right="28"/>
        <w:jc w:val="both"/>
        <w:rPr>
          <w:rFonts w:ascii="Trebuchet MS" w:hAnsi="Trebuchet MS" w:cs="Arial"/>
          <w:sz w:val="20"/>
        </w:rPr>
      </w:pPr>
      <w:r>
        <w:rPr>
          <w:rFonts w:ascii="Trebuchet MS" w:hAnsi="Trebuchet MS" w:cs="Arial"/>
          <w:b/>
          <w:sz w:val="20"/>
        </w:rPr>
        <w:t>Zobowiązanie podmiotu udostępniającego Wykonawcy zasoby</w:t>
      </w:r>
      <w:r>
        <w:rPr>
          <w:rFonts w:ascii="Trebuchet MS" w:hAnsi="Trebuchet MS" w:cs="Arial"/>
          <w:sz w:val="20"/>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p>
    <w:p>
      <w:pPr>
        <w:pStyle w:val="15"/>
        <w:spacing w:line="276" w:lineRule="auto"/>
        <w:ind w:left="851" w:right="28"/>
        <w:jc w:val="both"/>
        <w:rPr>
          <w:rFonts w:ascii="Trebuchet MS" w:hAnsi="Trebuchet MS" w:cs="Arial"/>
          <w:bCs/>
          <w:sz w:val="20"/>
        </w:rPr>
      </w:pPr>
      <w:r>
        <w:rPr>
          <w:rFonts w:ascii="Trebuchet MS" w:hAnsi="Trebuchet MS" w:cs="Arial"/>
          <w:sz w:val="20"/>
        </w:rPr>
        <w:t xml:space="preserve">Zobowiązanie lub inny podmiotowy środek dowodowy w opisywanym zakresie, przekazuje się w postaci elektronicznej, </w:t>
      </w:r>
      <w:r>
        <w:rPr>
          <w:rFonts w:ascii="Trebuchet MS" w:hAnsi="Trebuchet MS" w:cs="Arial"/>
          <w:bCs/>
          <w:sz w:val="20"/>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w:t>
      </w:r>
      <w:r>
        <w:t xml:space="preserve"> </w:t>
      </w:r>
      <w:r>
        <w:rPr>
          <w:rFonts w:ascii="Trebuchet MS" w:hAnsi="Trebuchet MS" w:cs="Arial"/>
          <w:bCs/>
          <w:sz w:val="20"/>
        </w:rPr>
        <w:t>opatrzone kwalifikowanym podpisem elektronicznym, podpisem zaufanym lub podpisem osobistym, poświadczającym zgodność cyfrowego odwzorowania z dokumentem w postaci papierowej.</w:t>
      </w:r>
    </w:p>
    <w:p>
      <w:pPr>
        <w:pStyle w:val="15"/>
        <w:spacing w:line="276" w:lineRule="auto"/>
        <w:ind w:left="851" w:right="28"/>
        <w:jc w:val="both"/>
        <w:rPr>
          <w:rFonts w:ascii="Trebuchet MS" w:hAnsi="Trebuchet MS" w:cs="Arial"/>
          <w:bCs/>
          <w:sz w:val="20"/>
        </w:rPr>
      </w:pPr>
    </w:p>
    <w:p>
      <w:pPr>
        <w:pStyle w:val="15"/>
        <w:numPr>
          <w:ilvl w:val="1"/>
          <w:numId w:val="23"/>
        </w:numPr>
        <w:tabs>
          <w:tab w:val="left" w:pos="891"/>
        </w:tabs>
        <w:spacing w:line="276" w:lineRule="auto"/>
        <w:ind w:left="851" w:right="28"/>
        <w:jc w:val="both"/>
        <w:rPr>
          <w:rFonts w:ascii="Trebuchet MS" w:hAnsi="Trebuchet MS" w:cs="Arial"/>
          <w:bCs/>
          <w:sz w:val="20"/>
        </w:rPr>
      </w:pPr>
      <w:r>
        <w:rPr>
          <w:rFonts w:ascii="Trebuchet MS" w:hAnsi="Trebuchet MS" w:cs="Arial"/>
          <w:b/>
          <w:sz w:val="20"/>
          <w:highlight w:val="none"/>
        </w:rPr>
        <w:t>Oświadczenie, o którym mowa w art. 117 ust. 4 ustawy</w:t>
      </w:r>
      <w:r>
        <w:rPr>
          <w:rFonts w:ascii="Trebuchet MS" w:hAnsi="Trebuchet MS" w:cs="Arial"/>
          <w:bCs/>
          <w:sz w:val="20"/>
          <w:highlight w:val="none"/>
        </w:rPr>
        <w:t xml:space="preserve"> </w:t>
      </w:r>
      <w:r>
        <w:rPr>
          <w:rFonts w:ascii="Trebuchet MS" w:hAnsi="Trebuchet MS" w:cs="Arial"/>
          <w:bCs/>
          <w:sz w:val="20"/>
        </w:rPr>
        <w:t>(„ (…), z którego wynika które roboty budowlane, dostawy lub usługi wykonają poszczególni Wykonawcy.”) – o ile dotyczy (odnosi się do Wykonawców wspólnie ubiegających się o udzielenie zamówienia).</w:t>
      </w:r>
      <w:r>
        <w:rPr>
          <w:rFonts w:ascii="Trebuchet MS" w:hAnsi="Trebuchet MS" w:cs="Arial"/>
          <w:bCs/>
          <w:sz w:val="20"/>
        </w:rPr>
        <w:br w:type="textWrapping"/>
      </w:r>
      <w:r>
        <w:rPr>
          <w:rFonts w:ascii="Trebuchet MS" w:hAnsi="Trebuchet MS" w:cs="Arial"/>
          <w:bCs/>
          <w:sz w:val="20"/>
        </w:rPr>
        <w:t>Oświadczenie to podpisuje się kwalifikowanym podpisem elektronicznym, podpisem zaufanym lub podpisem osobistym.</w:t>
      </w:r>
    </w:p>
    <w:p>
      <w:pPr>
        <w:pStyle w:val="15"/>
        <w:spacing w:line="276" w:lineRule="auto"/>
        <w:ind w:left="851" w:right="28"/>
        <w:jc w:val="both"/>
        <w:rPr>
          <w:rFonts w:ascii="Trebuchet MS" w:hAnsi="Trebuchet MS" w:cs="Arial"/>
          <w:bCs/>
          <w:sz w:val="20"/>
        </w:rPr>
      </w:pPr>
    </w:p>
    <w:p>
      <w:pPr>
        <w:pStyle w:val="40"/>
        <w:numPr>
          <w:ilvl w:val="1"/>
          <w:numId w:val="23"/>
        </w:numPr>
        <w:tabs>
          <w:tab w:val="left" w:pos="891"/>
        </w:tabs>
        <w:jc w:val="both"/>
        <w:rPr>
          <w:rFonts w:ascii="Trebuchet MS" w:hAnsi="Trebuchet MS" w:cs="Arial"/>
          <w:b/>
        </w:rPr>
      </w:pPr>
      <w:r>
        <w:rPr>
          <w:rFonts w:ascii="Trebuchet MS" w:hAnsi="Trebuchet MS" w:cs="Arial"/>
          <w:b/>
        </w:rPr>
        <w:t xml:space="preserve">Kosztorys/y ofertowy/e </w:t>
      </w:r>
      <w:r>
        <w:rPr>
          <w:rFonts w:ascii="Trebuchet MS" w:hAnsi="Trebuchet MS" w:cs="Arial"/>
          <w:bCs/>
        </w:rPr>
        <w:t xml:space="preserve">sporządzony/e w postaci uproszczonej, zgodnie </w:t>
      </w:r>
      <w:r>
        <w:rPr>
          <w:rFonts w:ascii="Trebuchet MS" w:hAnsi="Trebuchet MS" w:cs="Arial"/>
          <w:bCs/>
        </w:rPr>
        <w:br w:type="textWrapping"/>
      </w:r>
      <w:r>
        <w:rPr>
          <w:rFonts w:ascii="Trebuchet MS" w:hAnsi="Trebuchet MS" w:cs="Arial"/>
          <w:bCs/>
        </w:rPr>
        <w:t>z przedmiarem/ami robót stanowiącym/i załącznik do SWZ (dla danej części na którą Wykonawca składa ofertę). Dokument podpisuje się kwalifikowanym podpisem elektronicznym, podpisem zaufanym lub podpisem osobistym.</w:t>
      </w:r>
    </w:p>
    <w:p>
      <w:pPr>
        <w:pStyle w:val="40"/>
        <w:rPr>
          <w:rFonts w:ascii="Trebuchet MS" w:hAnsi="Trebuchet MS" w:cs="Arial"/>
          <w:b/>
        </w:rPr>
      </w:pPr>
    </w:p>
    <w:p>
      <w:pPr>
        <w:pStyle w:val="40"/>
        <w:numPr>
          <w:ilvl w:val="1"/>
          <w:numId w:val="23"/>
        </w:numPr>
        <w:tabs>
          <w:tab w:val="left" w:pos="891"/>
        </w:tabs>
        <w:jc w:val="both"/>
        <w:rPr>
          <w:rFonts w:ascii="Trebuchet MS" w:hAnsi="Trebuchet MS" w:cs="Arial"/>
          <w:b/>
        </w:rPr>
      </w:pPr>
      <w:r>
        <w:rPr>
          <w:rFonts w:ascii="Trebuchet MS" w:hAnsi="Trebuchet MS" w:cs="Arial"/>
          <w:b/>
        </w:rPr>
        <w:t xml:space="preserve">Przedmiotowe środki dowodowe </w:t>
      </w:r>
      <w:r>
        <w:rPr>
          <w:rFonts w:ascii="Trebuchet MS" w:hAnsi="Trebuchet MS" w:cs="Arial"/>
          <w:bCs/>
        </w:rPr>
        <w:t xml:space="preserve">(jeżeli dotyczy) – zgodnie z zapisami ust. 3 Rozdziału III niniejszej SWZ. </w:t>
      </w:r>
    </w:p>
    <w:p>
      <w:pPr>
        <w:pStyle w:val="40"/>
        <w:ind w:left="891"/>
        <w:jc w:val="both"/>
        <w:rPr>
          <w:rFonts w:ascii="Trebuchet MS" w:hAnsi="Trebuchet MS" w:cs="Arial"/>
          <w:b/>
        </w:rPr>
      </w:pPr>
    </w:p>
    <w:p>
      <w:pPr>
        <w:pStyle w:val="40"/>
        <w:numPr>
          <w:ilvl w:val="0"/>
          <w:numId w:val="24"/>
        </w:numPr>
        <w:tabs>
          <w:tab w:val="left" w:pos="426"/>
          <w:tab w:val="left" w:pos="851"/>
          <w:tab w:val="clear" w:pos="567"/>
        </w:tabs>
        <w:spacing w:line="276" w:lineRule="auto"/>
        <w:jc w:val="both"/>
        <w:rPr>
          <w:rFonts w:ascii="Trebuchet MS" w:hAnsi="Trebuchet MS" w:cs="Arial"/>
        </w:rPr>
      </w:pPr>
      <w:r>
        <w:rPr>
          <w:rFonts w:ascii="Trebuchet MS" w:hAnsi="Trebuchet MS" w:cs="Arial"/>
        </w:rPr>
        <w:t>Każdy Wykonawca może złożyć tylko jedną ofertę. Ofertę należy sporządzić zgodnie z wymaganiami SWZ.</w:t>
      </w:r>
    </w:p>
    <w:p>
      <w:pPr>
        <w:spacing w:line="276" w:lineRule="auto"/>
        <w:jc w:val="both"/>
        <w:rPr>
          <w:rFonts w:ascii="Trebuchet MS" w:hAnsi="Trebuchet MS" w:cs="Arial"/>
        </w:rPr>
      </w:pPr>
    </w:p>
    <w:p>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Oferta musi być sporządzona pod rygorem nieważności w formie elektronicznej (w postaci elektronicznej opatrzonej kwalifikowanym podpisem elektronicznym) albo w postaci elektronicznej opatrzonej podpisem zaufanym lub podpisem osobistym, w języku polskim.</w:t>
      </w:r>
    </w:p>
    <w:p>
      <w:pPr>
        <w:spacing w:line="276" w:lineRule="auto"/>
        <w:jc w:val="both"/>
        <w:rPr>
          <w:rFonts w:ascii="Trebuchet MS" w:hAnsi="Trebuchet MS" w:cs="Arial"/>
          <w:sz w:val="10"/>
          <w:szCs w:val="10"/>
        </w:rPr>
      </w:pPr>
    </w:p>
    <w:p>
      <w:pPr>
        <w:pStyle w:val="40"/>
        <w:numPr>
          <w:ilvl w:val="1"/>
          <w:numId w:val="25"/>
        </w:numPr>
        <w:tabs>
          <w:tab w:val="left" w:pos="993"/>
        </w:tabs>
        <w:spacing w:line="276" w:lineRule="auto"/>
        <w:ind w:left="851"/>
        <w:jc w:val="both"/>
        <w:rPr>
          <w:rFonts w:ascii="Trebuchet MS" w:hAnsi="Trebuchet MS" w:cs="Arial"/>
        </w:rPr>
      </w:pPr>
      <w:r>
        <w:rPr>
          <w:rFonts w:ascii="Trebuchet MS" w:hAnsi="Trebuchet MS" w:cs="Arial"/>
        </w:rPr>
        <w:t>Podmiotowe środki dowodowe, przedmiotowe środki dowodowe oraz inne dokumenty lub oświadczenia, sporządzone w języku obcym przekazuje się wraz z tłumaczeniem na język polski.</w:t>
      </w:r>
    </w:p>
    <w:p>
      <w:pPr>
        <w:tabs>
          <w:tab w:val="left" w:pos="993"/>
        </w:tabs>
        <w:spacing w:line="276" w:lineRule="auto"/>
        <w:jc w:val="both"/>
        <w:rPr>
          <w:rFonts w:ascii="Trebuchet MS" w:hAnsi="Trebuchet MS" w:cs="Arial"/>
          <w:sz w:val="10"/>
          <w:szCs w:val="10"/>
        </w:rPr>
      </w:pPr>
    </w:p>
    <w:p>
      <w:pPr>
        <w:pStyle w:val="40"/>
        <w:numPr>
          <w:ilvl w:val="1"/>
          <w:numId w:val="25"/>
        </w:numPr>
        <w:tabs>
          <w:tab w:val="left" w:pos="993"/>
        </w:tabs>
        <w:spacing w:line="276" w:lineRule="auto"/>
        <w:ind w:left="851"/>
        <w:jc w:val="both"/>
        <w:rPr>
          <w:rFonts w:ascii="Trebuchet MS" w:hAnsi="Trebuchet MS" w:cs="Arial"/>
        </w:rPr>
      </w:pPr>
      <w:r>
        <w:rPr>
          <w:rFonts w:ascii="Trebuchet MS" w:hAnsi="Trebuchet MS" w:cs="Arial"/>
        </w:rPr>
        <w:t>Oferta musi być podpisana przez osobę/y upoważnioną/e do reprezentowania Wykonawcy.</w:t>
      </w:r>
    </w:p>
    <w:p>
      <w:pPr>
        <w:tabs>
          <w:tab w:val="left" w:pos="851"/>
        </w:tabs>
        <w:spacing w:line="276" w:lineRule="auto"/>
        <w:jc w:val="both"/>
        <w:rPr>
          <w:rFonts w:ascii="Trebuchet MS" w:hAnsi="Trebuchet MS" w:cs="Arial"/>
          <w:sz w:val="10"/>
          <w:szCs w:val="10"/>
        </w:rPr>
      </w:pPr>
    </w:p>
    <w:p>
      <w:pPr>
        <w:pStyle w:val="40"/>
        <w:numPr>
          <w:ilvl w:val="1"/>
          <w:numId w:val="25"/>
        </w:numPr>
        <w:tabs>
          <w:tab w:val="left" w:pos="993"/>
        </w:tabs>
        <w:spacing w:line="276" w:lineRule="auto"/>
        <w:ind w:left="851"/>
        <w:jc w:val="both"/>
        <w:rPr>
          <w:rFonts w:ascii="Trebuchet MS" w:hAnsi="Trebuchet MS" w:cs="Arial"/>
        </w:rPr>
      </w:pPr>
      <w:r>
        <w:rPr>
          <w:rFonts w:ascii="Trebuchet MS" w:hAnsi="Trebuchet MS" w:cs="Arial"/>
        </w:rPr>
        <w:t>Upoważnienie (pełnomocnictwo) do podpisania oferty, do poświadczania dokumentów za zgodność z oryginałem należy dołączyć do oferty zgodnie z ust. 3.3. niniejszego rozdziału SWZ, o ile nie wynika ono z dokumentów rejestrowych Wykonawcy, jeżeli Zamawiający może je uzyskać za pomocą bezpłatnych i ogólnodostępnych baz danych.</w:t>
      </w:r>
    </w:p>
    <w:p>
      <w:pPr>
        <w:tabs>
          <w:tab w:val="left" w:pos="851"/>
        </w:tabs>
        <w:spacing w:line="276" w:lineRule="auto"/>
        <w:jc w:val="both"/>
        <w:rPr>
          <w:rFonts w:ascii="Trebuchet MS" w:hAnsi="Trebuchet MS" w:cs="Arial"/>
          <w:sz w:val="10"/>
          <w:szCs w:val="10"/>
        </w:rPr>
      </w:pPr>
    </w:p>
    <w:p>
      <w:pPr>
        <w:pStyle w:val="40"/>
        <w:numPr>
          <w:ilvl w:val="1"/>
          <w:numId w:val="25"/>
        </w:numPr>
        <w:tabs>
          <w:tab w:val="left" w:pos="993"/>
          <w:tab w:val="left" w:pos="2200"/>
        </w:tabs>
        <w:spacing w:line="276" w:lineRule="auto"/>
        <w:ind w:left="851"/>
        <w:jc w:val="both"/>
        <w:rPr>
          <w:rFonts w:ascii="Trebuchet MS" w:hAnsi="Trebuchet MS" w:cs="Arial"/>
        </w:rPr>
      </w:pPr>
      <w:r>
        <w:rPr>
          <w:rFonts w:ascii="Trebuchet MS" w:hAnsi="Trebuchet MS" w:cs="Arial"/>
        </w:rPr>
        <w:t xml:space="preserve">W przypadku, gdy w opatrzonej kwalifikowanym podpisem elektronicznym, podpisem zaufanym lub podpisem osobistym ofercie lub oświadczeniu Wykonawcy, zostały naniesione zmiany, oferta/oświadczenie Wykonawcy </w:t>
      </w:r>
      <w:r>
        <w:rPr>
          <w:rFonts w:ascii="Trebuchet MS" w:hAnsi="Trebuchet MS" w:cs="Arial"/>
          <w:b/>
        </w:rPr>
        <w:t>muszą być ponownie</w:t>
      </w:r>
      <w:r>
        <w:rPr>
          <w:rFonts w:ascii="Trebuchet MS" w:hAnsi="Trebuchet MS" w:cs="Arial"/>
        </w:rPr>
        <w:t xml:space="preserve"> podpisane kwalifikowanym podpisem elektronicznym lub podpisem zaufanym lub podpisem osobistym, przez Wykonawcę lub osobę/y upoważnioną/e do reprezentowania Wykonawcy/ów wspólnie ubiegających się o udzielenie zamówienia publicznego.</w:t>
      </w:r>
    </w:p>
    <w:p>
      <w:pPr>
        <w:spacing w:line="276" w:lineRule="auto"/>
        <w:jc w:val="both"/>
        <w:rPr>
          <w:rFonts w:ascii="Trebuchet MS" w:hAnsi="Trebuchet MS" w:cs="Arial"/>
        </w:rPr>
      </w:pPr>
    </w:p>
    <w:p>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Wykonawca może  wycofać złożoną przez siebie ofertę. Sposób wycofania oferty został opisany w instrukcjach użytkownika, o których mowa w ust. 1, ust. 3 i ust. 5. rozdziału XIII SWZ – Informacje o wymaganiach technicznych i organizacyjnych sporządzania, wysyłania i odbierania korespondencji elektronicznej.</w:t>
      </w:r>
    </w:p>
    <w:p>
      <w:pPr>
        <w:spacing w:line="276" w:lineRule="auto"/>
        <w:jc w:val="both"/>
        <w:rPr>
          <w:rFonts w:ascii="Trebuchet MS" w:hAnsi="Trebuchet MS" w:cs="Arial"/>
        </w:rPr>
      </w:pPr>
    </w:p>
    <w:p>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 xml:space="preserve">Protokół postępowania o udzielenie zamówienia wraz z załącznikami, w tym oferta Wykonawcy wraz z załącznikami, są jawne, z wyjątkiem informacji stanowiących tajemnicę przedsiębiorstwa w rozumieniu przepisów o zwalczaniu nieuczciwej konkurencji, jeżeli Wykonawca wraz </w:t>
      </w:r>
      <w:r>
        <w:rPr>
          <w:rFonts w:ascii="Trebuchet MS" w:hAnsi="Trebuchet MS" w:cs="Arial"/>
        </w:rPr>
        <w:br w:type="textWrapping"/>
      </w:r>
      <w:r>
        <w:rPr>
          <w:rFonts w:ascii="Trebuchet MS" w:hAnsi="Trebuchet MS" w:cs="Arial"/>
        </w:rPr>
        <w:t>z przekazaniem takich informacji zastrzegł, że nie mogą być one udostępniane oraz wykazał, że zastrzeżone informacje stanowią tajemnicę przedsiębiorstwa. Wykonawca nie może zastrzec informacji, o których mowa w art. 222 ust. 5 ustawy.</w:t>
      </w:r>
    </w:p>
    <w:p>
      <w:pPr>
        <w:spacing w:line="276" w:lineRule="auto"/>
        <w:jc w:val="both"/>
        <w:rPr>
          <w:rFonts w:ascii="Trebuchet MS" w:hAnsi="Trebuchet MS" w:cs="Arial"/>
          <w:sz w:val="10"/>
          <w:szCs w:val="10"/>
        </w:rPr>
      </w:pPr>
    </w:p>
    <w:p>
      <w:pPr>
        <w:pStyle w:val="40"/>
        <w:numPr>
          <w:ilvl w:val="1"/>
          <w:numId w:val="26"/>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 xml:space="preserve">W przypadku, gdy Wykonawca </w:t>
      </w:r>
      <w:r>
        <w:rPr>
          <w:rFonts w:ascii="Trebuchet MS" w:hAnsi="Trebuchet MS" w:cs="Arial"/>
          <w:b/>
          <w:bCs/>
          <w:color w:val="000000" w:themeColor="text1"/>
        </w:rPr>
        <w:t>nie wykaże</w:t>
      </w:r>
      <w:r>
        <w:rPr>
          <w:rFonts w:ascii="Trebuchet MS" w:hAnsi="Trebuchet MS" w:cs="Arial"/>
          <w:color w:val="000000" w:themeColor="text1"/>
        </w:rPr>
        <w:t>, że zastrzeżone informacje stanowią tajemnicę przedsiębiorstwa w rozumieniu art. 11 ust. 2 ustawy z dnia 16.04.1993 r. o zwalczaniu nieuczciwej konkurencji (</w:t>
      </w:r>
      <w:r>
        <w:rPr>
          <w:rFonts w:ascii="Trebuchet MS" w:hAnsi="Trebuchet MS" w:cs="Arial"/>
        </w:rPr>
        <w:t>Dz. U. z 202</w:t>
      </w:r>
      <w:r>
        <w:rPr>
          <w:rFonts w:hint="default" w:ascii="Trebuchet MS" w:hAnsi="Trebuchet MS" w:cs="Arial"/>
          <w:lang w:val="pl-PL"/>
        </w:rPr>
        <w:t>2</w:t>
      </w:r>
      <w:r>
        <w:rPr>
          <w:rFonts w:ascii="Trebuchet MS" w:hAnsi="Trebuchet MS" w:cs="Arial"/>
        </w:rPr>
        <w:t>r. poz. 1</w:t>
      </w:r>
      <w:r>
        <w:rPr>
          <w:rFonts w:hint="default" w:ascii="Trebuchet MS" w:hAnsi="Trebuchet MS" w:cs="Arial"/>
          <w:lang w:val="pl-PL"/>
        </w:rPr>
        <w:t>233</w:t>
      </w:r>
      <w:r>
        <w:t xml:space="preserve"> </w:t>
      </w:r>
      <w:r>
        <w:rPr>
          <w:rFonts w:ascii="Trebuchet MS" w:hAnsi="Trebuchet MS" w:cs="Arial"/>
        </w:rPr>
        <w:t>z późn. zm.)</w:t>
      </w:r>
      <w:r>
        <w:rPr>
          <w:rFonts w:ascii="Trebuchet MS" w:hAnsi="Trebuchet MS" w:cs="Arial"/>
          <w:color w:val="000000" w:themeColor="text1"/>
        </w:rPr>
        <w:t xml:space="preserve"> Zamawiający uzna zastrzeżenie tajemnicy </w:t>
      </w:r>
      <w:r>
        <w:rPr>
          <w:rFonts w:ascii="Trebuchet MS" w:hAnsi="Trebuchet MS" w:cs="Arial"/>
          <w:b/>
          <w:bCs/>
          <w:color w:val="000000" w:themeColor="text1"/>
        </w:rPr>
        <w:t>za bezskuteczne</w:t>
      </w:r>
      <w:r>
        <w:rPr>
          <w:rFonts w:ascii="Trebuchet MS" w:hAnsi="Trebuchet MS" w:cs="Arial"/>
          <w:color w:val="000000" w:themeColor="text1"/>
        </w:rPr>
        <w:t>, o czym poinformuje Wykonawcę.</w:t>
      </w:r>
    </w:p>
    <w:p>
      <w:pPr>
        <w:spacing w:line="276" w:lineRule="auto"/>
        <w:jc w:val="both"/>
        <w:rPr>
          <w:rFonts w:ascii="Trebuchet MS" w:hAnsi="Trebuchet MS" w:cs="Arial"/>
          <w:b/>
          <w:color w:val="000000" w:themeColor="text1"/>
          <w:sz w:val="10"/>
          <w:szCs w:val="10"/>
          <w:u w:val="single"/>
        </w:rPr>
      </w:pPr>
    </w:p>
    <w:p>
      <w:pPr>
        <w:pStyle w:val="40"/>
        <w:numPr>
          <w:ilvl w:val="1"/>
          <w:numId w:val="26"/>
        </w:numPr>
        <w:spacing w:line="276" w:lineRule="auto"/>
        <w:ind w:left="851"/>
        <w:jc w:val="both"/>
        <w:rPr>
          <w:rFonts w:ascii="Trebuchet MS" w:hAnsi="Trebuchet MS" w:cs="Arial"/>
          <w:color w:val="000000" w:themeColor="text1"/>
        </w:rPr>
      </w:pPr>
      <w:r>
        <w:rPr>
          <w:rFonts w:ascii="Trebuchet MS" w:hAnsi="Trebuchet MS" w:cs="Arial"/>
          <w:color w:val="000000" w:themeColor="text1"/>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pPr>
        <w:pStyle w:val="40"/>
        <w:spacing w:line="276" w:lineRule="auto"/>
        <w:ind w:left="851"/>
        <w:jc w:val="both"/>
        <w:rPr>
          <w:rFonts w:ascii="Trebuchet MS" w:hAnsi="Trebuchet MS" w:cs="Arial"/>
          <w:color w:val="000000" w:themeColor="text1"/>
        </w:rPr>
      </w:pPr>
    </w:p>
    <w:p>
      <w:pPr>
        <w:pStyle w:val="40"/>
        <w:numPr>
          <w:ilvl w:val="1"/>
          <w:numId w:val="26"/>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Protokół postępowania wraz z załącznikami, w tym oferty wraz z załącznikami, udostępnia się na wniosek.</w:t>
      </w:r>
    </w:p>
    <w:p>
      <w:pPr>
        <w:tabs>
          <w:tab w:val="left" w:pos="1701"/>
        </w:tabs>
        <w:spacing w:line="276" w:lineRule="auto"/>
        <w:ind w:right="28"/>
        <w:jc w:val="both"/>
        <w:rPr>
          <w:rFonts w:ascii="Trebuchet MS" w:hAnsi="Trebuchet MS" w:cs="Arial"/>
          <w:b/>
        </w:rPr>
      </w:pPr>
    </w:p>
    <w:p>
      <w:pPr>
        <w:tabs>
          <w:tab w:val="left" w:pos="1701"/>
        </w:tabs>
        <w:spacing w:line="276" w:lineRule="auto"/>
        <w:ind w:right="28"/>
        <w:jc w:val="both"/>
        <w:rPr>
          <w:rFonts w:ascii="Trebuchet MS" w:hAnsi="Trebuchet MS" w:cs="Arial"/>
          <w:b/>
        </w:rPr>
      </w:pPr>
    </w:p>
    <w:p>
      <w:pPr>
        <w:pStyle w:val="40"/>
        <w:numPr>
          <w:ilvl w:val="0"/>
          <w:numId w:val="10"/>
        </w:numPr>
        <w:tabs>
          <w:tab w:val="left" w:pos="1701"/>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WSPÓLNEGO UBIEGANIA SIĘ WYKONAWCÓW O UDZIELENIE ZAMÓWIENIA</w:t>
      </w:r>
    </w:p>
    <w:p>
      <w:pPr>
        <w:spacing w:line="276" w:lineRule="auto"/>
        <w:jc w:val="both"/>
        <w:rPr>
          <w:rFonts w:ascii="Trebuchet MS" w:hAnsi="Trebuchet MS" w:cs="Arial"/>
          <w:sz w:val="18"/>
        </w:rPr>
      </w:pPr>
    </w:p>
    <w:p>
      <w:pPr>
        <w:pStyle w:val="40"/>
        <w:numPr>
          <w:ilvl w:val="1"/>
          <w:numId w:val="27"/>
        </w:numPr>
        <w:spacing w:line="276" w:lineRule="auto"/>
        <w:jc w:val="both"/>
        <w:rPr>
          <w:rFonts w:ascii="Trebuchet MS" w:hAnsi="Trebuchet MS" w:cs="Arial"/>
        </w:rPr>
      </w:pPr>
      <w:r>
        <w:rPr>
          <w:rFonts w:ascii="Trebuchet MS" w:hAnsi="Trebuchet MS" w:cs="Arial"/>
        </w:rPr>
        <w:t>Wykonawcy mogą wspólnie ubiegać się o udzielenie zamówienia.</w:t>
      </w:r>
    </w:p>
    <w:p>
      <w:pPr>
        <w:spacing w:line="276" w:lineRule="auto"/>
        <w:jc w:val="both"/>
        <w:rPr>
          <w:rFonts w:ascii="Trebuchet MS" w:hAnsi="Trebuchet MS" w:cs="Arial"/>
        </w:rPr>
      </w:pPr>
    </w:p>
    <w:p>
      <w:pPr>
        <w:pStyle w:val="40"/>
        <w:numPr>
          <w:ilvl w:val="1"/>
          <w:numId w:val="27"/>
        </w:numPr>
        <w:spacing w:line="276" w:lineRule="auto"/>
        <w:jc w:val="both"/>
        <w:rPr>
          <w:rFonts w:ascii="Trebuchet MS" w:hAnsi="Trebuchet MS" w:cs="Arial"/>
        </w:rPr>
      </w:pPr>
      <w:r>
        <w:rPr>
          <w:rFonts w:ascii="Trebuchet MS" w:hAnsi="Trebuchet MS" w:cs="Arial"/>
        </w:rPr>
        <w:t xml:space="preserve">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w:t>
      </w:r>
      <w:r>
        <w:rPr>
          <w:rFonts w:hint="default" w:ascii="Trebuchet MS" w:hAnsi="Trebuchet MS" w:cs="Arial"/>
          <w:lang w:val="pl-PL"/>
        </w:rPr>
        <w:t>cywilnej.</w:t>
      </w:r>
    </w:p>
    <w:p>
      <w:pPr>
        <w:spacing w:line="276" w:lineRule="auto"/>
        <w:jc w:val="both"/>
        <w:rPr>
          <w:rFonts w:ascii="Trebuchet MS" w:hAnsi="Trebuchet MS" w:cs="Arial"/>
        </w:rPr>
      </w:pPr>
    </w:p>
    <w:p>
      <w:pPr>
        <w:numPr>
          <w:ilvl w:val="1"/>
          <w:numId w:val="27"/>
        </w:numPr>
        <w:ind w:left="357" w:hanging="357"/>
        <w:jc w:val="both"/>
        <w:rPr>
          <w:rFonts w:ascii="Trebuchet MS" w:hAnsi="Trebuchet MS" w:cs="Arial"/>
        </w:rPr>
      </w:pPr>
      <w:r>
        <w:rPr>
          <w:rFonts w:ascii="Trebuchet MS" w:hAnsi="Trebuchet MS" w:cs="Arial"/>
        </w:rPr>
        <w:t xml:space="preserve">Wykonawcy wspólnie ubiegający się o udzielenie zamówienia, zobowiązani są złożyć wraz z ofertą stosowne pełnomocnictwo – zgodnie z ust. 3.3. rozdz. XVI SWZ – nie dotyczy spółki cywilnej, o ile upoważnienie/pełnomocnictwo do występowania w imieniu tej spółki wynika z dołączonej do oferty umowy spółki </w:t>
      </w:r>
      <w:r>
        <w:rPr>
          <w:rFonts w:ascii="Trebuchet MS" w:hAnsi="Trebuchet MS" w:cs="Arial"/>
          <w:lang w:val="pl-PL"/>
        </w:rPr>
        <w:t>cywilnej</w:t>
      </w:r>
      <w:r>
        <w:rPr>
          <w:rFonts w:hint="default" w:ascii="Trebuchet MS" w:hAnsi="Trebuchet MS" w:cs="Arial"/>
          <w:lang w:val="pl-PL"/>
        </w:rPr>
        <w:t>.</w:t>
      </w:r>
    </w:p>
    <w:p>
      <w:pPr>
        <w:tabs>
          <w:tab w:val="left" w:pos="510"/>
          <w:tab w:val="left" w:pos="567"/>
        </w:tabs>
        <w:spacing w:line="360" w:lineRule="auto"/>
        <w:jc w:val="both"/>
        <w:rPr>
          <w:rFonts w:ascii="Trebuchet MS" w:hAnsi="Trebuchet MS" w:cs="Arial"/>
          <w:b/>
          <w:sz w:val="10"/>
          <w:szCs w:val="10"/>
        </w:rPr>
      </w:pPr>
    </w:p>
    <w:p>
      <w:pPr>
        <w:tabs>
          <w:tab w:val="left" w:pos="510"/>
          <w:tab w:val="left" w:pos="567"/>
        </w:tabs>
        <w:spacing w:line="276" w:lineRule="auto"/>
        <w:ind w:left="357"/>
        <w:jc w:val="both"/>
        <w:rPr>
          <w:rFonts w:ascii="Trebuchet MS" w:hAnsi="Trebuchet MS" w:cs="Arial"/>
        </w:rPr>
      </w:pPr>
      <w:r>
        <w:rPr>
          <w:rFonts w:ascii="Trebuchet MS" w:hAnsi="Trebuchet MS" w:cs="Arial"/>
          <w:b/>
        </w:rPr>
        <w:t xml:space="preserve">Uwaga: </w:t>
      </w:r>
    </w:p>
    <w:p>
      <w:pPr>
        <w:tabs>
          <w:tab w:val="left" w:pos="510"/>
          <w:tab w:val="left" w:pos="567"/>
        </w:tabs>
        <w:spacing w:line="276" w:lineRule="auto"/>
        <w:ind w:left="357"/>
        <w:jc w:val="both"/>
        <w:rPr>
          <w:rFonts w:ascii="Trebuchet MS" w:hAnsi="Trebuchet MS" w:cs="Arial"/>
          <w:b/>
        </w:rPr>
      </w:pPr>
      <w:r>
        <w:rPr>
          <w:rFonts w:ascii="Trebuchet MS" w:hAnsi="Trebuchet MS" w:cs="Arial"/>
          <w:b/>
        </w:rPr>
        <w:t>Pełnomocnictwo, o którym mowa powyżej może wynikać albo z dokumentu pod taką samą nazwą, albo z umowy Wykonawców wspólnie ubiegających się o udzielenie zamówienia.</w:t>
      </w:r>
    </w:p>
    <w:p>
      <w:pPr>
        <w:tabs>
          <w:tab w:val="left" w:pos="510"/>
          <w:tab w:val="left" w:pos="567"/>
        </w:tabs>
        <w:spacing w:line="276" w:lineRule="auto"/>
        <w:jc w:val="both"/>
        <w:rPr>
          <w:rFonts w:ascii="Trebuchet MS" w:hAnsi="Trebuchet MS" w:cs="Arial"/>
        </w:rPr>
      </w:pPr>
    </w:p>
    <w:p>
      <w:pPr>
        <w:numPr>
          <w:ilvl w:val="1"/>
          <w:numId w:val="27"/>
        </w:numPr>
        <w:spacing w:line="276" w:lineRule="auto"/>
        <w:ind w:left="357" w:hanging="357"/>
        <w:jc w:val="both"/>
        <w:rPr>
          <w:rFonts w:ascii="Trebuchet MS" w:hAnsi="Trebuchet MS" w:cs="Arial"/>
        </w:rPr>
      </w:pPr>
      <w:r>
        <w:rPr>
          <w:rFonts w:ascii="Trebuchet MS" w:hAnsi="Trebuchet MS" w:cs="Arial"/>
        </w:rPr>
        <w:t>Oferta musi być podpisana w taki sposób, by prawnie zobowiązywała wszystkich Wykonawców występujących wspólnie (przez każdego z Wykonawców lub upoważnionego pełnomocnika).</w:t>
      </w:r>
    </w:p>
    <w:p>
      <w:pPr>
        <w:spacing w:line="276" w:lineRule="auto"/>
        <w:jc w:val="both"/>
        <w:rPr>
          <w:rFonts w:ascii="Trebuchet MS" w:hAnsi="Trebuchet MS" w:cs="Arial"/>
        </w:rPr>
      </w:pPr>
    </w:p>
    <w:p>
      <w:pPr>
        <w:numPr>
          <w:ilvl w:val="1"/>
          <w:numId w:val="27"/>
        </w:numPr>
        <w:spacing w:line="276" w:lineRule="auto"/>
        <w:ind w:left="357" w:hanging="357"/>
        <w:jc w:val="both"/>
        <w:rPr>
          <w:rFonts w:ascii="Trebuchet MS" w:hAnsi="Trebuchet MS" w:cs="Arial"/>
        </w:rPr>
      </w:pPr>
      <w:r>
        <w:rPr>
          <w:rFonts w:ascii="Trebuchet MS" w:hAnsi="Trebuchet MS"/>
          <w:bCs/>
        </w:rPr>
        <w:t>W przypadku wspólnego ubiegania się o udzielenie zamówienie przez Wykonawców oświadczenie, o którym mowa w art. 125 ustawy (ust. 3.1. rozdziału XVI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pPr>
        <w:spacing w:line="276" w:lineRule="auto"/>
        <w:rPr>
          <w:rFonts w:ascii="Trebuchet MS" w:hAnsi="Trebuchet MS"/>
          <w:bCs/>
          <w:sz w:val="10"/>
          <w:szCs w:val="10"/>
        </w:rPr>
      </w:pPr>
    </w:p>
    <w:p>
      <w:pPr>
        <w:pStyle w:val="40"/>
        <w:numPr>
          <w:ilvl w:val="1"/>
          <w:numId w:val="28"/>
        </w:numPr>
        <w:spacing w:line="276" w:lineRule="auto"/>
        <w:ind w:left="851" w:hanging="425"/>
        <w:jc w:val="both"/>
        <w:rPr>
          <w:rFonts w:ascii="Trebuchet MS" w:hAnsi="Trebuchet MS" w:cs="Arial"/>
        </w:rPr>
      </w:pPr>
      <w:r>
        <w:rPr>
          <w:rFonts w:ascii="Trebuchet MS" w:hAnsi="Trebuchet MS"/>
          <w:bCs/>
        </w:rPr>
        <w:t>Oświadczenie w zakresie braku podstaw wykluczenia musi złożyć każdy z Wykonawców wspólnie ubiegających się o udzielenie zamówienia;</w:t>
      </w:r>
    </w:p>
    <w:p>
      <w:pPr>
        <w:spacing w:line="276" w:lineRule="auto"/>
        <w:jc w:val="both"/>
        <w:rPr>
          <w:rFonts w:ascii="Trebuchet MS" w:hAnsi="Trebuchet MS" w:cs="Arial"/>
          <w:sz w:val="10"/>
          <w:szCs w:val="10"/>
        </w:rPr>
      </w:pPr>
    </w:p>
    <w:p>
      <w:pPr>
        <w:pStyle w:val="40"/>
        <w:numPr>
          <w:ilvl w:val="1"/>
          <w:numId w:val="28"/>
        </w:numPr>
        <w:spacing w:line="276" w:lineRule="auto"/>
        <w:ind w:left="851" w:hanging="425"/>
        <w:jc w:val="both"/>
        <w:rPr>
          <w:rFonts w:ascii="Trebuchet MS" w:hAnsi="Trebuchet MS" w:cs="Arial"/>
        </w:rPr>
      </w:pPr>
      <w:r>
        <w:rPr>
          <w:rFonts w:ascii="Trebuchet MS" w:hAnsi="Trebuchet MS"/>
          <w:bCs/>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pPr>
        <w:spacing w:line="276" w:lineRule="auto"/>
        <w:jc w:val="both"/>
        <w:rPr>
          <w:rFonts w:ascii="Trebuchet MS" w:hAnsi="Trebuchet MS" w:cs="Arial"/>
        </w:rPr>
      </w:pPr>
    </w:p>
    <w:p>
      <w:pPr>
        <w:numPr>
          <w:ilvl w:val="1"/>
          <w:numId w:val="27"/>
        </w:numPr>
        <w:spacing w:line="288" w:lineRule="auto"/>
        <w:ind w:left="357" w:hanging="357"/>
        <w:jc w:val="both"/>
        <w:rPr>
          <w:rFonts w:ascii="Trebuchet MS" w:hAnsi="Trebuchet MS" w:cs="Arial"/>
        </w:rPr>
      </w:pPr>
      <w:r>
        <w:rPr>
          <w:rFonts w:ascii="Trebuchet MS" w:hAnsi="Trebuchet MS" w:cs="Arial"/>
        </w:rPr>
        <w:t>Wszelka korespondencja prowadzona będzie wyłącznie z podmiotem występującym jako pełnomocnik Wykonawców wspólnie ubiegających się o udzielenie zamówienia.</w:t>
      </w:r>
    </w:p>
    <w:p>
      <w:pPr>
        <w:spacing w:line="288" w:lineRule="auto"/>
        <w:ind w:left="357"/>
        <w:jc w:val="both"/>
        <w:rPr>
          <w:rFonts w:ascii="Trebuchet MS" w:hAnsi="Trebuchet MS" w:cs="Arial"/>
        </w:rPr>
      </w:pPr>
    </w:p>
    <w:p>
      <w:pPr>
        <w:numPr>
          <w:ilvl w:val="1"/>
          <w:numId w:val="27"/>
        </w:numPr>
        <w:spacing w:line="288" w:lineRule="auto"/>
        <w:ind w:left="357" w:hanging="357"/>
        <w:jc w:val="both"/>
        <w:rPr>
          <w:rFonts w:ascii="Trebuchet MS" w:hAnsi="Trebuchet MS" w:cs="Arial"/>
        </w:rPr>
      </w:pPr>
      <w:r>
        <w:rPr>
          <w:rFonts w:ascii="Trebuchet MS" w:hAnsi="Trebuchet MS" w:cs="Arial"/>
        </w:rPr>
        <w:t>W przypadku, o którym mowa w art. 117 ust. 2 lub ust. 3 ustawy, Wykonawcy wspólnie ubiegający się o udzielenie zamówienia zobowiązani są dołączyć do oferty oświadczenie, o którym mowa w art. 117 ust. 4 ustawy („ (…), z którego wynika które roboty budowlane, dostawy lub usługi wykonają poszczególni Wykonawcy.”).</w:t>
      </w:r>
    </w:p>
    <w:p>
      <w:pPr>
        <w:tabs>
          <w:tab w:val="left" w:pos="1701"/>
        </w:tabs>
        <w:spacing w:line="276" w:lineRule="auto"/>
        <w:ind w:right="28"/>
        <w:jc w:val="both"/>
        <w:rPr>
          <w:rFonts w:ascii="Trebuchet MS" w:hAnsi="Trebuchet MS" w:cs="Arial"/>
          <w:b/>
        </w:rPr>
      </w:pPr>
    </w:p>
    <w:p>
      <w:pPr>
        <w:pStyle w:val="40"/>
        <w:numPr>
          <w:ilvl w:val="0"/>
          <w:numId w:val="10"/>
        </w:numPr>
        <w:tabs>
          <w:tab w:val="left" w:pos="1701"/>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PODWYKONAWCÓW</w:t>
      </w:r>
    </w:p>
    <w:p>
      <w:pPr>
        <w:spacing w:line="276" w:lineRule="auto"/>
        <w:ind w:left="1701" w:hanging="1701"/>
        <w:jc w:val="both"/>
        <w:rPr>
          <w:rFonts w:ascii="Trebuchet MS" w:hAnsi="Trebuchet MS" w:cs="Arial"/>
          <w:b/>
          <w:sz w:val="18"/>
        </w:rPr>
      </w:pPr>
    </w:p>
    <w:p>
      <w:pPr>
        <w:pStyle w:val="40"/>
        <w:numPr>
          <w:ilvl w:val="0"/>
          <w:numId w:val="29"/>
        </w:numPr>
        <w:tabs>
          <w:tab w:val="left" w:pos="567"/>
        </w:tabs>
        <w:spacing w:line="276" w:lineRule="auto"/>
        <w:ind w:left="567" w:hanging="425"/>
        <w:jc w:val="both"/>
        <w:rPr>
          <w:rFonts w:ascii="Trebuchet MS" w:hAnsi="Trebuchet MS" w:cs="Arial"/>
        </w:rPr>
      </w:pPr>
      <w:r>
        <w:rPr>
          <w:rFonts w:ascii="Trebuchet MS" w:hAnsi="Trebuchet MS" w:cs="Arial"/>
        </w:rPr>
        <w:t>Wykonawca może powierzyć wykonanie części zamówienia podwykonawcy.</w:t>
      </w:r>
    </w:p>
    <w:p>
      <w:pPr>
        <w:tabs>
          <w:tab w:val="left" w:pos="567"/>
        </w:tabs>
        <w:spacing w:line="276" w:lineRule="auto"/>
        <w:jc w:val="both"/>
        <w:rPr>
          <w:rFonts w:ascii="Trebuchet MS" w:hAnsi="Trebuchet MS" w:cs="Arial"/>
        </w:rPr>
      </w:pPr>
    </w:p>
    <w:p>
      <w:pPr>
        <w:pStyle w:val="40"/>
        <w:numPr>
          <w:ilvl w:val="0"/>
          <w:numId w:val="29"/>
        </w:numPr>
        <w:tabs>
          <w:tab w:val="left" w:pos="567"/>
        </w:tabs>
        <w:spacing w:line="276" w:lineRule="auto"/>
        <w:ind w:left="567" w:hanging="425"/>
        <w:jc w:val="both"/>
        <w:rPr>
          <w:rFonts w:ascii="Trebuchet MS" w:hAnsi="Trebuchet MS" w:cs="Arial"/>
        </w:rPr>
      </w:pPr>
      <w:r>
        <w:rPr>
          <w:rFonts w:ascii="Trebuchet MS" w:hAnsi="Trebuchet MS" w:cs="Arial"/>
        </w:rPr>
        <w:t xml:space="preserve">Wykonawca, który zamierza wykonywać zamówienie przy udziale podwykonawcy/ów, musi wyraźnie w ofercie wskazać, jaką część (zakres zamówienia) wykonywać będzie w jego imieniu podwykonawca </w:t>
      </w:r>
      <w:r>
        <w:rPr>
          <w:rFonts w:ascii="Trebuchet MS" w:hAnsi="Trebuchet MS" w:cs="Arial"/>
          <w:b/>
        </w:rPr>
        <w:t>oraz podać nazwę ewentualnych podwykonawców</w:t>
      </w:r>
      <w:r>
        <w:rPr>
          <w:rFonts w:ascii="Trebuchet MS" w:hAnsi="Trebuchet MS" w:cs="Arial"/>
        </w:rPr>
        <w:t xml:space="preserve">, </w:t>
      </w:r>
      <w:r>
        <w:rPr>
          <w:rFonts w:ascii="Trebuchet MS" w:hAnsi="Trebuchet MS" w:cs="Arial"/>
          <w:b/>
          <w:bCs/>
        </w:rPr>
        <w:t>jeżeli są już znani</w:t>
      </w:r>
      <w:r>
        <w:rPr>
          <w:rFonts w:ascii="Trebuchet MS" w:hAnsi="Trebuchet MS" w:cs="Arial"/>
        </w:rPr>
        <w:t>. Należy w tym celu wypełnić odpowiedni punkt formularza oferty, stanowiącego załącznik nr 1 do SWZ.</w:t>
      </w:r>
      <w:r>
        <w:rPr>
          <w:rFonts w:ascii="Trebuchet MS" w:hAnsi="Trebuchet MS" w:cs="Arial"/>
          <w:b/>
        </w:rPr>
        <w:t xml:space="preserve"> </w:t>
      </w:r>
      <w:r>
        <w:rPr>
          <w:rFonts w:ascii="Trebuchet MS" w:hAnsi="Trebuchet MS" w:cs="Arial"/>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pPr>
        <w:spacing w:line="276" w:lineRule="auto"/>
        <w:rPr>
          <w:rFonts w:ascii="Trebuchet MS" w:hAnsi="Trebuchet MS" w:cs="Arial"/>
        </w:rPr>
      </w:pPr>
    </w:p>
    <w:p>
      <w:pPr>
        <w:pStyle w:val="40"/>
        <w:numPr>
          <w:ilvl w:val="0"/>
          <w:numId w:val="30"/>
        </w:numPr>
        <w:tabs>
          <w:tab w:val="left" w:pos="567"/>
          <w:tab w:val="clear" w:pos="720"/>
        </w:tabs>
        <w:spacing w:line="276" w:lineRule="auto"/>
        <w:ind w:left="567" w:hanging="425"/>
        <w:jc w:val="both"/>
        <w:rPr>
          <w:rFonts w:ascii="Trebuchet MS" w:hAnsi="Trebuchet MS" w:cs="Arial"/>
        </w:rPr>
      </w:pPr>
      <w:r>
        <w:rPr>
          <w:rFonts w:ascii="Trebuchet MS" w:hAnsi="Trebuchet MS" w:cs="Arial"/>
        </w:rPr>
        <w:t xml:space="preserve">Zamawiający żąda, </w:t>
      </w:r>
      <w:r>
        <w:rPr>
          <w:rFonts w:ascii="Trebuchet MS" w:hAnsi="Trebuchet MS" w:cs="Arial"/>
          <w:color w:val="000000"/>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pPr>
        <w:spacing w:line="360" w:lineRule="auto"/>
        <w:rPr>
          <w:rFonts w:ascii="Trebuchet MS" w:hAnsi="Trebuchet MS" w:cs="Arial"/>
        </w:rPr>
      </w:pPr>
    </w:p>
    <w:p>
      <w:pPr>
        <w:pStyle w:val="40"/>
        <w:numPr>
          <w:ilvl w:val="0"/>
          <w:numId w:val="30"/>
        </w:numPr>
        <w:tabs>
          <w:tab w:val="left" w:pos="567"/>
        </w:tabs>
        <w:spacing w:line="276" w:lineRule="auto"/>
        <w:ind w:left="567" w:hanging="425"/>
        <w:jc w:val="both"/>
        <w:rPr>
          <w:rFonts w:ascii="Trebuchet MS" w:hAnsi="Trebuchet MS" w:cs="Arial"/>
        </w:rPr>
      </w:pPr>
      <w:r>
        <w:rPr>
          <w:rFonts w:ascii="Trebuchet MS" w:hAnsi="Trebuchet MS" w:cs="Arial"/>
          <w:color w:val="00000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pPr>
        <w:spacing w:line="276" w:lineRule="auto"/>
        <w:rPr>
          <w:rFonts w:ascii="Trebuchet MS" w:hAnsi="Trebuchet MS" w:cs="Arial"/>
        </w:rPr>
      </w:pPr>
    </w:p>
    <w:p>
      <w:pPr>
        <w:pStyle w:val="40"/>
        <w:numPr>
          <w:ilvl w:val="0"/>
          <w:numId w:val="30"/>
        </w:numPr>
        <w:tabs>
          <w:tab w:val="left" w:pos="567"/>
        </w:tabs>
        <w:spacing w:line="276" w:lineRule="auto"/>
        <w:ind w:left="567" w:hanging="425"/>
        <w:jc w:val="both"/>
        <w:rPr>
          <w:rFonts w:ascii="Trebuchet MS" w:hAnsi="Trebuchet MS" w:cs="Arial"/>
        </w:rPr>
      </w:pPr>
      <w:r>
        <w:rPr>
          <w:rFonts w:ascii="Trebuchet MS" w:hAnsi="Trebuchet MS" w:cs="Arial"/>
        </w:rPr>
        <w:t>Powierzenie wykonania części zamówienia podwykonawcom nie zwalnia Wykonawcy z odpowiedzialności za należyte wykonanie tego zamówienia.</w:t>
      </w:r>
    </w:p>
    <w:p>
      <w:pPr>
        <w:pStyle w:val="40"/>
        <w:rPr>
          <w:rFonts w:ascii="Trebuchet MS" w:hAnsi="Trebuchet MS" w:cs="Arial"/>
        </w:rPr>
      </w:pPr>
    </w:p>
    <w:p>
      <w:pPr>
        <w:tabs>
          <w:tab w:val="left" w:pos="1701"/>
        </w:tabs>
        <w:spacing w:line="276" w:lineRule="auto"/>
        <w:ind w:right="28"/>
        <w:jc w:val="both"/>
        <w:rPr>
          <w:rFonts w:ascii="Trebuchet MS" w:hAnsi="Trebuchet MS" w:cs="Arial"/>
          <w:b/>
        </w:rPr>
      </w:pPr>
    </w:p>
    <w:p>
      <w:pPr>
        <w:pStyle w:val="40"/>
        <w:numPr>
          <w:ilvl w:val="0"/>
          <w:numId w:val="10"/>
        </w:numPr>
        <w:tabs>
          <w:tab w:val="left" w:pos="1701"/>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 xml:space="preserve">PODSTAWY (PRZESŁANKI) WYKLUCZENIA Z POSTĘPOWANIA, WARUNKI UDZIAŁU </w:t>
      </w:r>
      <w:r>
        <w:rPr>
          <w:rFonts w:ascii="Trebuchet MS" w:hAnsi="Trebuchet MS" w:cs="Arial"/>
          <w:b/>
          <w:sz w:val="22"/>
          <w:szCs w:val="22"/>
          <w:u w:val="single"/>
        </w:rPr>
        <w:br w:type="textWrapping"/>
      </w:r>
      <w:r>
        <w:rPr>
          <w:rFonts w:ascii="Trebuchet MS" w:hAnsi="Trebuchet MS" w:cs="Arial"/>
          <w:b/>
          <w:sz w:val="22"/>
          <w:szCs w:val="22"/>
          <w:u w:val="single"/>
        </w:rPr>
        <w:t>W POSTĘPOWANIU WYKAZ PODMIOTOWYCH ŚRODKÓW DOWODOWYCH</w:t>
      </w:r>
    </w:p>
    <w:p>
      <w:pPr>
        <w:tabs>
          <w:tab w:val="left" w:pos="1701"/>
        </w:tabs>
        <w:spacing w:line="276" w:lineRule="auto"/>
        <w:ind w:left="1701" w:hanging="1701"/>
        <w:jc w:val="both"/>
        <w:rPr>
          <w:rFonts w:ascii="Trebuchet MS" w:hAnsi="Trebuchet MS" w:cs="Arial"/>
          <w:b/>
          <w:sz w:val="18"/>
        </w:rPr>
      </w:pPr>
    </w:p>
    <w:p>
      <w:pPr>
        <w:pStyle w:val="40"/>
        <w:numPr>
          <w:ilvl w:val="0"/>
          <w:numId w:val="31"/>
        </w:numPr>
        <w:spacing w:line="276" w:lineRule="auto"/>
        <w:ind w:left="357" w:hanging="357"/>
        <w:jc w:val="both"/>
        <w:rPr>
          <w:rFonts w:ascii="Trebuchet MS" w:hAnsi="Trebuchet MS" w:cs="Arial"/>
          <w:b/>
        </w:rPr>
      </w:pPr>
      <w:r>
        <w:rPr>
          <w:rFonts w:ascii="Trebuchet MS" w:hAnsi="Trebuchet MS" w:cs="Arial"/>
          <w:b/>
        </w:rPr>
        <w:t>O udzielenie zamówienia mogą się ubiegać Wykonawcy, którzy:</w:t>
      </w:r>
    </w:p>
    <w:p>
      <w:pPr>
        <w:pStyle w:val="40"/>
        <w:numPr>
          <w:ilvl w:val="0"/>
          <w:numId w:val="32"/>
        </w:numPr>
        <w:spacing w:line="276" w:lineRule="auto"/>
        <w:ind w:hanging="654"/>
        <w:jc w:val="both"/>
        <w:rPr>
          <w:rFonts w:ascii="Trebuchet MS" w:hAnsi="Trebuchet MS" w:cs="Arial"/>
        </w:rPr>
      </w:pPr>
      <w:r>
        <w:rPr>
          <w:rFonts w:ascii="Trebuchet MS" w:hAnsi="Trebuchet MS" w:cs="Arial"/>
        </w:rPr>
        <w:t>nie podlegają wykluczeniu;</w:t>
      </w:r>
    </w:p>
    <w:p>
      <w:pPr>
        <w:pStyle w:val="40"/>
        <w:numPr>
          <w:ilvl w:val="0"/>
          <w:numId w:val="32"/>
        </w:numPr>
        <w:spacing w:line="276" w:lineRule="auto"/>
        <w:ind w:hanging="654"/>
        <w:jc w:val="both"/>
        <w:rPr>
          <w:rFonts w:ascii="Trebuchet MS" w:hAnsi="Trebuchet MS" w:cs="Arial"/>
        </w:rPr>
      </w:pPr>
      <w:r>
        <w:rPr>
          <w:rFonts w:ascii="Trebuchet MS" w:hAnsi="Trebuchet MS" w:cs="Arial"/>
        </w:rPr>
        <w:t>spełniają warunki udziału w postępowaniu, określone przez Zamawiającego w ogłoszeniu o zamówieniu oraz w ust. 3 niniejszego rozdziału SWZ.</w:t>
      </w:r>
    </w:p>
    <w:p>
      <w:pPr>
        <w:pStyle w:val="40"/>
        <w:numPr>
          <w:ilvl w:val="0"/>
          <w:numId w:val="31"/>
        </w:numPr>
        <w:spacing w:line="276" w:lineRule="auto"/>
        <w:ind w:left="426" w:hanging="426"/>
        <w:jc w:val="both"/>
        <w:rPr>
          <w:rFonts w:ascii="Trebuchet MS" w:hAnsi="Trebuchet MS" w:cs="Arial"/>
          <w:b/>
        </w:rPr>
      </w:pPr>
      <w:r>
        <w:rPr>
          <w:rFonts w:ascii="Trebuchet MS" w:hAnsi="Trebuchet MS" w:cs="Arial"/>
          <w:b/>
        </w:rPr>
        <w:t>Podstawy wykluczenia:</w:t>
      </w:r>
    </w:p>
    <w:p>
      <w:pPr>
        <w:pStyle w:val="40"/>
        <w:spacing w:line="276" w:lineRule="auto"/>
        <w:ind w:left="426"/>
        <w:jc w:val="both"/>
        <w:rPr>
          <w:rFonts w:ascii="Trebuchet MS" w:hAnsi="Trebuchet MS" w:cs="Arial"/>
          <w:b/>
          <w:sz w:val="10"/>
          <w:szCs w:val="10"/>
        </w:rPr>
      </w:pPr>
    </w:p>
    <w:p>
      <w:pPr>
        <w:pStyle w:val="40"/>
        <w:numPr>
          <w:ilvl w:val="1"/>
          <w:numId w:val="31"/>
        </w:numPr>
        <w:spacing w:line="276" w:lineRule="auto"/>
        <w:ind w:left="1134" w:hanging="708"/>
        <w:jc w:val="both"/>
        <w:rPr>
          <w:rFonts w:ascii="Trebuchet MS" w:hAnsi="Trebuchet MS" w:cs="Arial"/>
          <w:b/>
        </w:rPr>
      </w:pPr>
      <w:r>
        <w:rPr>
          <w:rFonts w:ascii="Trebuchet MS" w:hAnsi="Trebuchet MS" w:cs="Arial"/>
          <w:b/>
        </w:rPr>
        <w:t>Zamawiający wykluczy z postępowania Wykonawcę w przypadkach, o których mowa w art. 108 ust. 1 pkt 1-6 ustawy (obligatoryjne przesłanki wykluczenia):</w:t>
      </w:r>
    </w:p>
    <w:p>
      <w:pPr>
        <w:spacing w:line="276" w:lineRule="auto"/>
        <w:ind w:left="1418" w:hanging="284"/>
        <w:jc w:val="both"/>
        <w:rPr>
          <w:rFonts w:ascii="Trebuchet MS" w:hAnsi="Trebuchet MS"/>
        </w:rPr>
      </w:pPr>
    </w:p>
    <w:p>
      <w:pPr>
        <w:pStyle w:val="40"/>
        <w:numPr>
          <w:ilvl w:val="1"/>
          <w:numId w:val="31"/>
        </w:numPr>
        <w:spacing w:line="276" w:lineRule="auto"/>
        <w:ind w:left="1134" w:hanging="708"/>
        <w:jc w:val="both"/>
        <w:rPr>
          <w:rFonts w:ascii="Trebuchet MS" w:hAnsi="Trebuchet MS" w:cs="Arial"/>
          <w:b/>
          <w:bCs/>
        </w:rPr>
      </w:pPr>
      <w:r>
        <w:rPr>
          <w:rFonts w:ascii="Trebuchet MS" w:hAnsi="Trebuchet MS" w:cs="Arial"/>
          <w:b/>
          <w:bCs/>
        </w:rPr>
        <w:t>Zamawiający nie przewiduje fakultatywnych podstaw wykluczenia zawartych</w:t>
      </w:r>
      <w:r>
        <w:rPr>
          <w:rFonts w:ascii="Trebuchet MS" w:hAnsi="Trebuchet MS" w:cs="Arial"/>
          <w:b/>
          <w:bCs/>
        </w:rPr>
        <w:br w:type="textWrapping"/>
      </w:r>
      <w:r>
        <w:rPr>
          <w:rFonts w:ascii="Trebuchet MS" w:hAnsi="Trebuchet MS" w:cs="Arial"/>
          <w:b/>
          <w:bCs/>
        </w:rPr>
        <w:t>w art. 109 ust. 1 ustawy.</w:t>
      </w:r>
    </w:p>
    <w:p>
      <w:pPr>
        <w:pStyle w:val="40"/>
        <w:rPr>
          <w:rFonts w:ascii="Trebuchet MS" w:hAnsi="Trebuchet MS" w:cs="Arial"/>
          <w:b/>
          <w:bCs/>
        </w:rPr>
      </w:pPr>
    </w:p>
    <w:p>
      <w:pPr>
        <w:pStyle w:val="40"/>
        <w:numPr>
          <w:ilvl w:val="1"/>
          <w:numId w:val="31"/>
        </w:numPr>
        <w:spacing w:line="276" w:lineRule="auto"/>
        <w:jc w:val="both"/>
        <w:rPr>
          <w:rFonts w:ascii="Trebuchet MS" w:hAnsi="Trebuchet MS" w:cs="Arial"/>
          <w:b/>
          <w:bCs/>
        </w:rPr>
      </w:pPr>
      <w:r>
        <w:rPr>
          <w:rFonts w:ascii="Trebuchet MS" w:hAnsi="Trebuchet MS" w:cs="Arial"/>
          <w:b/>
          <w:bCs/>
        </w:rPr>
        <w:t>Z postępowania o udzielenie zamówienia wyklucza się Wykonawcę w przypadkach,                             o których mowa w art. 7 ust. 1 ustawy z dnia 13 kwietnia 2022 r. o szczególnych rozwiązaniach w zakresie przeciwdziałania wspieraniu agresji na Ukrainę oraz służących ochronie bezpieczeństwa narodowego (</w:t>
      </w:r>
      <w:r>
        <w:rPr>
          <w:rFonts w:hint="default" w:ascii="Trebuchet MS" w:hAnsi="Trebuchet MS" w:cs="Arial"/>
          <w:b/>
          <w:bCs/>
          <w:lang w:val="pl-PL"/>
        </w:rPr>
        <w:t xml:space="preserve">tj. </w:t>
      </w:r>
      <w:r>
        <w:rPr>
          <w:rFonts w:ascii="Trebuchet MS" w:hAnsi="Trebuchet MS" w:cs="Arial"/>
          <w:b/>
          <w:bCs/>
        </w:rPr>
        <w:t xml:space="preserve">Dz.U. </w:t>
      </w:r>
      <w:r>
        <w:rPr>
          <w:rFonts w:hint="default" w:ascii="Trebuchet MS" w:hAnsi="Trebuchet MS" w:cs="Arial"/>
          <w:b/>
          <w:bCs/>
          <w:lang w:val="pl-PL"/>
        </w:rPr>
        <w:t xml:space="preserve">z </w:t>
      </w:r>
      <w:r>
        <w:rPr>
          <w:rFonts w:ascii="Trebuchet MS" w:hAnsi="Trebuchet MS" w:cs="Arial"/>
          <w:b/>
          <w:bCs/>
        </w:rPr>
        <w:t>202</w:t>
      </w:r>
      <w:r>
        <w:rPr>
          <w:rFonts w:hint="default" w:ascii="Trebuchet MS" w:hAnsi="Trebuchet MS" w:cs="Arial"/>
          <w:b/>
          <w:bCs/>
          <w:lang w:val="pl-PL"/>
        </w:rPr>
        <w:t>3</w:t>
      </w:r>
      <w:r>
        <w:rPr>
          <w:rFonts w:ascii="Trebuchet MS" w:hAnsi="Trebuchet MS" w:cs="Arial"/>
          <w:b/>
          <w:bCs/>
        </w:rPr>
        <w:t xml:space="preserve"> poz. </w:t>
      </w:r>
      <w:r>
        <w:rPr>
          <w:rFonts w:hint="default" w:ascii="Trebuchet MS" w:hAnsi="Trebuchet MS" w:cs="Arial"/>
          <w:b/>
          <w:bCs/>
          <w:lang w:val="pl-PL"/>
        </w:rPr>
        <w:t>1497</w:t>
      </w:r>
      <w:r>
        <w:rPr>
          <w:rFonts w:ascii="Trebuchet MS" w:hAnsi="Trebuchet MS" w:cs="Arial"/>
          <w:b/>
          <w:bCs/>
        </w:rPr>
        <w:t xml:space="preserve">). </w:t>
      </w:r>
    </w:p>
    <w:p>
      <w:pPr>
        <w:pStyle w:val="40"/>
        <w:spacing w:line="276" w:lineRule="auto"/>
        <w:ind w:left="1146"/>
        <w:jc w:val="both"/>
        <w:rPr>
          <w:rFonts w:ascii="Trebuchet MS" w:hAnsi="Trebuchet MS" w:cs="Arial"/>
          <w:b/>
          <w:bCs/>
        </w:rPr>
      </w:pPr>
      <w:r>
        <w:rPr>
          <w:rFonts w:ascii="Trebuchet MS" w:hAnsi="Trebuchet MS" w:cs="Arial"/>
          <w:b/>
          <w:bCs/>
        </w:rPr>
        <w:t>Do Wykonawcy podlegającego wykluczeniu w tym zakresie, stosuje się art. 7 ust. 3 wspomnianej ustawy.</w:t>
      </w:r>
    </w:p>
    <w:p>
      <w:pPr>
        <w:pStyle w:val="40"/>
        <w:spacing w:line="276" w:lineRule="auto"/>
        <w:ind w:left="1134"/>
        <w:jc w:val="both"/>
        <w:rPr>
          <w:rFonts w:ascii="Trebuchet MS" w:hAnsi="Trebuchet MS" w:cs="Arial"/>
          <w:b/>
          <w:bCs/>
        </w:rPr>
      </w:pPr>
    </w:p>
    <w:p>
      <w:pPr>
        <w:pStyle w:val="40"/>
        <w:numPr>
          <w:ilvl w:val="0"/>
          <w:numId w:val="31"/>
        </w:numPr>
        <w:spacing w:line="276" w:lineRule="auto"/>
        <w:ind w:left="426" w:hanging="426"/>
        <w:jc w:val="both"/>
        <w:rPr>
          <w:rFonts w:ascii="Trebuchet MS" w:hAnsi="Trebuchet MS" w:cs="Arial"/>
          <w:b/>
        </w:rPr>
      </w:pPr>
      <w:r>
        <w:rPr>
          <w:rFonts w:ascii="Trebuchet MS" w:hAnsi="Trebuchet MS" w:cs="Arial"/>
          <w:b/>
        </w:rPr>
        <w:t>Warunki udziału w postępowaniu, określone przez Zamawiającego spośród warunków, o których mowa w art. 112 ust. 2 ustawy (dla wszystkich Części zamówienia):</w:t>
      </w:r>
    </w:p>
    <w:p>
      <w:pPr>
        <w:spacing w:line="276" w:lineRule="auto"/>
        <w:jc w:val="both"/>
        <w:rPr>
          <w:rFonts w:ascii="Trebuchet MS" w:hAnsi="Trebuchet MS" w:cs="Arial"/>
          <w:b/>
          <w:sz w:val="10"/>
          <w:szCs w:val="10"/>
        </w:rPr>
      </w:pPr>
    </w:p>
    <w:p>
      <w:pPr>
        <w:pStyle w:val="40"/>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Zdolność do występowania w obrocie gospodarczym</w:t>
      </w:r>
    </w:p>
    <w:p>
      <w:pPr>
        <w:pStyle w:val="40"/>
        <w:tabs>
          <w:tab w:val="left" w:pos="1134"/>
        </w:tabs>
        <w:spacing w:line="276" w:lineRule="auto"/>
        <w:ind w:left="1843" w:hanging="709"/>
        <w:jc w:val="both"/>
        <w:rPr>
          <w:rFonts w:ascii="Trebuchet MS" w:hAnsi="Trebuchet MS" w:cs="Arial"/>
        </w:rPr>
      </w:pPr>
      <w:r>
        <w:rPr>
          <w:rFonts w:ascii="Trebuchet MS" w:hAnsi="Trebuchet MS" w:cs="Arial"/>
        </w:rPr>
        <w:t>Zamawiający nie określa warunków udziału w postępowaniu w tym zakresie.</w:t>
      </w:r>
    </w:p>
    <w:p>
      <w:pPr>
        <w:pStyle w:val="40"/>
        <w:tabs>
          <w:tab w:val="left" w:pos="1134"/>
        </w:tabs>
        <w:spacing w:line="276" w:lineRule="auto"/>
        <w:ind w:left="1843" w:hanging="709"/>
        <w:jc w:val="both"/>
        <w:rPr>
          <w:rFonts w:ascii="Trebuchet MS" w:hAnsi="Trebuchet MS" w:cs="Arial"/>
        </w:rPr>
      </w:pPr>
    </w:p>
    <w:p>
      <w:pPr>
        <w:pStyle w:val="40"/>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Uprawnienia do prowadzenia określonej działalności gospodarczej lub zawodowej</w:t>
      </w:r>
    </w:p>
    <w:p>
      <w:pPr>
        <w:tabs>
          <w:tab w:val="left" w:pos="1843"/>
        </w:tabs>
        <w:spacing w:line="276" w:lineRule="auto"/>
        <w:ind w:left="1843" w:hanging="709"/>
        <w:jc w:val="both"/>
        <w:rPr>
          <w:rFonts w:ascii="Trebuchet MS" w:hAnsi="Trebuchet MS" w:cs="Arial"/>
        </w:rPr>
      </w:pPr>
      <w:r>
        <w:rPr>
          <w:rFonts w:ascii="Trebuchet MS" w:hAnsi="Trebuchet MS" w:cs="Arial"/>
        </w:rPr>
        <w:t>Zamawiający nie określa warunków udziału w postępowaniu w tym zakresie.</w:t>
      </w:r>
    </w:p>
    <w:p>
      <w:pPr>
        <w:tabs>
          <w:tab w:val="left" w:pos="1843"/>
        </w:tabs>
        <w:spacing w:line="276" w:lineRule="auto"/>
        <w:ind w:left="1843" w:hanging="709"/>
        <w:jc w:val="both"/>
        <w:rPr>
          <w:rFonts w:ascii="Trebuchet MS" w:hAnsi="Trebuchet MS" w:cs="Arial"/>
        </w:rPr>
      </w:pPr>
    </w:p>
    <w:p>
      <w:pPr>
        <w:pStyle w:val="40"/>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Sytuacja ekonomiczna lub finansowa</w:t>
      </w:r>
    </w:p>
    <w:p>
      <w:pPr>
        <w:pStyle w:val="40"/>
        <w:tabs>
          <w:tab w:val="left" w:pos="1134"/>
        </w:tabs>
        <w:spacing w:line="276" w:lineRule="auto"/>
        <w:ind w:left="720"/>
        <w:jc w:val="both"/>
        <w:rPr>
          <w:rFonts w:ascii="Trebuchet MS" w:hAnsi="Trebuchet MS" w:cs="Arial"/>
        </w:rPr>
      </w:pPr>
      <w:r>
        <w:rPr>
          <w:rFonts w:ascii="Trebuchet MS" w:hAnsi="Trebuchet MS" w:cs="Arial"/>
        </w:rPr>
        <w:tab/>
      </w:r>
      <w:r>
        <w:rPr>
          <w:rFonts w:ascii="Trebuchet MS" w:hAnsi="Trebuchet MS" w:cs="Arial"/>
        </w:rPr>
        <w:t>Zamawiający nie określa warunków udziału w postępowaniu w tym zakresie.</w:t>
      </w:r>
    </w:p>
    <w:p>
      <w:pPr>
        <w:tabs>
          <w:tab w:val="left" w:pos="1134"/>
        </w:tabs>
        <w:spacing w:line="276" w:lineRule="auto"/>
        <w:ind w:left="1843" w:hanging="709"/>
        <w:jc w:val="both"/>
        <w:rPr>
          <w:rFonts w:ascii="Trebuchet MS" w:hAnsi="Trebuchet MS" w:cs="Arial"/>
        </w:rPr>
      </w:pPr>
    </w:p>
    <w:p>
      <w:pPr>
        <w:pStyle w:val="40"/>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Zdolność techniczna lub zawodowa:</w:t>
      </w:r>
    </w:p>
    <w:p>
      <w:pPr>
        <w:pStyle w:val="121"/>
        <w:numPr>
          <w:ilvl w:val="2"/>
          <w:numId w:val="31"/>
        </w:numPr>
        <w:tabs>
          <w:tab w:val="left" w:pos="567"/>
        </w:tabs>
        <w:spacing w:line="276" w:lineRule="auto"/>
        <w:ind w:left="1843" w:hanging="709"/>
        <w:jc w:val="both"/>
        <w:rPr>
          <w:rFonts w:ascii="Trebuchet MS" w:hAnsi="Trebuchet MS"/>
        </w:rPr>
      </w:pPr>
      <w:r>
        <w:rPr>
          <w:rFonts w:ascii="Trebuchet MS" w:hAnsi="Trebuchet MS" w:cs="Arial"/>
        </w:rPr>
        <w:t>Wykonawca musi wykazać, iż w okresie ostatnich 5 lat przed upływem terminu składania ofert, a jeżeli okres prowadzenia działalności jest krótszy – w tym okresie, wykonał należycie (w szczególności zgodnie z przepisami prawa budowlanego</w:t>
      </w:r>
      <w:r>
        <w:rPr>
          <w:rFonts w:ascii="Trebuchet MS" w:hAnsi="Trebuchet MS" w:cs="Arial"/>
        </w:rPr>
        <w:br w:type="textWrapping"/>
      </w:r>
      <w:r>
        <w:rPr>
          <w:rFonts w:ascii="Trebuchet MS" w:hAnsi="Trebuchet MS" w:cs="Arial"/>
        </w:rPr>
        <w:t xml:space="preserve">i prawidłowo </w:t>
      </w:r>
      <w:r>
        <w:rPr>
          <w:rFonts w:ascii="Trebuchet MS" w:hAnsi="Trebuchet MS" w:cs="Arial"/>
          <w:highlight w:val="none"/>
        </w:rPr>
        <w:t>ukończył)</w:t>
      </w:r>
      <w:r>
        <w:rPr>
          <w:rFonts w:hint="default" w:ascii="Trebuchet MS" w:hAnsi="Trebuchet MS" w:cs="Arial"/>
          <w:highlight w:val="none"/>
          <w:lang w:val="pl-PL"/>
        </w:rPr>
        <w:t xml:space="preserve"> </w:t>
      </w:r>
      <w:r>
        <w:rPr>
          <w:rFonts w:ascii="Trebuchet MS" w:hAnsi="Trebuchet MS" w:cs="Arial"/>
          <w:highlight w:val="none"/>
        </w:rPr>
        <w:t xml:space="preserve">co najmniej </w:t>
      </w:r>
      <w:r>
        <w:rPr>
          <w:rFonts w:ascii="Trebuchet MS" w:hAnsi="Trebuchet MS" w:cs="Arial"/>
          <w:b/>
          <w:highlight w:val="none"/>
        </w:rPr>
        <w:t xml:space="preserve">1 robotę budowlaną polegającą na budowie  lub rozbudowie lub przebudowie lub remoncie lub modernizacji dróg/drogi </w:t>
      </w:r>
      <w:r>
        <w:rPr>
          <w:rFonts w:ascii="Trebuchet MS" w:hAnsi="Trebuchet MS" w:cs="Arial"/>
          <w:b/>
          <w:highlight w:val="none"/>
        </w:rPr>
        <w:br w:type="textWrapping"/>
      </w:r>
      <w:r>
        <w:rPr>
          <w:rFonts w:ascii="Trebuchet MS" w:hAnsi="Trebuchet MS" w:cs="Arial"/>
          <w:b/>
          <w:highlight w:val="none"/>
        </w:rPr>
        <w:t>o wartości min. 150.000,00 zł brutto.</w:t>
      </w:r>
    </w:p>
    <w:p>
      <w:pPr>
        <w:tabs>
          <w:tab w:val="left" w:pos="720"/>
        </w:tabs>
        <w:spacing w:line="276" w:lineRule="auto"/>
        <w:ind w:left="1843"/>
        <w:jc w:val="both"/>
        <w:rPr>
          <w:rFonts w:ascii="Trebuchet MS" w:hAnsi="Trebuchet MS" w:cs="Arial"/>
          <w:b/>
        </w:rPr>
      </w:pPr>
    </w:p>
    <w:p>
      <w:pPr>
        <w:tabs>
          <w:tab w:val="left" w:pos="709"/>
          <w:tab w:val="left" w:pos="1134"/>
        </w:tabs>
        <w:spacing w:line="276" w:lineRule="auto"/>
        <w:ind w:left="1814"/>
        <w:jc w:val="both"/>
        <w:rPr>
          <w:rFonts w:ascii="Trebuchet MS" w:hAnsi="Trebuchet MS" w:cs="Arial"/>
          <w:b/>
        </w:rPr>
      </w:pPr>
      <w:r>
        <w:rPr>
          <w:rFonts w:ascii="Trebuchet MS" w:hAnsi="Trebuchet MS" w:cs="Arial"/>
          <w:b/>
        </w:rPr>
        <w:t>Uwaga</w:t>
      </w:r>
    </w:p>
    <w:p>
      <w:pPr>
        <w:tabs>
          <w:tab w:val="left" w:pos="709"/>
          <w:tab w:val="left" w:pos="1134"/>
        </w:tabs>
        <w:spacing w:line="276" w:lineRule="auto"/>
        <w:ind w:left="1814"/>
        <w:jc w:val="both"/>
        <w:rPr>
          <w:rFonts w:ascii="Trebuchet MS" w:hAnsi="Trebuchet MS" w:cs="Arial"/>
          <w:b/>
        </w:rPr>
      </w:pPr>
      <w:r>
        <w:rPr>
          <w:rFonts w:ascii="Trebuchet MS" w:hAnsi="Trebuchet MS" w:cs="Arial"/>
          <w:b/>
        </w:rPr>
        <w:t>Jeżeli Wykonawca powołuje się na doświadczenie w realizacji roboty budowlano wykonawczej wspólnie z innymi wykonawcami, należy wykazać robotę budowlaną, w której Wykonawca bezpośrednio uczestniczył.</w:t>
      </w:r>
    </w:p>
    <w:p>
      <w:pPr>
        <w:tabs>
          <w:tab w:val="left" w:pos="709"/>
          <w:tab w:val="left" w:pos="1134"/>
        </w:tabs>
        <w:spacing w:line="276" w:lineRule="auto"/>
        <w:ind w:left="1814"/>
        <w:jc w:val="both"/>
        <w:rPr>
          <w:rFonts w:ascii="Trebuchet MS" w:hAnsi="Trebuchet MS" w:cs="Arial"/>
          <w:b/>
        </w:rPr>
      </w:pPr>
    </w:p>
    <w:p>
      <w:pPr>
        <w:tabs>
          <w:tab w:val="left" w:pos="709"/>
          <w:tab w:val="left" w:pos="1134"/>
        </w:tabs>
        <w:spacing w:line="276" w:lineRule="auto"/>
        <w:ind w:left="1814"/>
        <w:jc w:val="both"/>
        <w:rPr>
          <w:rFonts w:ascii="Trebuchet MS" w:hAnsi="Trebuchet MS" w:cs="Arial"/>
          <w:b/>
        </w:rPr>
      </w:pPr>
      <w:r>
        <w:rPr>
          <w:rFonts w:ascii="Trebuchet MS" w:hAnsi="Trebuchet MS" w:cs="Arial"/>
          <w:b/>
        </w:rPr>
        <w:t xml:space="preserve">Uwaga </w:t>
      </w:r>
    </w:p>
    <w:p>
      <w:pPr>
        <w:spacing w:line="276" w:lineRule="auto"/>
        <w:ind w:left="1814"/>
        <w:jc w:val="both"/>
        <w:rPr>
          <w:rFonts w:ascii="Trebuchet MS" w:hAnsi="Trebuchet MS" w:cs="Arial"/>
          <w:b/>
        </w:rPr>
      </w:pPr>
      <w:r>
        <w:rPr>
          <w:rFonts w:ascii="Trebuchet MS" w:hAnsi="Trebuchet MS" w:cs="Arial"/>
          <w:b/>
        </w:rPr>
        <w:t xml:space="preserve">W przypadku wskazania przez Wykonawcę, w celu wykazania spełniania warunków udziału, waluty innej niż polska (PLN), w celu jej przeliczenia stosowany będzie średni kurs NBP na dzień zamieszczenia ogłoszenia o zamówieniu w Biuletynie Zamówień Publicznych na portalu internetowym Urzędu Zamówień Publicznych. </w:t>
      </w:r>
    </w:p>
    <w:p>
      <w:pPr>
        <w:tabs>
          <w:tab w:val="left" w:pos="851"/>
        </w:tabs>
        <w:spacing w:line="276" w:lineRule="auto"/>
        <w:jc w:val="both"/>
        <w:rPr>
          <w:rFonts w:ascii="Trebuchet MS" w:hAnsi="Trebuchet MS" w:cs="Arial"/>
        </w:rPr>
      </w:pPr>
    </w:p>
    <w:p>
      <w:pPr>
        <w:numPr>
          <w:ilvl w:val="2"/>
          <w:numId w:val="31"/>
        </w:numPr>
        <w:tabs>
          <w:tab w:val="left" w:pos="0"/>
          <w:tab w:val="left" w:pos="567"/>
          <w:tab w:val="left" w:pos="1843"/>
        </w:tabs>
        <w:spacing w:line="276" w:lineRule="auto"/>
        <w:ind w:left="1786" w:hanging="709"/>
        <w:jc w:val="both"/>
        <w:rPr>
          <w:rFonts w:ascii="Trebuchet MS" w:hAnsi="Trebuchet MS" w:cs="Arial"/>
        </w:rPr>
      </w:pPr>
      <w:r>
        <w:rPr>
          <w:rFonts w:ascii="Trebuchet MS" w:hAnsi="Trebuchet MS"/>
        </w:rPr>
        <w:t xml:space="preserve">Wykonawca musi wykazać dysponowanie (dysponuje lub będzie dysponował) osobą/ami zdolną/ymi do wykonania zamówienia tj. posiadającą/ymi prawo do wykonywania samodzielnych funkcji technicznych w budownictwie tj. odpowiednie uprawnienia budowlane </w:t>
      </w:r>
      <w:r>
        <w:rPr>
          <w:rFonts w:ascii="Trebuchet MS" w:hAnsi="Trebuchet MS" w:cs="Arial"/>
        </w:rPr>
        <w:t xml:space="preserve">w zakresie kierowania robotami budowlanymi w specjalności: </w:t>
      </w:r>
    </w:p>
    <w:p>
      <w:pPr>
        <w:tabs>
          <w:tab w:val="left" w:pos="567"/>
        </w:tabs>
        <w:spacing w:line="276" w:lineRule="auto"/>
        <w:ind w:left="1786"/>
        <w:jc w:val="both"/>
        <w:rPr>
          <w:rFonts w:ascii="Trebuchet MS" w:hAnsi="Trebuchet MS" w:cs="Arial"/>
          <w:highlight w:val="none"/>
        </w:rPr>
      </w:pPr>
      <w:r>
        <w:rPr>
          <w:rFonts w:ascii="Trebuchet MS" w:hAnsi="Trebuchet MS" w:cs="Arial"/>
          <w:highlight w:val="none"/>
        </w:rPr>
        <w:t xml:space="preserve">- </w:t>
      </w:r>
      <w:r>
        <w:rPr>
          <w:rFonts w:ascii="Trebuchet MS" w:hAnsi="Trebuchet MS" w:cs="Arial"/>
          <w:b/>
          <w:bCs/>
          <w:highlight w:val="none"/>
        </w:rPr>
        <w:t>drogowej,</w:t>
      </w:r>
    </w:p>
    <w:p>
      <w:pPr>
        <w:tabs>
          <w:tab w:val="left" w:pos="567"/>
          <w:tab w:val="left" w:pos="1260"/>
        </w:tabs>
        <w:spacing w:line="276" w:lineRule="auto"/>
        <w:ind w:left="1786"/>
        <w:jc w:val="both"/>
        <w:rPr>
          <w:rFonts w:ascii="Trebuchet MS" w:hAnsi="Trebuchet MS" w:cs="Arial"/>
          <w:highlight w:val="none"/>
        </w:rPr>
      </w:pPr>
      <w:r>
        <w:rPr>
          <w:rFonts w:ascii="Trebuchet MS" w:hAnsi="Trebuchet MS" w:cs="Arial"/>
          <w:b/>
          <w:highlight w:val="none"/>
        </w:rPr>
        <w:t xml:space="preserve">lub </w:t>
      </w:r>
      <w:r>
        <w:rPr>
          <w:rFonts w:ascii="Trebuchet MS" w:hAnsi="Trebuchet MS" w:cs="Arial"/>
          <w:highlight w:val="none"/>
        </w:rPr>
        <w:t>odpowiadające im ważne uprawnienia, które zostały wydane na podstawie wcześniej obowiązujących przepisów,</w:t>
      </w:r>
    </w:p>
    <w:p>
      <w:pPr>
        <w:tabs>
          <w:tab w:val="left" w:pos="567"/>
          <w:tab w:val="left" w:pos="1260"/>
        </w:tabs>
        <w:spacing w:line="276" w:lineRule="auto"/>
        <w:ind w:left="1786"/>
        <w:jc w:val="both"/>
        <w:rPr>
          <w:rFonts w:ascii="Trebuchet MS" w:hAnsi="Trebuchet MS" w:cs="Arial"/>
          <w:highlight w:val="none"/>
        </w:rPr>
      </w:pPr>
      <w:r>
        <w:rPr>
          <w:rFonts w:ascii="Trebuchet MS" w:hAnsi="Trebuchet MS" w:cs="Arial"/>
          <w:b/>
          <w:highlight w:val="none"/>
        </w:rPr>
        <w:t xml:space="preserve">oraz </w:t>
      </w:r>
      <w:r>
        <w:rPr>
          <w:rFonts w:ascii="Trebuchet MS" w:hAnsi="Trebuchet MS" w:cs="Arial"/>
          <w:highlight w:val="none"/>
        </w:rPr>
        <w:t>zrzeszoną/ymi we właściwym samorządzie zawodowym zgodnie z przepisami ustawy z dnia 15.12.2000 r. o samorządach zawodowych architektów oraz inżynierów budownictwa (</w:t>
      </w:r>
      <w:r>
        <w:rPr>
          <w:rFonts w:hint="default" w:ascii="Trebuchet MS" w:hAnsi="Trebuchet MS" w:cs="Arial"/>
          <w:highlight w:val="none"/>
          <w:lang w:val="pl-PL"/>
        </w:rPr>
        <w:t xml:space="preserve">tj. </w:t>
      </w:r>
      <w:r>
        <w:rPr>
          <w:rFonts w:hint="default" w:ascii="Trebuchet MS" w:hAnsi="Trebuchet MS"/>
          <w:highlight w:val="none"/>
        </w:rPr>
        <w:t>Dz. U. z 2023 r. poz. 551</w:t>
      </w:r>
      <w:r>
        <w:rPr>
          <w:rFonts w:ascii="Trebuchet MS" w:hAnsi="Trebuchet MS" w:cs="Arial"/>
          <w:highlight w:val="none"/>
        </w:rPr>
        <w:t>),</w:t>
      </w:r>
    </w:p>
    <w:p>
      <w:pPr>
        <w:tabs>
          <w:tab w:val="left" w:pos="567"/>
          <w:tab w:val="left" w:pos="720"/>
        </w:tabs>
        <w:spacing w:line="276" w:lineRule="auto"/>
        <w:ind w:left="1786"/>
        <w:jc w:val="both"/>
        <w:rPr>
          <w:rFonts w:ascii="Trebuchet MS" w:hAnsi="Trebuchet MS" w:cs="Arial"/>
          <w:highlight w:val="none"/>
        </w:rPr>
      </w:pPr>
      <w:r>
        <w:rPr>
          <w:rFonts w:ascii="Trebuchet MS" w:hAnsi="Trebuchet MS" w:cs="Arial"/>
          <w:b/>
          <w:highlight w:val="none"/>
        </w:rPr>
        <w:t>lub</w:t>
      </w:r>
      <w:r>
        <w:rPr>
          <w:rFonts w:ascii="Trebuchet MS" w:hAnsi="Trebuchet MS" w:cs="Arial"/>
          <w:highlight w:val="none"/>
        </w:rPr>
        <w:t xml:space="preserve"> spełniającą/ymi warunki, o których mowa w art. 12a ustawy z dnia 7 lipca 1994r. Prawo budowlane (tekst jednolity Dz. U. z 20</w:t>
      </w:r>
      <w:r>
        <w:rPr>
          <w:rFonts w:hint="default" w:ascii="Trebuchet MS" w:hAnsi="Trebuchet MS" w:cs="Arial"/>
          <w:highlight w:val="none"/>
          <w:lang w:val="pl-PL"/>
        </w:rPr>
        <w:t>23</w:t>
      </w:r>
      <w:r>
        <w:rPr>
          <w:rFonts w:ascii="Trebuchet MS" w:hAnsi="Trebuchet MS" w:cs="Arial"/>
          <w:highlight w:val="none"/>
        </w:rPr>
        <w:t xml:space="preserve">r. poz. </w:t>
      </w:r>
      <w:r>
        <w:rPr>
          <w:rFonts w:hint="default" w:ascii="Trebuchet MS" w:hAnsi="Trebuchet MS" w:cs="Arial"/>
          <w:highlight w:val="none"/>
          <w:lang w:val="pl-PL"/>
        </w:rPr>
        <w:t>682</w:t>
      </w:r>
      <w:r>
        <w:rPr>
          <w:rFonts w:ascii="Trebuchet MS" w:hAnsi="Trebuchet MS" w:cs="Arial"/>
          <w:highlight w:val="none"/>
        </w:rPr>
        <w:t xml:space="preserve"> z późn. zm.) tj. osobą/ami której/ych odpowiednie kwalifikacje zawodowe zostały uznane na zasadach określonych w przepisach odrębnych lub spełniającą/ymi wymogi o których mowa w art. 20a ustawy z dnia 15.12.2000 r. o samorządach zawodowych architektów oraz inżynierów budownictwa („świadczenie usług transgranicznych”).</w:t>
      </w:r>
    </w:p>
    <w:p>
      <w:pPr>
        <w:tabs>
          <w:tab w:val="left" w:pos="567"/>
          <w:tab w:val="left" w:pos="2340"/>
        </w:tabs>
        <w:spacing w:line="276" w:lineRule="auto"/>
        <w:jc w:val="both"/>
        <w:rPr>
          <w:rFonts w:ascii="Trebuchet MS" w:hAnsi="Trebuchet MS" w:cs="Arial"/>
        </w:rPr>
      </w:pPr>
    </w:p>
    <w:p>
      <w:pPr>
        <w:pStyle w:val="40"/>
        <w:numPr>
          <w:ilvl w:val="0"/>
          <w:numId w:val="31"/>
        </w:numPr>
        <w:tabs>
          <w:tab w:val="left" w:pos="993"/>
          <w:tab w:val="left" w:pos="1134"/>
        </w:tabs>
        <w:spacing w:line="276" w:lineRule="auto"/>
        <w:ind w:left="426" w:hanging="426"/>
        <w:contextualSpacing/>
        <w:jc w:val="both"/>
        <w:rPr>
          <w:rFonts w:ascii="Trebuchet MS" w:hAnsi="Trebuchet MS" w:cs="Arial"/>
          <w:b/>
        </w:rPr>
      </w:pPr>
      <w:r>
        <w:rPr>
          <w:rFonts w:ascii="Trebuchet MS" w:hAnsi="Trebuchet MS" w:cs="Arial"/>
          <w:b/>
        </w:rPr>
        <w:t>Wykaz podmiotowych środków dowodowych</w:t>
      </w:r>
    </w:p>
    <w:p>
      <w:pPr>
        <w:spacing w:line="276" w:lineRule="auto"/>
        <w:jc w:val="both"/>
        <w:rPr>
          <w:rFonts w:ascii="Trebuchet MS" w:hAnsi="Trebuchet MS" w:cs="Arial"/>
          <w:b/>
          <w:sz w:val="10"/>
          <w:szCs w:val="10"/>
        </w:rPr>
      </w:pPr>
    </w:p>
    <w:p>
      <w:pPr>
        <w:tabs>
          <w:tab w:val="left" w:pos="1134"/>
        </w:tabs>
        <w:spacing w:line="276" w:lineRule="auto"/>
        <w:jc w:val="both"/>
        <w:rPr>
          <w:rFonts w:ascii="Trebuchet MS" w:hAnsi="Trebuchet MS" w:cs="Arial"/>
        </w:rPr>
      </w:pPr>
    </w:p>
    <w:p>
      <w:pPr>
        <w:pStyle w:val="40"/>
        <w:numPr>
          <w:ilvl w:val="1"/>
          <w:numId w:val="31"/>
        </w:numPr>
        <w:spacing w:line="276" w:lineRule="auto"/>
        <w:jc w:val="both"/>
        <w:rPr>
          <w:rFonts w:ascii="Trebuchet MS" w:hAnsi="Trebuchet MS" w:cs="Arial"/>
          <w:b/>
        </w:rPr>
      </w:pPr>
      <w:r>
        <w:rPr>
          <w:rFonts w:ascii="Trebuchet MS" w:hAnsi="Trebuchet MS" w:cs="Arial"/>
          <w:b/>
        </w:rPr>
        <w:t>Wykonawca, którego oferta zostanie najwyżej oceniona, w celu wykazania spełniania warunków udziału w postępowaniu (określonych przez Zamawiającego w ust. 3 niniejszego rozdziału SWZ), na podstawie art. 274 ust. 1 ustawy zostanie wezwany do złożenia następujących podmiotowych środków dowodowych (aktualnych na dzień ich złożenia):</w:t>
      </w:r>
    </w:p>
    <w:p>
      <w:pPr>
        <w:spacing w:line="276" w:lineRule="auto"/>
        <w:jc w:val="both"/>
        <w:rPr>
          <w:rFonts w:ascii="Trebuchet MS" w:hAnsi="Trebuchet MS" w:cs="Arial"/>
          <w:b/>
        </w:rPr>
      </w:pPr>
    </w:p>
    <w:p>
      <w:pPr>
        <w:tabs>
          <w:tab w:val="left" w:pos="1134"/>
        </w:tabs>
        <w:spacing w:line="276" w:lineRule="auto"/>
        <w:ind w:left="567"/>
        <w:jc w:val="both"/>
        <w:rPr>
          <w:rFonts w:ascii="Trebuchet MS" w:hAnsi="Trebuchet MS" w:cs="Arial"/>
        </w:rPr>
      </w:pPr>
      <w:r>
        <w:rPr>
          <w:rFonts w:ascii="Trebuchet MS" w:hAnsi="Trebuchet MS" w:cs="Arial"/>
        </w:rPr>
        <w:tab/>
      </w:r>
      <w:r>
        <w:rPr>
          <w:rFonts w:ascii="Trebuchet MS" w:hAnsi="Trebuchet MS" w:cs="Arial"/>
        </w:rPr>
        <w:t>- w celu wykazania spełniania warunku z ust. 3.4.1.:</w:t>
      </w:r>
    </w:p>
    <w:p>
      <w:pPr>
        <w:pStyle w:val="46"/>
        <w:suppressAutoHyphens/>
        <w:spacing w:line="276" w:lineRule="auto"/>
        <w:ind w:left="1080" w:right="28"/>
        <w:jc w:val="both"/>
        <w:rPr>
          <w:rFonts w:ascii="Trebuchet MS" w:hAnsi="Trebuchet MS" w:cs="Times-Roman"/>
          <w:b/>
          <w:u w:val="single"/>
        </w:rPr>
      </w:pPr>
      <w:r>
        <w:rPr>
          <w:rFonts w:ascii="Trebuchet MS" w:hAnsi="Trebuchet MS" w:cs="Arial"/>
          <w:b/>
          <w:bCs/>
        </w:rPr>
        <w:t>wykaz robót budowlanych</w:t>
      </w:r>
      <w:r>
        <w:rPr>
          <w:rFonts w:ascii="Trebuchet MS" w:hAnsi="Trebuchet MS" w:cs="Arial"/>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w:t>
      </w:r>
      <w:r>
        <w:rPr>
          <w:rFonts w:ascii="Trebuchet MS" w:hAnsi="Trebuchet MS" w:cs="TimesNewRoman"/>
          <w:b/>
        </w:rPr>
        <w:t xml:space="preserve">, </w:t>
      </w:r>
      <w:r>
        <w:rPr>
          <w:rFonts w:ascii="Trebuchet MS" w:hAnsi="Trebuchet MS" w:cs="TimesNewRoman"/>
        </w:rPr>
        <w:t xml:space="preserve">o których mowa, są referencje bądź inne dokumenty sporządzone przez podmiot, na rzecz którego roboty budowlane zostały wykonywane, a jeżeli wykonawca z przyczyn niezależnych od niego nie jest w stanie uzyskać tych dokumentów – inne odpowiednie dokumenty. </w:t>
      </w:r>
      <w:r>
        <w:rPr>
          <w:rFonts w:ascii="Trebuchet MS" w:hAnsi="Trebuchet MS" w:cs="Times-Roman"/>
          <w:b/>
        </w:rPr>
        <w:t>Okres, o którym wyżej mowa liczy się wstecz od dnia, w którym upływa termin składania ofert.</w:t>
      </w:r>
    </w:p>
    <w:p>
      <w:pPr>
        <w:tabs>
          <w:tab w:val="left" w:pos="1134"/>
        </w:tabs>
        <w:spacing w:line="276" w:lineRule="auto"/>
        <w:ind w:left="1134"/>
        <w:jc w:val="both"/>
        <w:rPr>
          <w:rFonts w:ascii="Trebuchet MS" w:hAnsi="Trebuchet MS" w:cs="TimesNewRoman"/>
        </w:rPr>
      </w:pPr>
    </w:p>
    <w:p>
      <w:pPr>
        <w:tabs>
          <w:tab w:val="left" w:pos="1134"/>
        </w:tabs>
        <w:spacing w:line="276" w:lineRule="auto"/>
        <w:ind w:left="567"/>
        <w:jc w:val="both"/>
        <w:rPr>
          <w:rFonts w:ascii="Trebuchet MS" w:hAnsi="Trebuchet MS" w:cs="Arial"/>
        </w:rPr>
      </w:pPr>
      <w:r>
        <w:rPr>
          <w:rFonts w:ascii="Trebuchet MS" w:hAnsi="Trebuchet MS" w:cs="Arial"/>
        </w:rPr>
        <w:tab/>
      </w:r>
      <w:r>
        <w:rPr>
          <w:rFonts w:ascii="Trebuchet MS" w:hAnsi="Trebuchet MS" w:cs="Arial"/>
        </w:rPr>
        <w:t>- w celu wykazania spełniania warunku z ust. 3.4.2.:</w:t>
      </w:r>
    </w:p>
    <w:p>
      <w:pPr>
        <w:autoSpaceDE w:val="0"/>
        <w:autoSpaceDN w:val="0"/>
        <w:adjustRightInd w:val="0"/>
        <w:spacing w:line="276" w:lineRule="auto"/>
        <w:ind w:left="1134"/>
        <w:jc w:val="both"/>
        <w:rPr>
          <w:rFonts w:ascii="Trebuchet MS" w:hAnsi="Trebuchet MS" w:cs="Times-Roman"/>
        </w:rPr>
      </w:pPr>
      <w:r>
        <w:rPr>
          <w:rFonts w:ascii="Trebuchet MS" w:hAnsi="Trebuchet MS" w:eastAsia="Calibri" w:cs="Times-Roman"/>
          <w:b/>
          <w:bCs/>
        </w:rPr>
        <w:t>wykaz osób</w:t>
      </w:r>
      <w:r>
        <w:rPr>
          <w:rFonts w:ascii="Trebuchet MS" w:hAnsi="Trebuchet MS" w:eastAsia="Calibri" w:cs="Times-Roman"/>
        </w:rPr>
        <w:t>, 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informacje o podstawie do dysponowania tymi osobami.</w:t>
      </w:r>
    </w:p>
    <w:p>
      <w:pPr>
        <w:tabs>
          <w:tab w:val="left" w:pos="1701"/>
        </w:tabs>
        <w:spacing w:line="360" w:lineRule="auto"/>
        <w:ind w:left="1701" w:hanging="1701"/>
        <w:jc w:val="center"/>
        <w:rPr>
          <w:rFonts w:ascii="Trebuchet MS" w:hAnsi="Trebuchet MS" w:cs="Arial"/>
          <w:b/>
        </w:rPr>
      </w:pPr>
    </w:p>
    <w:p>
      <w:pPr>
        <w:pStyle w:val="40"/>
        <w:numPr>
          <w:ilvl w:val="0"/>
          <w:numId w:val="10"/>
        </w:numPr>
        <w:tabs>
          <w:tab w:val="left" w:pos="1701"/>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KORZYSTANIE PRZEZ WYKONAWCĘ Z ZASOBÓW INNYCH PODMIOTÓW W CELU POTWIERDZENIA SPEŁNIANIA WARUNKÓW UDZIAŁU W POSTĘPOWANIU</w:t>
      </w:r>
    </w:p>
    <w:p>
      <w:pPr>
        <w:tabs>
          <w:tab w:val="left" w:pos="1701"/>
        </w:tabs>
        <w:spacing w:line="276" w:lineRule="auto"/>
        <w:ind w:left="1701" w:hanging="1701"/>
        <w:jc w:val="both"/>
        <w:rPr>
          <w:rFonts w:ascii="Trebuchet MS" w:hAnsi="Trebuchet MS" w:cs="Arial"/>
          <w:b/>
          <w:sz w:val="18"/>
        </w:rPr>
      </w:pPr>
    </w:p>
    <w:p>
      <w:pPr>
        <w:pStyle w:val="33"/>
        <w:numPr>
          <w:ilvl w:val="1"/>
          <w:numId w:val="33"/>
        </w:numPr>
        <w:spacing w:before="0" w:beforeAutospacing="0" w:after="0" w:afterAutospacing="0" w:line="276" w:lineRule="auto"/>
        <w:ind w:left="426" w:hanging="426"/>
        <w:jc w:val="both"/>
        <w:rPr>
          <w:rFonts w:ascii="Trebuchet MS" w:hAnsi="Trebuchet MS"/>
          <w:bCs/>
          <w:sz w:val="20"/>
        </w:rPr>
      </w:pPr>
      <w:r>
        <w:rPr>
          <w:rFonts w:ascii="Trebuchet MS" w:hAnsi="Trebuchet MS"/>
          <w:bCs/>
          <w:sz w:val="20"/>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3.4. rozdziału XIX SWZ).</w:t>
      </w:r>
    </w:p>
    <w:p>
      <w:pPr>
        <w:pStyle w:val="33"/>
        <w:spacing w:before="0" w:beforeAutospacing="0" w:after="0" w:afterAutospacing="0" w:line="276" w:lineRule="auto"/>
        <w:jc w:val="both"/>
        <w:rPr>
          <w:rFonts w:ascii="Trebuchet MS" w:hAnsi="Trebuchet MS"/>
          <w:bCs/>
          <w:sz w:val="20"/>
        </w:rPr>
      </w:pPr>
    </w:p>
    <w:p>
      <w:pPr>
        <w:pStyle w:val="33"/>
        <w:numPr>
          <w:ilvl w:val="1"/>
          <w:numId w:val="33"/>
        </w:numPr>
        <w:spacing w:before="0" w:beforeAutospacing="0" w:after="0" w:afterAutospacing="0" w:line="276" w:lineRule="auto"/>
        <w:ind w:left="426" w:hanging="426"/>
        <w:jc w:val="both"/>
        <w:rPr>
          <w:rFonts w:ascii="Trebuchet MS" w:hAnsi="Trebuchet MS"/>
          <w:b/>
          <w:bCs/>
          <w:sz w:val="20"/>
        </w:rPr>
      </w:pPr>
      <w:r>
        <w:rPr>
          <w:rFonts w:ascii="Trebuchet MS" w:hAnsi="Trebuchet MS"/>
          <w:b/>
          <w:bCs/>
          <w:sz w:val="20"/>
        </w:rPr>
        <w:t>W odniesieniu do warunków dotyczących wykształcenia, kwalifikacji zawodowych lub doświadczenia (ust. 3.4. rozdziału XIX SWZ) Wykonawcy mogą polegać na zdolnościach podmiotów udostępniających zasoby, jeśli podmioty te wykonają roboty budowlane lub usługi, do realizacji których te zdolności są wymagane.</w:t>
      </w:r>
    </w:p>
    <w:p>
      <w:pPr>
        <w:pStyle w:val="33"/>
        <w:tabs>
          <w:tab w:val="left" w:pos="1800"/>
        </w:tabs>
        <w:spacing w:before="0" w:beforeAutospacing="0" w:after="0" w:afterAutospacing="0" w:line="276" w:lineRule="auto"/>
        <w:jc w:val="both"/>
        <w:rPr>
          <w:rFonts w:ascii="Trebuchet MS" w:hAnsi="Trebuchet MS"/>
          <w:bCs/>
          <w:sz w:val="20"/>
          <w:szCs w:val="20"/>
        </w:rPr>
      </w:pPr>
    </w:p>
    <w:p>
      <w:pPr>
        <w:pStyle w:val="33"/>
        <w:numPr>
          <w:ilvl w:val="1"/>
          <w:numId w:val="33"/>
        </w:numPr>
        <w:spacing w:before="0" w:beforeAutospacing="0" w:after="0" w:afterAutospacing="0" w:line="276" w:lineRule="auto"/>
        <w:ind w:left="425" w:hanging="425"/>
        <w:jc w:val="both"/>
        <w:rPr>
          <w:rFonts w:ascii="Trebuchet MS" w:hAnsi="Trebuchet MS"/>
          <w:bCs/>
          <w:sz w:val="20"/>
        </w:rPr>
      </w:pPr>
      <w:r>
        <w:rPr>
          <w:rFonts w:ascii="Trebuchet MS" w:hAnsi="Trebuchet MS"/>
          <w:bCs/>
          <w:sz w:val="20"/>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pPr>
        <w:pStyle w:val="33"/>
        <w:spacing w:before="0" w:beforeAutospacing="0" w:after="0" w:afterAutospacing="0" w:line="276" w:lineRule="auto"/>
        <w:jc w:val="both"/>
        <w:rPr>
          <w:rFonts w:ascii="Trebuchet MS" w:hAnsi="Trebuchet MS"/>
          <w:bCs/>
          <w:sz w:val="20"/>
          <w:szCs w:val="20"/>
        </w:rPr>
      </w:pPr>
    </w:p>
    <w:p>
      <w:pPr>
        <w:pStyle w:val="33"/>
        <w:tabs>
          <w:tab w:val="left" w:pos="709"/>
          <w:tab w:val="left" w:pos="851"/>
        </w:tabs>
        <w:spacing w:before="0" w:beforeAutospacing="0" w:after="0" w:afterAutospacing="0" w:line="276" w:lineRule="auto"/>
        <w:ind w:left="709" w:hanging="283"/>
        <w:jc w:val="both"/>
        <w:rPr>
          <w:rFonts w:ascii="Trebuchet MS" w:hAnsi="Trebuchet MS"/>
          <w:bCs/>
          <w:sz w:val="20"/>
        </w:rPr>
      </w:pPr>
      <w:r>
        <w:rPr>
          <w:rFonts w:ascii="Trebuchet MS" w:hAnsi="Trebuchet MS"/>
          <w:bCs/>
          <w:sz w:val="20"/>
        </w:rPr>
        <w:t>3.1.</w:t>
      </w:r>
      <w:r>
        <w:rPr>
          <w:rFonts w:ascii="Trebuchet MS" w:hAnsi="Trebuchet MS"/>
          <w:bCs/>
          <w:sz w:val="20"/>
        </w:rPr>
        <w:tab/>
      </w:r>
      <w:r>
        <w:rPr>
          <w:rFonts w:ascii="Trebuchet MS" w:hAnsi="Trebuchet MS"/>
          <w:bCs/>
          <w:sz w:val="20"/>
        </w:rPr>
        <w:t>Zobowiązanie podmiotu udostępniającego zasoby, o którym mowa w ust. 3 niniejszego rozdziału SWZ, potwierdza, że stosunek łączący Wykonawcę z podmiotami udostępniającymi zasoby gwarantuje rzeczywisty dostęp do tych zasobów oraz określa w szczególności:</w:t>
      </w:r>
    </w:p>
    <w:p>
      <w:pPr>
        <w:pStyle w:val="33"/>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zakres dostępnych Wykonawcy zasobów podmiotu udostępniającego zasoby;</w:t>
      </w:r>
    </w:p>
    <w:p>
      <w:pPr>
        <w:pStyle w:val="33"/>
        <w:tabs>
          <w:tab w:val="left" w:pos="426"/>
        </w:tabs>
        <w:spacing w:before="0" w:beforeAutospacing="0" w:after="0" w:afterAutospacing="0" w:line="276" w:lineRule="auto"/>
        <w:ind w:left="1134" w:hanging="283"/>
        <w:jc w:val="both"/>
        <w:rPr>
          <w:rFonts w:ascii="Trebuchet MS" w:hAnsi="Trebuchet MS"/>
          <w:bCs/>
          <w:sz w:val="20"/>
        </w:rPr>
      </w:pPr>
      <w:r>
        <w:rPr>
          <w:rFonts w:ascii="Trebuchet MS" w:hAnsi="Trebuchet MS"/>
          <w:bCs/>
          <w:sz w:val="20"/>
        </w:rPr>
        <w:t>- sposób i okres udostępnienia Wykonawcy i wykorzystania przez niego zasobów podmiotu udostępniającego te zasoby przy wykonywaniu zamówienia;</w:t>
      </w:r>
    </w:p>
    <w:p>
      <w:pPr>
        <w:pStyle w:val="33"/>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pPr>
        <w:pStyle w:val="33"/>
        <w:tabs>
          <w:tab w:val="left" w:pos="426"/>
        </w:tabs>
        <w:spacing w:before="0" w:beforeAutospacing="0" w:after="0" w:afterAutospacing="0" w:line="276" w:lineRule="auto"/>
        <w:jc w:val="both"/>
        <w:rPr>
          <w:rFonts w:ascii="Trebuchet MS" w:hAnsi="Trebuchet MS"/>
          <w:bCs/>
          <w:sz w:val="20"/>
          <w:szCs w:val="20"/>
        </w:rPr>
      </w:pPr>
    </w:p>
    <w:p>
      <w:pPr>
        <w:pStyle w:val="33"/>
        <w:numPr>
          <w:ilvl w:val="1"/>
          <w:numId w:val="33"/>
        </w:numPr>
        <w:spacing w:before="0" w:beforeAutospacing="0" w:after="0" w:afterAutospacing="0" w:line="276" w:lineRule="auto"/>
        <w:ind w:left="425" w:hanging="425"/>
        <w:jc w:val="both"/>
        <w:rPr>
          <w:rFonts w:ascii="Trebuchet MS" w:hAnsi="Trebuchet MS"/>
          <w:b/>
          <w:bCs/>
          <w:sz w:val="20"/>
          <w:szCs w:val="20"/>
        </w:rPr>
      </w:pPr>
      <w:r>
        <w:rPr>
          <w:rFonts w:ascii="Trebuchet MS" w:hAnsi="Trebuchet MS"/>
          <w:bCs/>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3.1 rozdziału XVI SWZ, składanego wraz z ofertą).</w:t>
      </w:r>
    </w:p>
    <w:p>
      <w:pPr>
        <w:pStyle w:val="33"/>
        <w:spacing w:before="0" w:beforeAutospacing="0" w:after="0" w:afterAutospacing="0" w:line="276" w:lineRule="auto"/>
        <w:jc w:val="both"/>
        <w:rPr>
          <w:rFonts w:ascii="Trebuchet MS" w:hAnsi="Trebuchet MS"/>
          <w:bCs/>
          <w:sz w:val="20"/>
        </w:rPr>
      </w:pPr>
    </w:p>
    <w:p>
      <w:pPr>
        <w:pStyle w:val="33"/>
        <w:numPr>
          <w:ilvl w:val="1"/>
          <w:numId w:val="33"/>
        </w:numPr>
        <w:spacing w:before="0" w:beforeAutospacing="0" w:after="0" w:afterAutospacing="0" w:line="276" w:lineRule="auto"/>
        <w:ind w:left="425" w:hanging="425"/>
        <w:jc w:val="both"/>
        <w:rPr>
          <w:rFonts w:ascii="Trebuchet MS" w:hAnsi="Trebuchet MS"/>
          <w:bCs/>
          <w:sz w:val="20"/>
        </w:rPr>
      </w:pPr>
      <w:r>
        <w:rPr>
          <w:rFonts w:ascii="Trebuchet MS" w:hAnsi="Trebuchet MS"/>
          <w:bCs/>
          <w:sz w:val="20"/>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pPr>
        <w:pStyle w:val="33"/>
        <w:spacing w:before="0" w:beforeAutospacing="0" w:after="0" w:afterAutospacing="0" w:line="276" w:lineRule="auto"/>
        <w:jc w:val="both"/>
        <w:rPr>
          <w:rFonts w:ascii="Trebuchet MS" w:hAnsi="Trebuchet MS"/>
          <w:bCs/>
          <w:sz w:val="18"/>
          <w:szCs w:val="18"/>
        </w:rPr>
      </w:pPr>
    </w:p>
    <w:p>
      <w:pPr>
        <w:pStyle w:val="40"/>
        <w:numPr>
          <w:ilvl w:val="1"/>
          <w:numId w:val="33"/>
        </w:numPr>
        <w:tabs>
          <w:tab w:val="left" w:pos="567"/>
        </w:tabs>
        <w:spacing w:line="276" w:lineRule="auto"/>
        <w:ind w:left="426" w:hanging="426"/>
        <w:jc w:val="both"/>
        <w:rPr>
          <w:rFonts w:ascii="Trebuchet MS" w:hAnsi="Trebuchet MS" w:cs="Arial"/>
        </w:rPr>
      </w:pPr>
      <w:r>
        <w:rPr>
          <w:rFonts w:ascii="Trebuchet MS" w:hAnsi="Trebuchet MS" w:cs="Arial"/>
        </w:rPr>
        <w:t>Wykonawca nie może, po upływie terminu składania ofert, powoływać się na zdolności podmiotów udostępniających zasoby, jeżeli na etapie składania ofert nie polegał on w danym zakresie na zdolnościach podmiotów udostępniających zasoby.</w:t>
      </w:r>
    </w:p>
    <w:p>
      <w:pPr>
        <w:tabs>
          <w:tab w:val="left" w:pos="1701"/>
        </w:tabs>
        <w:spacing w:line="276" w:lineRule="auto"/>
        <w:ind w:left="1701" w:right="-114" w:hanging="1701"/>
        <w:jc w:val="both"/>
        <w:rPr>
          <w:rFonts w:ascii="Trebuchet MS" w:hAnsi="Trebuchet MS" w:cs="Arial"/>
          <w:b/>
        </w:rPr>
      </w:pPr>
    </w:p>
    <w:p>
      <w:pPr>
        <w:pStyle w:val="40"/>
        <w:numPr>
          <w:ilvl w:val="0"/>
          <w:numId w:val="10"/>
        </w:numPr>
        <w:tabs>
          <w:tab w:val="left" w:pos="1701"/>
        </w:tabs>
        <w:spacing w:line="360" w:lineRule="auto"/>
        <w:ind w:right="28"/>
        <w:jc w:val="both"/>
        <w:rPr>
          <w:rFonts w:ascii="Trebuchet MS" w:hAnsi="Trebuchet MS" w:cs="Arial"/>
          <w:b/>
        </w:rPr>
      </w:pPr>
      <w:r>
        <w:rPr>
          <w:rFonts w:ascii="Trebuchet MS" w:hAnsi="Trebuchet MS" w:cs="Arial"/>
          <w:b/>
          <w:sz w:val="22"/>
          <w:szCs w:val="22"/>
          <w:u w:val="single"/>
        </w:rPr>
        <w:t>PROCEDURA SANACYJNA - SAMOOCZYSZCZENIE</w:t>
      </w:r>
    </w:p>
    <w:p>
      <w:pPr>
        <w:tabs>
          <w:tab w:val="left" w:pos="1701"/>
        </w:tabs>
        <w:spacing w:line="360" w:lineRule="auto"/>
        <w:ind w:left="1701" w:right="-114" w:hanging="1701"/>
        <w:jc w:val="both"/>
        <w:rPr>
          <w:rFonts w:ascii="Trebuchet MS" w:hAnsi="Trebuchet MS" w:cs="Arial"/>
          <w:b/>
          <w:sz w:val="18"/>
        </w:rPr>
      </w:pPr>
    </w:p>
    <w:p>
      <w:pPr>
        <w:pStyle w:val="33"/>
        <w:numPr>
          <w:ilvl w:val="2"/>
          <w:numId w:val="34"/>
        </w:numPr>
        <w:tabs>
          <w:tab w:val="left" w:pos="426"/>
          <w:tab w:val="left" w:pos="2520"/>
        </w:tabs>
        <w:spacing w:before="0" w:beforeAutospacing="0" w:after="0" w:afterAutospacing="0" w:line="276" w:lineRule="auto"/>
        <w:ind w:left="426" w:right="-114" w:hanging="426"/>
        <w:jc w:val="both"/>
        <w:rPr>
          <w:rFonts w:ascii="Trebuchet MS" w:hAnsi="Trebuchet MS" w:cs="Arial"/>
          <w:sz w:val="20"/>
          <w:szCs w:val="20"/>
        </w:rPr>
      </w:pPr>
      <w:r>
        <w:rPr>
          <w:rFonts w:ascii="Trebuchet MS" w:hAnsi="Trebuchet MS" w:cs="Arial"/>
          <w:color w:val="000000"/>
          <w:sz w:val="20"/>
          <w:szCs w:val="20"/>
        </w:rPr>
        <w:t xml:space="preserve">Wykonawca nie podlega wykluczeniu w okolicznościach określonych w art. 108 ust. 1 pkt 1,2 i 5, </w:t>
      </w:r>
      <w:r>
        <w:rPr>
          <w:rFonts w:ascii="Trebuchet MS" w:hAnsi="Trebuchet MS" w:cs="Arial"/>
          <w:sz w:val="20"/>
          <w:szCs w:val="20"/>
        </w:rPr>
        <w:t>jeżeli udowodni Zamawiającemu</w:t>
      </w:r>
      <w:r>
        <w:rPr>
          <w:rFonts w:ascii="Trebuchet MS" w:hAnsi="Trebuchet MS" w:cs="Arial"/>
          <w:color w:val="000000"/>
          <w:sz w:val="20"/>
          <w:szCs w:val="20"/>
        </w:rPr>
        <w:t>, że spełnił łącznie następujące przesłanki:</w:t>
      </w:r>
    </w:p>
    <w:p>
      <w:pPr>
        <w:pStyle w:val="33"/>
        <w:spacing w:before="0" w:beforeAutospacing="0" w:after="0" w:afterAutospacing="0" w:line="276" w:lineRule="auto"/>
        <w:ind w:left="426" w:right="-114"/>
        <w:jc w:val="both"/>
        <w:rPr>
          <w:rFonts w:ascii="Trebuchet MS" w:hAnsi="Trebuchet MS" w:cs="Arial"/>
          <w:color w:val="000000"/>
          <w:sz w:val="10"/>
          <w:szCs w:val="10"/>
        </w:rPr>
      </w:pPr>
    </w:p>
    <w:p>
      <w:pPr>
        <w:spacing w:line="276" w:lineRule="auto"/>
        <w:ind w:left="851" w:hanging="425"/>
        <w:jc w:val="both"/>
        <w:rPr>
          <w:rFonts w:ascii="Trebuchet MS" w:hAnsi="Trebuchet MS"/>
        </w:rPr>
      </w:pPr>
      <w:r>
        <w:rPr>
          <w:rFonts w:ascii="Trebuchet MS" w:hAnsi="Trebuchet MS"/>
          <w:color w:val="000000"/>
        </w:rPr>
        <w:t>1)</w:t>
      </w:r>
      <w:r>
        <w:rPr>
          <w:rFonts w:ascii="Trebuchet MS" w:hAnsi="Trebuchet MS"/>
          <w:color w:val="000000"/>
        </w:rPr>
        <w:tab/>
      </w:r>
      <w:r>
        <w:rPr>
          <w:rFonts w:ascii="Trebuchet MS" w:hAnsi="Trebuchet MS"/>
          <w:color w:val="000000"/>
        </w:rPr>
        <w:t>naprawił lub zobowiązał się do naprawienia szkody wyrządzonej przestępstwem, wykroczeniem lub swoim nieprawidłowym postępowaniem, w tym poprzez zadośćuczynienie pieniężne;</w:t>
      </w:r>
    </w:p>
    <w:p>
      <w:pPr>
        <w:spacing w:line="276" w:lineRule="auto"/>
        <w:ind w:left="851" w:hanging="425"/>
        <w:jc w:val="both"/>
        <w:rPr>
          <w:rFonts w:ascii="Trebuchet MS" w:hAnsi="Trebuchet MS"/>
        </w:rPr>
      </w:pPr>
      <w:r>
        <w:rPr>
          <w:rFonts w:ascii="Trebuchet MS" w:hAnsi="Trebuchet MS"/>
          <w:color w:val="000000"/>
        </w:rPr>
        <w:t>2)</w:t>
      </w:r>
      <w:r>
        <w:rPr>
          <w:rFonts w:ascii="Trebuchet MS" w:hAnsi="Trebuchet MS"/>
          <w:color w:val="000000"/>
        </w:rPr>
        <w:tab/>
      </w:r>
      <w:r>
        <w:rPr>
          <w:rFonts w:ascii="Trebuchet MS" w:hAnsi="Trebuchet MS"/>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pPr>
        <w:spacing w:line="276" w:lineRule="auto"/>
        <w:ind w:left="851" w:hanging="425"/>
        <w:jc w:val="both"/>
        <w:rPr>
          <w:rFonts w:ascii="Trebuchet MS" w:hAnsi="Trebuchet MS"/>
          <w:color w:val="000000"/>
        </w:rPr>
      </w:pPr>
      <w:r>
        <w:rPr>
          <w:rFonts w:ascii="Trebuchet MS" w:hAnsi="Trebuchet MS"/>
          <w:color w:val="000000"/>
        </w:rPr>
        <w:t>3)</w:t>
      </w:r>
      <w:r>
        <w:rPr>
          <w:rFonts w:ascii="Trebuchet MS" w:hAnsi="Trebuchet MS"/>
          <w:color w:val="000000"/>
        </w:rPr>
        <w:tab/>
      </w:r>
      <w:r>
        <w:rPr>
          <w:rFonts w:ascii="Trebuchet MS" w:hAnsi="Trebuchet MS"/>
          <w:color w:val="000000"/>
        </w:rPr>
        <w:t>podjął konkretne środki techniczne, organizacyjne i kadrowe, odpowiednie dla zapobiegania dalszym przestępstwom, wykroczeniom lub nieprawidłowemu postępowaniu, w szczególności:</w:t>
      </w:r>
    </w:p>
    <w:p>
      <w:pPr>
        <w:spacing w:line="276" w:lineRule="auto"/>
        <w:ind w:left="851" w:hanging="425"/>
        <w:jc w:val="both"/>
        <w:rPr>
          <w:rFonts w:ascii="Trebuchet MS" w:hAnsi="Trebuchet MS"/>
          <w:sz w:val="10"/>
          <w:szCs w:val="10"/>
        </w:rPr>
      </w:pPr>
    </w:p>
    <w:p>
      <w:pPr>
        <w:spacing w:line="276" w:lineRule="auto"/>
        <w:ind w:left="1418" w:hanging="425"/>
        <w:jc w:val="both"/>
        <w:rPr>
          <w:rFonts w:ascii="Trebuchet MS" w:hAnsi="Trebuchet MS"/>
        </w:rPr>
      </w:pPr>
      <w:r>
        <w:rPr>
          <w:rFonts w:ascii="Trebuchet MS" w:hAnsi="Trebuchet MS"/>
          <w:color w:val="000000"/>
        </w:rPr>
        <w:t>a)</w:t>
      </w:r>
      <w:r>
        <w:rPr>
          <w:rFonts w:ascii="Trebuchet MS" w:hAnsi="Trebuchet MS"/>
          <w:color w:val="000000"/>
        </w:rPr>
        <w:tab/>
      </w:r>
      <w:r>
        <w:rPr>
          <w:rFonts w:ascii="Trebuchet MS" w:hAnsi="Trebuchet MS"/>
          <w:color w:val="000000"/>
        </w:rPr>
        <w:t>zerwał wszelkie powiązania z osobami lub podmiotami odpowiedzialnymi za nieprawidłowe postępowanie Wykonawcy,</w:t>
      </w:r>
    </w:p>
    <w:p>
      <w:pPr>
        <w:spacing w:line="276" w:lineRule="auto"/>
        <w:ind w:left="1418" w:hanging="425"/>
        <w:jc w:val="both"/>
        <w:rPr>
          <w:rFonts w:ascii="Trebuchet MS" w:hAnsi="Trebuchet MS"/>
        </w:rPr>
      </w:pPr>
      <w:r>
        <w:rPr>
          <w:rFonts w:ascii="Trebuchet MS" w:hAnsi="Trebuchet MS"/>
          <w:color w:val="000000"/>
        </w:rPr>
        <w:t>b)</w:t>
      </w:r>
      <w:r>
        <w:rPr>
          <w:rFonts w:ascii="Trebuchet MS" w:hAnsi="Trebuchet MS"/>
          <w:color w:val="000000"/>
        </w:rPr>
        <w:tab/>
      </w:r>
      <w:r>
        <w:rPr>
          <w:rFonts w:ascii="Trebuchet MS" w:hAnsi="Trebuchet MS"/>
          <w:color w:val="000000"/>
        </w:rPr>
        <w:t>zreorganizował personel,</w:t>
      </w:r>
    </w:p>
    <w:p>
      <w:pPr>
        <w:spacing w:line="276" w:lineRule="auto"/>
        <w:ind w:left="1418" w:hanging="425"/>
        <w:jc w:val="both"/>
        <w:rPr>
          <w:rFonts w:ascii="Trebuchet MS" w:hAnsi="Trebuchet MS"/>
        </w:rPr>
      </w:pPr>
      <w:r>
        <w:rPr>
          <w:rFonts w:ascii="Trebuchet MS" w:hAnsi="Trebuchet MS"/>
          <w:color w:val="000000"/>
        </w:rPr>
        <w:t>c)</w:t>
      </w:r>
      <w:r>
        <w:rPr>
          <w:rFonts w:ascii="Trebuchet MS" w:hAnsi="Trebuchet MS"/>
          <w:color w:val="000000"/>
        </w:rPr>
        <w:tab/>
      </w:r>
      <w:r>
        <w:rPr>
          <w:rFonts w:ascii="Trebuchet MS" w:hAnsi="Trebuchet MS"/>
          <w:color w:val="000000"/>
        </w:rPr>
        <w:t>wdrożył system sprawozdawczości i kontroli,</w:t>
      </w:r>
    </w:p>
    <w:p>
      <w:pPr>
        <w:spacing w:line="276" w:lineRule="auto"/>
        <w:ind w:left="1418" w:hanging="425"/>
        <w:jc w:val="both"/>
        <w:rPr>
          <w:rFonts w:ascii="Trebuchet MS" w:hAnsi="Trebuchet MS"/>
        </w:rPr>
      </w:pPr>
      <w:r>
        <w:rPr>
          <w:rFonts w:ascii="Trebuchet MS" w:hAnsi="Trebuchet MS"/>
          <w:color w:val="000000"/>
        </w:rPr>
        <w:t>d)</w:t>
      </w:r>
      <w:r>
        <w:rPr>
          <w:rFonts w:ascii="Trebuchet MS" w:hAnsi="Trebuchet MS"/>
          <w:color w:val="000000"/>
        </w:rPr>
        <w:tab/>
      </w:r>
      <w:r>
        <w:rPr>
          <w:rFonts w:ascii="Trebuchet MS" w:hAnsi="Trebuchet MS"/>
          <w:color w:val="000000"/>
        </w:rPr>
        <w:t>utworzył struktury audytu wewnętrznego do monitorowania przestrzegania przepisów, wewnętrznych regulacji lub standardów,</w:t>
      </w:r>
    </w:p>
    <w:p>
      <w:pPr>
        <w:spacing w:line="276" w:lineRule="auto"/>
        <w:ind w:left="1418" w:hanging="425"/>
        <w:jc w:val="both"/>
        <w:rPr>
          <w:rFonts w:ascii="Trebuchet MS" w:hAnsi="Trebuchet MS"/>
        </w:rPr>
      </w:pPr>
      <w:r>
        <w:rPr>
          <w:rFonts w:ascii="Trebuchet MS" w:hAnsi="Trebuchet MS"/>
          <w:color w:val="000000"/>
        </w:rPr>
        <w:t>e)</w:t>
      </w:r>
      <w:r>
        <w:rPr>
          <w:rFonts w:ascii="Trebuchet MS" w:hAnsi="Trebuchet MS"/>
          <w:color w:val="000000"/>
        </w:rPr>
        <w:tab/>
      </w:r>
      <w:r>
        <w:rPr>
          <w:rFonts w:ascii="Trebuchet MS" w:hAnsi="Trebuchet MS"/>
          <w:color w:val="000000"/>
        </w:rPr>
        <w:t>wprowadził wewnętrzne regulacje dotyczące odpowiedzialności i odszkodowań za nieprzestrzeganie przepisów, wewnętrznych regulacji lub standardów.</w:t>
      </w:r>
    </w:p>
    <w:p>
      <w:pPr>
        <w:spacing w:line="276" w:lineRule="auto"/>
        <w:ind w:right="-114"/>
        <w:jc w:val="both"/>
        <w:rPr>
          <w:rFonts w:ascii="Trebuchet MS" w:hAnsi="Trebuchet MS" w:cs="Arial"/>
        </w:rPr>
      </w:pPr>
    </w:p>
    <w:p>
      <w:pPr>
        <w:pStyle w:val="40"/>
        <w:numPr>
          <w:ilvl w:val="2"/>
          <w:numId w:val="34"/>
        </w:numPr>
        <w:tabs>
          <w:tab w:val="left" w:pos="426"/>
          <w:tab w:val="left" w:pos="2520"/>
        </w:tabs>
        <w:spacing w:line="276" w:lineRule="auto"/>
        <w:ind w:left="426" w:right="-114" w:hanging="426"/>
        <w:jc w:val="both"/>
        <w:rPr>
          <w:rFonts w:ascii="Trebuchet MS" w:hAnsi="Trebuchet MS" w:cs="Arial"/>
        </w:rPr>
      </w:pPr>
      <w:r>
        <w:rPr>
          <w:rFonts w:ascii="Trebuchet MS" w:hAnsi="Trebuchet MS" w:cs="Arial"/>
          <w:color w:val="000000"/>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pPr>
        <w:tabs>
          <w:tab w:val="left" w:pos="567"/>
        </w:tabs>
        <w:spacing w:line="276" w:lineRule="auto"/>
        <w:jc w:val="center"/>
        <w:rPr>
          <w:rFonts w:ascii="Trebuchet MS" w:hAnsi="Trebuchet MS" w:cs="Arial"/>
          <w:b/>
        </w:rPr>
      </w:pPr>
    </w:p>
    <w:p>
      <w:pPr>
        <w:tabs>
          <w:tab w:val="left" w:pos="567"/>
        </w:tabs>
        <w:spacing w:line="276" w:lineRule="auto"/>
        <w:jc w:val="center"/>
        <w:rPr>
          <w:rFonts w:ascii="Trebuchet MS" w:hAnsi="Trebuchet MS" w:cs="Arial"/>
          <w:b/>
        </w:rPr>
      </w:pPr>
    </w:p>
    <w:p>
      <w:pPr>
        <w:pStyle w:val="40"/>
        <w:numPr>
          <w:ilvl w:val="0"/>
          <w:numId w:val="10"/>
        </w:numPr>
        <w:tabs>
          <w:tab w:val="left" w:pos="1701"/>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WYMAGANIA DOTYCZĄCE WADIUM</w:t>
      </w:r>
    </w:p>
    <w:p>
      <w:pPr>
        <w:spacing w:line="360" w:lineRule="auto"/>
        <w:jc w:val="both"/>
        <w:rPr>
          <w:rFonts w:ascii="Trebuchet MS" w:hAnsi="Trebuchet MS" w:cs="Arial"/>
          <w:sz w:val="18"/>
        </w:rPr>
      </w:pPr>
    </w:p>
    <w:p>
      <w:pPr>
        <w:pStyle w:val="14"/>
        <w:spacing w:line="360" w:lineRule="auto"/>
        <w:rPr>
          <w:rFonts w:ascii="Trebuchet MS" w:hAnsi="Trebuchet MS" w:cs="Arial"/>
          <w:sz w:val="20"/>
        </w:rPr>
      </w:pPr>
      <w:r>
        <w:rPr>
          <w:rFonts w:ascii="Trebuchet MS" w:hAnsi="Trebuchet MS" w:cs="Arial"/>
          <w:sz w:val="20"/>
        </w:rPr>
        <w:t>Zamawiający nie wymaga wniesienia wadium w niniejszym postępowaniu o udzielenie zamówienia.</w:t>
      </w:r>
    </w:p>
    <w:p>
      <w:pPr>
        <w:pStyle w:val="14"/>
        <w:spacing w:line="360" w:lineRule="auto"/>
        <w:rPr>
          <w:rFonts w:ascii="Trebuchet MS" w:hAnsi="Trebuchet MS" w:cs="Arial"/>
          <w:sz w:val="20"/>
        </w:rPr>
      </w:pPr>
    </w:p>
    <w:p>
      <w:pPr>
        <w:pStyle w:val="40"/>
        <w:numPr>
          <w:ilvl w:val="0"/>
          <w:numId w:val="10"/>
        </w:numPr>
        <w:tabs>
          <w:tab w:val="left" w:pos="1701"/>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SPOSÓB ORAZ TERMIN SKŁADANIA OFERT</w:t>
      </w:r>
    </w:p>
    <w:p>
      <w:pPr>
        <w:spacing w:line="360" w:lineRule="auto"/>
        <w:rPr>
          <w:rFonts w:ascii="Trebuchet MS" w:hAnsi="Trebuchet MS" w:cs="Arial"/>
          <w:b/>
          <w:sz w:val="18"/>
        </w:rPr>
      </w:pPr>
    </w:p>
    <w:p>
      <w:pPr>
        <w:pStyle w:val="14"/>
        <w:numPr>
          <w:ilvl w:val="0"/>
          <w:numId w:val="35"/>
        </w:numPr>
        <w:tabs>
          <w:tab w:val="left" w:pos="426"/>
          <w:tab w:val="clear" w:pos="567"/>
        </w:tabs>
        <w:spacing w:line="276" w:lineRule="auto"/>
        <w:ind w:left="426" w:right="28" w:hanging="426"/>
        <w:rPr>
          <w:rFonts w:ascii="Trebuchet MS" w:hAnsi="Trebuchet MS" w:cs="Arial"/>
          <w:sz w:val="20"/>
        </w:rPr>
      </w:pPr>
      <w:r>
        <w:rPr>
          <w:rFonts w:ascii="Trebuchet MS" w:hAnsi="Trebuchet MS" w:cs="Arial"/>
          <w:sz w:val="20"/>
        </w:rPr>
        <w:t xml:space="preserve">Ofertę należy złożyć za pośrednictwem Platformy przetargowej </w:t>
      </w:r>
      <w:r>
        <w:rPr>
          <w:rStyle w:val="31"/>
          <w:rFonts w:hint="default" w:ascii="Trebuchet MS" w:hAnsi="Trebuchet MS"/>
          <w:sz w:val="20"/>
          <w:highlight w:val="none"/>
        </w:rPr>
        <w:fldChar w:fldCharType="begin"/>
      </w:r>
      <w:r>
        <w:rPr>
          <w:rStyle w:val="31"/>
          <w:rFonts w:hint="default" w:ascii="Trebuchet MS" w:hAnsi="Trebuchet MS"/>
          <w:sz w:val="20"/>
          <w:highlight w:val="none"/>
        </w:rPr>
        <w:instrText xml:space="preserve"> HYPERLINK "https://platformazakupowa.pl/transakcja/819296" </w:instrText>
      </w:r>
      <w:r>
        <w:rPr>
          <w:rStyle w:val="31"/>
          <w:rFonts w:hint="default" w:ascii="Trebuchet MS" w:hAnsi="Trebuchet MS"/>
          <w:sz w:val="20"/>
          <w:highlight w:val="none"/>
        </w:rPr>
        <w:fldChar w:fldCharType="separate"/>
      </w:r>
      <w:r>
        <w:rPr>
          <w:rStyle w:val="31"/>
          <w:rFonts w:hint="default" w:ascii="Trebuchet MS" w:hAnsi="Trebuchet MS"/>
          <w:sz w:val="20"/>
          <w:highlight w:val="none"/>
        </w:rPr>
        <w:t>https://platformazakupowa.pl/transakcja/819296</w:t>
      </w:r>
      <w:r>
        <w:rPr>
          <w:rStyle w:val="31"/>
          <w:rFonts w:hint="default" w:ascii="Trebuchet MS" w:hAnsi="Trebuchet MS"/>
          <w:sz w:val="20"/>
          <w:highlight w:val="none"/>
        </w:rPr>
        <w:fldChar w:fldCharType="end"/>
      </w:r>
      <w:r>
        <w:rPr>
          <w:rStyle w:val="31"/>
          <w:rFonts w:hint="default" w:ascii="Trebuchet MS" w:hAnsi="Trebuchet MS"/>
          <w:sz w:val="20"/>
          <w:highlight w:val="none"/>
          <w:u w:val="none"/>
          <w:lang w:val="pl-PL"/>
        </w:rPr>
        <w:t xml:space="preserve"> </w:t>
      </w:r>
      <w:r>
        <w:rPr>
          <w:rFonts w:ascii="Trebuchet MS" w:hAnsi="Trebuchet MS" w:cs="Arial"/>
          <w:sz w:val="20"/>
        </w:rPr>
        <w:t xml:space="preserve">nie później niż do </w:t>
      </w:r>
      <w:r>
        <w:rPr>
          <w:rFonts w:ascii="Trebuchet MS" w:hAnsi="Trebuchet MS" w:cs="Arial"/>
          <w:sz w:val="20"/>
          <w:highlight w:val="none"/>
        </w:rPr>
        <w:t>dnia</w:t>
      </w:r>
      <w:r>
        <w:rPr>
          <w:rFonts w:ascii="Trebuchet MS" w:hAnsi="Trebuchet MS" w:cs="Arial"/>
          <w:b/>
          <w:sz w:val="20"/>
          <w:highlight w:val="none"/>
        </w:rPr>
        <w:t xml:space="preserve"> </w:t>
      </w:r>
      <w:r>
        <w:rPr>
          <w:rFonts w:hint="default" w:ascii="Trebuchet MS" w:hAnsi="Trebuchet MS" w:cs="Arial"/>
          <w:b/>
          <w:sz w:val="20"/>
          <w:highlight w:val="none"/>
          <w:lang w:val="pl-PL"/>
        </w:rPr>
        <w:t>04.10</w:t>
      </w:r>
      <w:r>
        <w:rPr>
          <w:rFonts w:ascii="Trebuchet MS" w:hAnsi="Trebuchet MS" w:cs="Arial"/>
          <w:b/>
          <w:sz w:val="20"/>
          <w:highlight w:val="none"/>
        </w:rPr>
        <w:t>.202</w:t>
      </w:r>
      <w:r>
        <w:rPr>
          <w:rFonts w:hint="default" w:ascii="Trebuchet MS" w:hAnsi="Trebuchet MS" w:cs="Arial"/>
          <w:b/>
          <w:sz w:val="20"/>
          <w:highlight w:val="none"/>
          <w:lang w:val="pl-PL"/>
        </w:rPr>
        <w:t>3</w:t>
      </w:r>
      <w:r>
        <w:rPr>
          <w:rFonts w:ascii="Trebuchet MS" w:hAnsi="Trebuchet MS" w:cs="Arial"/>
          <w:b/>
          <w:sz w:val="20"/>
          <w:highlight w:val="none"/>
        </w:rPr>
        <w:t xml:space="preserve">r. </w:t>
      </w:r>
      <w:r>
        <w:rPr>
          <w:rFonts w:ascii="Trebuchet MS" w:hAnsi="Trebuchet MS" w:cs="Arial"/>
          <w:b/>
          <w:sz w:val="20"/>
          <w:highlight w:val="none"/>
        </w:rPr>
        <w:br w:type="textWrapping"/>
      </w:r>
      <w:r>
        <w:rPr>
          <w:rFonts w:ascii="Trebuchet MS" w:hAnsi="Trebuchet MS" w:cs="Arial"/>
          <w:b/>
          <w:sz w:val="20"/>
          <w:highlight w:val="none"/>
        </w:rPr>
        <w:t xml:space="preserve">do godziny </w:t>
      </w:r>
      <w:r>
        <w:rPr>
          <w:rFonts w:hint="default" w:ascii="Trebuchet MS" w:hAnsi="Trebuchet MS" w:cs="Arial"/>
          <w:b/>
          <w:sz w:val="20"/>
          <w:highlight w:val="none"/>
          <w:lang w:val="pl-PL"/>
        </w:rPr>
        <w:t>10</w:t>
      </w:r>
      <w:r>
        <w:rPr>
          <w:rFonts w:ascii="Trebuchet MS" w:hAnsi="Trebuchet MS" w:cs="Arial"/>
          <w:b/>
          <w:sz w:val="20"/>
          <w:highlight w:val="none"/>
        </w:rPr>
        <w:t>:00,00.</w:t>
      </w:r>
    </w:p>
    <w:p>
      <w:pPr>
        <w:pStyle w:val="14"/>
        <w:tabs>
          <w:tab w:val="left" w:pos="284"/>
        </w:tabs>
        <w:spacing w:line="276" w:lineRule="auto"/>
        <w:ind w:left="426" w:right="28"/>
        <w:rPr>
          <w:rFonts w:ascii="Trebuchet MS" w:hAnsi="Trebuchet MS" w:cs="Arial"/>
          <w:b/>
          <w:sz w:val="20"/>
        </w:rPr>
      </w:pPr>
    </w:p>
    <w:p>
      <w:pPr>
        <w:pStyle w:val="14"/>
        <w:tabs>
          <w:tab w:val="left" w:pos="284"/>
        </w:tabs>
        <w:spacing w:line="276" w:lineRule="auto"/>
        <w:ind w:left="426" w:right="28"/>
        <w:rPr>
          <w:rFonts w:ascii="Trebuchet MS" w:hAnsi="Trebuchet MS" w:cs="Arial"/>
          <w:b/>
          <w:sz w:val="20"/>
        </w:rPr>
      </w:pPr>
      <w:r>
        <w:rPr>
          <w:rFonts w:ascii="Trebuchet MS" w:hAnsi="Trebuchet MS" w:cs="Arial"/>
          <w:b/>
          <w:sz w:val="20"/>
        </w:rPr>
        <w:t>Uwaga</w:t>
      </w:r>
    </w:p>
    <w:p>
      <w:pPr>
        <w:pStyle w:val="14"/>
        <w:tabs>
          <w:tab w:val="left" w:pos="284"/>
        </w:tabs>
        <w:spacing w:line="276" w:lineRule="auto"/>
        <w:ind w:left="426" w:right="28"/>
        <w:rPr>
          <w:rFonts w:ascii="Trebuchet MS" w:hAnsi="Trebuchet MS" w:cs="Arial"/>
          <w:b/>
          <w:sz w:val="20"/>
        </w:rPr>
      </w:pPr>
      <w:r>
        <w:rPr>
          <w:rFonts w:ascii="Trebuchet MS" w:hAnsi="Trebuchet MS" w:cs="Arial"/>
          <w:b/>
          <w:sz w:val="20"/>
        </w:rPr>
        <w:t>Za datę i godzinę złożenia oferty rozumie się datę i godzinę jej wpływu na Platformę przetargową, tj. datę i godzinę złożenia oferty wyświetloną na koncie Zamawiającego.</w:t>
      </w:r>
    </w:p>
    <w:p>
      <w:pPr>
        <w:tabs>
          <w:tab w:val="left" w:pos="284"/>
        </w:tabs>
        <w:spacing w:line="276" w:lineRule="auto"/>
        <w:ind w:left="426" w:hanging="426"/>
        <w:rPr>
          <w:rFonts w:ascii="Trebuchet MS" w:hAnsi="Trebuchet MS" w:cs="Arial"/>
          <w:highlight w:val="yellow"/>
        </w:rPr>
      </w:pPr>
    </w:p>
    <w:p>
      <w:pPr>
        <w:pStyle w:val="14"/>
        <w:numPr>
          <w:ilvl w:val="0"/>
          <w:numId w:val="35"/>
        </w:numPr>
        <w:tabs>
          <w:tab w:val="left" w:pos="426"/>
          <w:tab w:val="clear" w:pos="567"/>
        </w:tabs>
        <w:spacing w:line="276" w:lineRule="auto"/>
        <w:ind w:left="426" w:right="28" w:hanging="426"/>
        <w:rPr>
          <w:rFonts w:ascii="Trebuchet MS" w:hAnsi="Trebuchet MS" w:cs="Arial"/>
          <w:sz w:val="20"/>
        </w:rPr>
      </w:pPr>
      <w:r>
        <w:rPr>
          <w:rFonts w:ascii="Trebuchet MS" w:hAnsi="Trebuchet MS" w:cs="Arial"/>
          <w:sz w:val="20"/>
        </w:rPr>
        <w:t>W przypadku otrzymania przez Zamawiającego oferty po terminie podanym w ust. 1 niniejszego rozdziału SWZ, oferta zostanie odrzucona.</w:t>
      </w:r>
    </w:p>
    <w:p>
      <w:pPr>
        <w:spacing w:line="276" w:lineRule="auto"/>
        <w:rPr>
          <w:rFonts w:ascii="Trebuchet MS" w:hAnsi="Trebuchet MS" w:cs="Arial"/>
          <w:b/>
        </w:rPr>
      </w:pPr>
    </w:p>
    <w:p>
      <w:pPr>
        <w:pStyle w:val="40"/>
        <w:numPr>
          <w:ilvl w:val="0"/>
          <w:numId w:val="10"/>
        </w:numPr>
        <w:tabs>
          <w:tab w:val="left" w:pos="1701"/>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TERMIN ZWIĄZANIA OFERTĄ</w:t>
      </w:r>
    </w:p>
    <w:p>
      <w:pPr>
        <w:spacing w:line="360" w:lineRule="auto"/>
        <w:jc w:val="both"/>
        <w:rPr>
          <w:rFonts w:ascii="Trebuchet MS" w:hAnsi="Trebuchet MS" w:cs="Arial"/>
          <w:sz w:val="18"/>
        </w:rPr>
      </w:pPr>
    </w:p>
    <w:p>
      <w:pPr>
        <w:pStyle w:val="14"/>
        <w:spacing w:line="276" w:lineRule="auto"/>
        <w:rPr>
          <w:rFonts w:ascii="Trebuchet MS" w:hAnsi="Trebuchet MS" w:cs="Arial"/>
          <w:sz w:val="20"/>
        </w:rPr>
      </w:pPr>
      <w:r>
        <w:rPr>
          <w:rFonts w:ascii="Trebuchet MS" w:hAnsi="Trebuchet MS" w:cs="Arial"/>
          <w:sz w:val="20"/>
        </w:rPr>
        <w:t>Termin związania ofertą upływa w dniu</w:t>
      </w:r>
      <w:r>
        <w:rPr>
          <w:rFonts w:hint="default" w:ascii="Trebuchet MS" w:hAnsi="Trebuchet MS" w:cs="Arial"/>
          <w:sz w:val="20"/>
          <w:lang w:val="pl-PL"/>
        </w:rPr>
        <w:t xml:space="preserve"> </w:t>
      </w:r>
      <w:r>
        <w:rPr>
          <w:rFonts w:hint="default" w:ascii="Trebuchet MS" w:hAnsi="Trebuchet MS" w:cs="Arial"/>
          <w:b/>
          <w:sz w:val="20"/>
          <w:highlight w:val="none"/>
          <w:lang w:val="pl-PL"/>
        </w:rPr>
        <w:t>02</w:t>
      </w:r>
      <w:r>
        <w:rPr>
          <w:rFonts w:ascii="Trebuchet MS" w:hAnsi="Trebuchet MS" w:cs="Arial"/>
          <w:b/>
          <w:sz w:val="20"/>
          <w:highlight w:val="none"/>
        </w:rPr>
        <w:t>.</w:t>
      </w:r>
      <w:r>
        <w:rPr>
          <w:rFonts w:hint="default" w:ascii="Trebuchet MS" w:hAnsi="Trebuchet MS" w:cs="Arial"/>
          <w:b/>
          <w:sz w:val="20"/>
          <w:highlight w:val="none"/>
          <w:lang w:val="pl-PL"/>
        </w:rPr>
        <w:t>11</w:t>
      </w:r>
      <w:r>
        <w:rPr>
          <w:rFonts w:ascii="Trebuchet MS" w:hAnsi="Trebuchet MS" w:cs="Arial"/>
          <w:b/>
          <w:sz w:val="20"/>
          <w:highlight w:val="none"/>
        </w:rPr>
        <w:t>.202</w:t>
      </w:r>
      <w:r>
        <w:rPr>
          <w:rFonts w:hint="default" w:ascii="Trebuchet MS" w:hAnsi="Trebuchet MS" w:cs="Arial"/>
          <w:b/>
          <w:sz w:val="20"/>
          <w:highlight w:val="none"/>
          <w:lang w:val="pl-PL"/>
        </w:rPr>
        <w:t>3</w:t>
      </w:r>
      <w:r>
        <w:rPr>
          <w:rFonts w:ascii="Trebuchet MS" w:hAnsi="Trebuchet MS" w:cs="Arial"/>
          <w:b/>
          <w:sz w:val="20"/>
          <w:highlight w:val="none"/>
        </w:rPr>
        <w:t>r.</w:t>
      </w:r>
    </w:p>
    <w:p>
      <w:pPr>
        <w:spacing w:line="276" w:lineRule="auto"/>
        <w:rPr>
          <w:rFonts w:ascii="Trebuchet MS" w:hAnsi="Trebuchet MS" w:cs="Arial"/>
          <w:b/>
        </w:rPr>
      </w:pPr>
    </w:p>
    <w:p>
      <w:pPr>
        <w:pStyle w:val="40"/>
        <w:numPr>
          <w:ilvl w:val="0"/>
          <w:numId w:val="10"/>
        </w:numPr>
        <w:tabs>
          <w:tab w:val="left" w:pos="1701"/>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TERMIN OTWARCIA OFERT CZYNNOŚCI ZWIĄZANE Z OTWARCIEM OFERT</w:t>
      </w:r>
    </w:p>
    <w:p>
      <w:pPr>
        <w:pStyle w:val="14"/>
        <w:spacing w:line="276" w:lineRule="auto"/>
        <w:ind w:left="426" w:right="28" w:hanging="426"/>
        <w:rPr>
          <w:rFonts w:ascii="Trebuchet MS" w:hAnsi="Trebuchet MS" w:cs="Arial"/>
          <w:sz w:val="18"/>
        </w:rPr>
      </w:pPr>
    </w:p>
    <w:p>
      <w:pPr>
        <w:pStyle w:val="14"/>
        <w:numPr>
          <w:ilvl w:val="0"/>
          <w:numId w:val="36"/>
        </w:numPr>
        <w:spacing w:line="276" w:lineRule="auto"/>
        <w:ind w:left="426" w:right="28" w:hanging="426"/>
        <w:rPr>
          <w:rFonts w:ascii="Trebuchet MS" w:hAnsi="Trebuchet MS" w:cs="Arial"/>
          <w:sz w:val="20"/>
        </w:rPr>
      </w:pPr>
      <w:bookmarkStart w:id="4" w:name="_Hlk61446340"/>
      <w:r>
        <w:rPr>
          <w:rFonts w:ascii="Trebuchet MS" w:hAnsi="Trebuchet MS" w:cs="Arial"/>
          <w:sz w:val="20"/>
        </w:rPr>
        <w:t>Otwarcie ofert nastąpi w dniu</w:t>
      </w:r>
      <w:r>
        <w:rPr>
          <w:rFonts w:ascii="Trebuchet MS" w:hAnsi="Trebuchet MS" w:cs="Arial"/>
          <w:b/>
          <w:sz w:val="20"/>
          <w:highlight w:val="none"/>
        </w:rPr>
        <w:t xml:space="preserve"> </w:t>
      </w:r>
      <w:r>
        <w:rPr>
          <w:rFonts w:hint="default" w:ascii="Trebuchet MS" w:hAnsi="Trebuchet MS" w:cs="Arial"/>
          <w:b/>
          <w:sz w:val="20"/>
          <w:highlight w:val="none"/>
          <w:lang w:val="pl-PL"/>
        </w:rPr>
        <w:t>04</w:t>
      </w:r>
      <w:r>
        <w:rPr>
          <w:rFonts w:ascii="Trebuchet MS" w:hAnsi="Trebuchet MS" w:cs="Arial"/>
          <w:b/>
          <w:sz w:val="20"/>
          <w:highlight w:val="none"/>
        </w:rPr>
        <w:t>.</w:t>
      </w:r>
      <w:r>
        <w:rPr>
          <w:rFonts w:hint="default" w:ascii="Trebuchet MS" w:hAnsi="Trebuchet MS" w:cs="Arial"/>
          <w:b/>
          <w:sz w:val="20"/>
          <w:highlight w:val="none"/>
          <w:lang w:val="pl-PL"/>
        </w:rPr>
        <w:t>10</w:t>
      </w:r>
      <w:r>
        <w:rPr>
          <w:rFonts w:ascii="Trebuchet MS" w:hAnsi="Trebuchet MS" w:cs="Arial"/>
          <w:b/>
          <w:sz w:val="20"/>
          <w:highlight w:val="none"/>
        </w:rPr>
        <w:t>.202</w:t>
      </w:r>
      <w:r>
        <w:rPr>
          <w:rFonts w:hint="default" w:ascii="Trebuchet MS" w:hAnsi="Trebuchet MS" w:cs="Arial"/>
          <w:b/>
          <w:sz w:val="20"/>
          <w:highlight w:val="none"/>
          <w:lang w:val="pl-PL"/>
        </w:rPr>
        <w:t>3</w:t>
      </w:r>
      <w:r>
        <w:rPr>
          <w:rFonts w:ascii="Trebuchet MS" w:hAnsi="Trebuchet MS" w:cs="Arial"/>
          <w:b/>
          <w:sz w:val="20"/>
          <w:highlight w:val="none"/>
        </w:rPr>
        <w:t xml:space="preserve">r. </w:t>
      </w:r>
      <w:r>
        <w:rPr>
          <w:rFonts w:ascii="Trebuchet MS" w:hAnsi="Trebuchet MS" w:cs="Arial"/>
          <w:sz w:val="20"/>
          <w:highlight w:val="none"/>
        </w:rPr>
        <w:t>o godzinie</w:t>
      </w:r>
      <w:r>
        <w:rPr>
          <w:rFonts w:ascii="Trebuchet MS" w:hAnsi="Trebuchet MS" w:cs="Arial"/>
          <w:b/>
          <w:sz w:val="20"/>
          <w:highlight w:val="none"/>
        </w:rPr>
        <w:t xml:space="preserve"> </w:t>
      </w:r>
      <w:r>
        <w:rPr>
          <w:rFonts w:hint="default" w:ascii="Trebuchet MS" w:hAnsi="Trebuchet MS" w:cs="Arial"/>
          <w:b/>
          <w:sz w:val="20"/>
          <w:highlight w:val="none"/>
          <w:lang w:val="pl-PL"/>
        </w:rPr>
        <w:t>10</w:t>
      </w:r>
      <w:r>
        <w:rPr>
          <w:rFonts w:ascii="Trebuchet MS" w:hAnsi="Trebuchet MS" w:cs="Arial"/>
          <w:b/>
          <w:sz w:val="20"/>
          <w:highlight w:val="none"/>
        </w:rPr>
        <w:t>:30</w:t>
      </w:r>
      <w:r>
        <w:rPr>
          <w:rFonts w:ascii="Trebuchet MS" w:hAnsi="Trebuchet MS" w:cs="Arial"/>
          <w:sz w:val="20"/>
          <w:highlight w:val="none"/>
        </w:rPr>
        <w:t>,</w:t>
      </w:r>
      <w:r>
        <w:rPr>
          <w:rFonts w:ascii="Trebuchet MS" w:hAnsi="Trebuchet MS" w:cs="Arial"/>
          <w:sz w:val="20"/>
        </w:rPr>
        <w:t xml:space="preserve"> na komputerze Zamawiającego, po odszyfrowaniu i pobraniu z Platformy przetargowej złożonych ofert</w:t>
      </w:r>
      <w:bookmarkEnd w:id="4"/>
      <w:r>
        <w:rPr>
          <w:rFonts w:ascii="Trebuchet MS" w:hAnsi="Trebuchet MS" w:cs="Arial"/>
          <w:sz w:val="20"/>
        </w:rPr>
        <w:t>, w pokoju 206.</w:t>
      </w:r>
    </w:p>
    <w:p>
      <w:pPr>
        <w:pStyle w:val="14"/>
        <w:spacing w:line="276" w:lineRule="auto"/>
        <w:ind w:left="426" w:right="28"/>
        <w:rPr>
          <w:rFonts w:ascii="Trebuchet MS" w:hAnsi="Trebuchet MS" w:cs="Arial"/>
          <w:sz w:val="20"/>
        </w:rPr>
      </w:pPr>
    </w:p>
    <w:p>
      <w:pPr>
        <w:pStyle w:val="14"/>
        <w:numPr>
          <w:ilvl w:val="0"/>
          <w:numId w:val="36"/>
        </w:numPr>
        <w:spacing w:line="276" w:lineRule="auto"/>
        <w:ind w:left="426" w:right="28" w:hanging="426"/>
        <w:rPr>
          <w:rFonts w:ascii="Trebuchet MS" w:hAnsi="Trebuchet MS" w:cs="Arial"/>
          <w:sz w:val="20"/>
        </w:rPr>
      </w:pPr>
      <w:r>
        <w:rPr>
          <w:rFonts w:ascii="Trebuchet MS" w:hAnsi="Trebuchet MS" w:cs="Arial"/>
          <w:sz w:val="20"/>
        </w:rPr>
        <w:t>Zamawiający nie przewiduje publicznej sesji otwarcia ofert w siedzibie Zamawiającego.</w:t>
      </w:r>
    </w:p>
    <w:p>
      <w:pPr>
        <w:spacing w:line="276" w:lineRule="auto"/>
        <w:ind w:left="426" w:right="28" w:hanging="426"/>
        <w:jc w:val="both"/>
        <w:rPr>
          <w:rFonts w:ascii="Trebuchet MS" w:hAnsi="Trebuchet MS" w:cs="Arial"/>
        </w:rPr>
      </w:pPr>
    </w:p>
    <w:p>
      <w:pPr>
        <w:numPr>
          <w:ilvl w:val="0"/>
          <w:numId w:val="36"/>
        </w:numPr>
        <w:spacing w:line="276" w:lineRule="auto"/>
        <w:ind w:left="426" w:right="28" w:hanging="426"/>
        <w:jc w:val="both"/>
        <w:rPr>
          <w:rFonts w:ascii="Trebuchet MS" w:hAnsi="Trebuchet MS" w:cs="Arial"/>
        </w:rPr>
      </w:pPr>
      <w:r>
        <w:rPr>
          <w:rFonts w:ascii="Trebuchet MS" w:hAnsi="Trebuchet MS" w:cs="Arial"/>
        </w:rPr>
        <w:t>Najpóźniej przed otwarciem ofert, Zamawiający udostępni na Platformie przetargowej informację o kwocie, jaką zamierza przeznaczyć na sfinansowanie niniejszego zamówienia (kwota brutto, wraz z podatkiem VAT).</w:t>
      </w:r>
    </w:p>
    <w:p>
      <w:pPr>
        <w:spacing w:line="276" w:lineRule="auto"/>
        <w:ind w:left="426" w:right="28" w:hanging="426"/>
        <w:jc w:val="both"/>
        <w:rPr>
          <w:rFonts w:ascii="Trebuchet MS" w:hAnsi="Trebuchet MS" w:cs="Arial"/>
        </w:rPr>
      </w:pPr>
    </w:p>
    <w:p>
      <w:pPr>
        <w:numPr>
          <w:ilvl w:val="0"/>
          <w:numId w:val="36"/>
        </w:numPr>
        <w:spacing w:line="276" w:lineRule="auto"/>
        <w:ind w:left="426" w:right="28" w:hanging="426"/>
        <w:jc w:val="both"/>
        <w:rPr>
          <w:rFonts w:ascii="Trebuchet MS" w:hAnsi="Trebuchet MS"/>
          <w:bCs/>
        </w:rPr>
      </w:pPr>
      <w:r>
        <w:rPr>
          <w:rFonts w:ascii="Trebuchet MS" w:hAnsi="Trebuchet MS"/>
          <w:bCs/>
        </w:rPr>
        <w:t>Niezwłocznie po otwarciu ofert Zamawiający udostępni na Platformie przetargowej</w:t>
      </w:r>
      <w:r>
        <w:rPr>
          <w:rFonts w:ascii="Trebuchet MS" w:hAnsi="Trebuchet MS"/>
          <w:bCs/>
        </w:rPr>
        <w:br w:type="textWrapping"/>
      </w:r>
      <w:r>
        <w:rPr>
          <w:rFonts w:ascii="Trebuchet MS" w:hAnsi="Trebuchet MS"/>
          <w:bCs/>
        </w:rPr>
        <w:t>informacje o:</w:t>
      </w:r>
    </w:p>
    <w:p>
      <w:pPr>
        <w:spacing w:line="276" w:lineRule="auto"/>
        <w:ind w:right="28"/>
        <w:jc w:val="both"/>
        <w:rPr>
          <w:rFonts w:ascii="Trebuchet MS" w:hAnsi="Trebuchet MS"/>
          <w:bCs/>
          <w:sz w:val="10"/>
          <w:szCs w:val="10"/>
        </w:rPr>
      </w:pPr>
    </w:p>
    <w:p>
      <w:pPr>
        <w:spacing w:line="276" w:lineRule="auto"/>
        <w:ind w:left="851" w:right="28"/>
        <w:jc w:val="both"/>
        <w:rPr>
          <w:rFonts w:ascii="Trebuchet MS" w:hAnsi="Trebuchet MS"/>
        </w:rPr>
      </w:pPr>
      <w:r>
        <w:rPr>
          <w:rFonts w:ascii="Trebuchet MS" w:hAnsi="Trebuchet MS"/>
          <w:bCs/>
        </w:rPr>
        <w:t>1) nazwach albo imionach i nazwiskach oraz siedzibach lub miejscach prowadzonej działalności gospodarczej albo miejscach zamieszkania wykonawców, których oferty zostały otwarte;</w:t>
      </w:r>
    </w:p>
    <w:p>
      <w:pPr>
        <w:spacing w:line="276" w:lineRule="auto"/>
        <w:ind w:left="851" w:right="28"/>
        <w:jc w:val="both"/>
        <w:rPr>
          <w:rFonts w:ascii="Trebuchet MS" w:hAnsi="Trebuchet MS"/>
        </w:rPr>
      </w:pPr>
      <w:r>
        <w:rPr>
          <w:rFonts w:ascii="Trebuchet MS" w:hAnsi="Trebuchet MS"/>
          <w:bCs/>
        </w:rPr>
        <w:t>2) cenach zawartych w ofertach.</w:t>
      </w:r>
    </w:p>
    <w:p>
      <w:pPr>
        <w:pStyle w:val="14"/>
        <w:spacing w:line="360" w:lineRule="auto"/>
        <w:rPr>
          <w:rFonts w:ascii="Trebuchet MS" w:hAnsi="Trebuchet MS" w:cs="Arial"/>
          <w:sz w:val="18"/>
          <w:szCs w:val="18"/>
        </w:rPr>
      </w:pPr>
    </w:p>
    <w:p>
      <w:pPr>
        <w:pStyle w:val="40"/>
        <w:numPr>
          <w:ilvl w:val="0"/>
          <w:numId w:val="10"/>
        </w:numPr>
        <w:tabs>
          <w:tab w:val="left" w:pos="1701"/>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O TRYBIE OCENY OFERT</w:t>
      </w:r>
    </w:p>
    <w:p>
      <w:pPr>
        <w:spacing w:line="360" w:lineRule="auto"/>
        <w:ind w:right="28"/>
        <w:jc w:val="both"/>
        <w:rPr>
          <w:rFonts w:ascii="Trebuchet MS" w:hAnsi="Trebuchet MS" w:cs="Arial"/>
          <w:sz w:val="18"/>
        </w:rPr>
      </w:pPr>
    </w:p>
    <w:p>
      <w:pPr>
        <w:pStyle w:val="40"/>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pPr>
        <w:spacing w:line="276" w:lineRule="auto"/>
        <w:rPr>
          <w:rFonts w:ascii="Trebuchet MS" w:hAnsi="Trebuchet MS" w:cs="Arial"/>
        </w:rPr>
      </w:pPr>
    </w:p>
    <w:p>
      <w:pPr>
        <w:pStyle w:val="40"/>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Zamawiający poprawi w ofercie omyłki wskazane w art. 223 ust. 2 ustawy, niezwłocznie zawiadamiając o tym Wykonawcę, którego oferta zostanie poprawiona.</w:t>
      </w:r>
      <w:r>
        <w:rPr>
          <w:rFonts w:ascii="Trebuchet MS" w:hAnsi="Trebuchet MS" w:cs="Arial"/>
        </w:rPr>
        <w:br w:type="textWrapping"/>
      </w:r>
    </w:p>
    <w:p>
      <w:pPr>
        <w:pStyle w:val="40"/>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Zamawiający odrzuci złożoną ofertę, w przypadku wystąpienia przynajmniej jednej z okoliczności, o których mowa w art. 226 ust. 1 ustawy.</w:t>
      </w:r>
    </w:p>
    <w:p>
      <w:pPr>
        <w:spacing w:line="276" w:lineRule="auto"/>
        <w:rPr>
          <w:rFonts w:ascii="Trebuchet MS" w:hAnsi="Trebuchet MS" w:cs="Arial"/>
        </w:rPr>
      </w:pPr>
    </w:p>
    <w:p>
      <w:pPr>
        <w:pStyle w:val="40"/>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W przypadku, gdy nie zostanie złożona żadna oferta niepodlegająca odrzuceniu, postępowanie zostanie unieważnione. Zamawiający unieważni postępowanie także w innych przypadkach, określonych w ustawie.</w:t>
      </w:r>
    </w:p>
    <w:p>
      <w:pPr>
        <w:spacing w:line="276" w:lineRule="auto"/>
        <w:rPr>
          <w:rFonts w:ascii="Trebuchet MS" w:hAnsi="Trebuchet MS" w:cs="Arial"/>
        </w:rPr>
      </w:pPr>
    </w:p>
    <w:p>
      <w:pPr>
        <w:pStyle w:val="40"/>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b/>
          <w:bCs/>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pPr>
        <w:spacing w:line="276" w:lineRule="auto"/>
        <w:rPr>
          <w:rFonts w:ascii="Trebuchet MS" w:hAnsi="Trebuchet MS" w:cs="Arial"/>
        </w:rPr>
      </w:pPr>
    </w:p>
    <w:p>
      <w:pPr>
        <w:pStyle w:val="40"/>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 xml:space="preserve">Zamawiający przyzna zamówienie Wykonawcy, który złoży ofertę niepodlegającą odrzuceniu, i która zostanie najwyżej oceniona (uzyska największą liczbę punktów przyznanych według kryteriów wyboru oferty określonych w niniejszej SWZ). </w:t>
      </w:r>
    </w:p>
    <w:p>
      <w:pPr>
        <w:spacing w:line="276" w:lineRule="auto"/>
        <w:ind w:right="28"/>
        <w:jc w:val="both"/>
        <w:rPr>
          <w:rFonts w:ascii="Trebuchet MS" w:hAnsi="Trebuchet MS" w:cs="Arial"/>
        </w:rPr>
      </w:pPr>
    </w:p>
    <w:p>
      <w:pPr>
        <w:pStyle w:val="40"/>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pPr>
        <w:pStyle w:val="14"/>
        <w:spacing w:line="360" w:lineRule="auto"/>
        <w:rPr>
          <w:rFonts w:ascii="Trebuchet MS" w:hAnsi="Trebuchet MS" w:cs="Arial"/>
          <w:sz w:val="20"/>
        </w:rPr>
      </w:pPr>
    </w:p>
    <w:p>
      <w:pPr>
        <w:pStyle w:val="40"/>
        <w:numPr>
          <w:ilvl w:val="0"/>
          <w:numId w:val="10"/>
        </w:numPr>
        <w:tabs>
          <w:tab w:val="left" w:pos="1701"/>
        </w:tabs>
        <w:spacing w:line="360" w:lineRule="auto"/>
        <w:ind w:right="28"/>
        <w:jc w:val="both"/>
        <w:rPr>
          <w:rFonts w:ascii="Trebuchet MS" w:hAnsi="Trebuchet MS" w:cs="Arial"/>
          <w:b/>
          <w:sz w:val="22"/>
          <w:szCs w:val="22"/>
          <w:highlight w:val="none"/>
          <w:u w:val="single"/>
        </w:rPr>
      </w:pPr>
      <w:r>
        <w:rPr>
          <w:rFonts w:ascii="Trebuchet MS" w:hAnsi="Trebuchet MS" w:cs="Arial"/>
          <w:b/>
          <w:sz w:val="22"/>
          <w:szCs w:val="22"/>
          <w:highlight w:val="none"/>
          <w:u w:val="single"/>
        </w:rPr>
        <w:t>NEGOCJACJE TREŚCI OFERT W CELU ICH ULEPSZENIA</w:t>
      </w:r>
    </w:p>
    <w:p>
      <w:pPr>
        <w:pStyle w:val="14"/>
        <w:spacing w:line="360" w:lineRule="auto"/>
        <w:rPr>
          <w:rFonts w:ascii="Trebuchet MS" w:hAnsi="Trebuchet MS" w:cs="Arial"/>
          <w:sz w:val="20"/>
        </w:rPr>
      </w:pPr>
      <w:r>
        <w:rPr>
          <w:rFonts w:ascii="Trebuchet MS" w:hAnsi="Trebuchet MS" w:cs="Arial"/>
          <w:sz w:val="20"/>
        </w:rPr>
        <w:t xml:space="preserve">Zamawiający nie przewiduje możliwości przeprowadzenia negocjacji w celu ulepszenia ofert </w:t>
      </w:r>
      <w:r>
        <w:rPr>
          <w:rFonts w:ascii="Trebuchet MS" w:hAnsi="Trebuchet MS" w:cs="Arial"/>
          <w:sz w:val="20"/>
        </w:rPr>
        <w:br w:type="textWrapping"/>
      </w:r>
      <w:r>
        <w:rPr>
          <w:rFonts w:ascii="Trebuchet MS" w:hAnsi="Trebuchet MS" w:cs="Arial"/>
          <w:sz w:val="20"/>
        </w:rPr>
        <w:t>(art. 275 pkt 1 ustawy).</w:t>
      </w:r>
    </w:p>
    <w:p>
      <w:pPr>
        <w:pStyle w:val="14"/>
        <w:spacing w:line="360" w:lineRule="auto"/>
        <w:rPr>
          <w:rFonts w:ascii="Trebuchet MS" w:hAnsi="Trebuchet MS" w:cs="Arial"/>
          <w:sz w:val="20"/>
        </w:rPr>
      </w:pPr>
    </w:p>
    <w:p>
      <w:pPr>
        <w:pStyle w:val="40"/>
        <w:numPr>
          <w:ilvl w:val="0"/>
          <w:numId w:val="10"/>
        </w:numPr>
        <w:tabs>
          <w:tab w:val="left" w:pos="1701"/>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KRYTERIÓW OCENY OFERT, WRAZ Z PODANIEM WAG TYCH KRYTERIÓW I SPOSOBU OCENY OFERT</w:t>
      </w:r>
    </w:p>
    <w:p>
      <w:pPr>
        <w:pStyle w:val="14"/>
        <w:tabs>
          <w:tab w:val="left" w:pos="1701"/>
        </w:tabs>
        <w:spacing w:line="276" w:lineRule="auto"/>
        <w:ind w:left="1701" w:hanging="1701"/>
        <w:rPr>
          <w:rFonts w:ascii="Trebuchet MS" w:hAnsi="Trebuchet MS" w:cs="Arial"/>
          <w:b/>
          <w:sz w:val="18"/>
        </w:rPr>
      </w:pPr>
    </w:p>
    <w:p>
      <w:pPr>
        <w:pStyle w:val="14"/>
        <w:numPr>
          <w:ilvl w:val="0"/>
          <w:numId w:val="38"/>
        </w:numPr>
        <w:spacing w:line="276" w:lineRule="auto"/>
        <w:rPr>
          <w:rFonts w:ascii="Trebuchet MS" w:hAnsi="Trebuchet MS" w:cs="Arial"/>
          <w:sz w:val="20"/>
        </w:rPr>
      </w:pPr>
      <w:r>
        <w:rPr>
          <w:rFonts w:ascii="Trebuchet MS" w:hAnsi="Trebuchet MS" w:cs="Arial"/>
          <w:sz w:val="20"/>
        </w:rPr>
        <w:t>W ramach każdej Części zamówienia przy wyborze oferty najkorzystniejszej, Zamawiający będzie się kierował następującymi kryteriami:</w:t>
      </w:r>
    </w:p>
    <w:p>
      <w:pPr>
        <w:tabs>
          <w:tab w:val="left" w:pos="1070"/>
        </w:tabs>
        <w:spacing w:line="276" w:lineRule="auto"/>
        <w:jc w:val="both"/>
        <w:rPr>
          <w:rFonts w:ascii="Trebuchet MS" w:hAnsi="Trebuchet MS" w:cs="Arial"/>
          <w:b/>
          <w:sz w:val="10"/>
          <w:szCs w:val="10"/>
        </w:rPr>
      </w:pPr>
    </w:p>
    <w:p>
      <w:pPr>
        <w:pStyle w:val="14"/>
        <w:numPr>
          <w:ilvl w:val="1"/>
          <w:numId w:val="39"/>
        </w:numPr>
        <w:spacing w:line="276" w:lineRule="auto"/>
        <w:ind w:left="993" w:right="28"/>
        <w:rPr>
          <w:rFonts w:ascii="Trebuchet MS" w:hAnsi="Trebuchet MS" w:cs="Arial"/>
          <w:sz w:val="20"/>
        </w:rPr>
      </w:pPr>
      <w:r>
        <w:rPr>
          <w:rFonts w:ascii="Trebuchet MS" w:hAnsi="Trebuchet MS" w:cs="Arial"/>
          <w:b/>
          <w:sz w:val="20"/>
        </w:rPr>
        <w:t>cena ofertowa – 60 pkt (waga kryterium wyrażona w punktach),</w:t>
      </w:r>
    </w:p>
    <w:p>
      <w:pPr>
        <w:pStyle w:val="14"/>
        <w:numPr>
          <w:ilvl w:val="1"/>
          <w:numId w:val="39"/>
        </w:numPr>
        <w:spacing w:line="276" w:lineRule="auto"/>
        <w:ind w:left="992" w:right="28" w:hanging="357"/>
        <w:rPr>
          <w:rFonts w:ascii="Trebuchet MS" w:hAnsi="Trebuchet MS" w:cs="Arial"/>
          <w:sz w:val="20"/>
        </w:rPr>
      </w:pPr>
      <w:r>
        <w:rPr>
          <w:rFonts w:ascii="Trebuchet MS" w:hAnsi="Trebuchet MS" w:cs="Arial"/>
          <w:b/>
          <w:sz w:val="20"/>
        </w:rPr>
        <w:t>okres udzielonej gwarancji – 40 pkt (waga kryterium wyrażona w punktach).</w:t>
      </w:r>
    </w:p>
    <w:p>
      <w:pPr>
        <w:pStyle w:val="14"/>
        <w:spacing w:line="276" w:lineRule="auto"/>
        <w:ind w:right="28"/>
        <w:rPr>
          <w:rFonts w:ascii="Trebuchet MS" w:hAnsi="Trebuchet MS" w:cs="Arial"/>
        </w:rPr>
      </w:pPr>
    </w:p>
    <w:p>
      <w:pPr>
        <w:pStyle w:val="14"/>
        <w:numPr>
          <w:ilvl w:val="0"/>
          <w:numId w:val="38"/>
        </w:numPr>
        <w:spacing w:line="276" w:lineRule="auto"/>
        <w:rPr>
          <w:rFonts w:ascii="Trebuchet MS" w:hAnsi="Trebuchet MS" w:cs="Arial"/>
          <w:sz w:val="20"/>
        </w:rPr>
      </w:pPr>
      <w:r>
        <w:rPr>
          <w:rFonts w:ascii="Trebuchet MS" w:hAnsi="Trebuchet MS" w:cs="Arial"/>
          <w:sz w:val="20"/>
        </w:rPr>
        <w:t>Każdy z Wykonawców w ww. kryterium otrzyma odpowiednią ilość punktów, wyliczoną w następujący sposób:</w:t>
      </w:r>
    </w:p>
    <w:p>
      <w:pPr>
        <w:pStyle w:val="14"/>
        <w:spacing w:line="276" w:lineRule="auto"/>
        <w:ind w:left="567"/>
        <w:rPr>
          <w:rFonts w:ascii="Trebuchet MS" w:hAnsi="Trebuchet MS" w:cs="Arial"/>
          <w:sz w:val="20"/>
        </w:rPr>
      </w:pPr>
    </w:p>
    <w:p>
      <w:pPr>
        <w:pStyle w:val="14"/>
        <w:spacing w:line="276" w:lineRule="auto"/>
        <w:ind w:left="567"/>
        <w:rPr>
          <w:rFonts w:ascii="Trebuchet MS" w:hAnsi="Trebuchet MS" w:cs="Arial"/>
          <w:sz w:val="20"/>
        </w:rPr>
      </w:pPr>
    </w:p>
    <w:p>
      <w:pPr>
        <w:pStyle w:val="14"/>
        <w:spacing w:line="276" w:lineRule="auto"/>
        <w:ind w:left="567"/>
        <w:rPr>
          <w:rFonts w:ascii="Trebuchet MS" w:hAnsi="Trebuchet MS" w:cs="Arial"/>
          <w:sz w:val="20"/>
        </w:rPr>
      </w:pPr>
    </w:p>
    <w:p>
      <w:pPr>
        <w:pStyle w:val="14"/>
        <w:spacing w:line="276" w:lineRule="auto"/>
        <w:ind w:left="567"/>
        <w:rPr>
          <w:rFonts w:ascii="Trebuchet MS" w:hAnsi="Trebuchet MS" w:cs="Arial"/>
          <w:sz w:val="20"/>
        </w:rPr>
      </w:pPr>
    </w:p>
    <w:p>
      <w:pPr>
        <w:spacing w:line="276" w:lineRule="auto"/>
        <w:ind w:left="1134" w:hanging="567"/>
        <w:jc w:val="both"/>
        <w:rPr>
          <w:rFonts w:ascii="Trebuchet MS" w:hAnsi="Trebuchet MS" w:cs="Arial"/>
        </w:rPr>
      </w:pPr>
      <w:r>
        <w:rPr>
          <w:rFonts w:ascii="Trebuchet MS" w:hAnsi="Trebuchet MS" w:cs="Arial"/>
          <w:b/>
        </w:rPr>
        <w:t xml:space="preserve">ad. a) cena ofertowa  IPc -  maksymalnie 60 pkt </w:t>
      </w:r>
      <w:r>
        <w:rPr>
          <w:rFonts w:ascii="Trebuchet MS" w:hAnsi="Trebuchet MS" w:cs="Arial"/>
        </w:rPr>
        <w:t>- wg następującego wzoru:</w:t>
      </w:r>
    </w:p>
    <w:p>
      <w:pPr>
        <w:spacing w:line="276" w:lineRule="auto"/>
        <w:jc w:val="center"/>
        <w:rPr>
          <w:rFonts w:ascii="Trebuchet MS" w:hAnsi="Trebuchet MS" w:cs="Arial"/>
          <w:b/>
        </w:rPr>
      </w:pPr>
    </w:p>
    <w:p>
      <w:pPr>
        <w:spacing w:line="276" w:lineRule="auto"/>
        <w:jc w:val="center"/>
        <w:rPr>
          <w:rFonts w:ascii="Trebuchet MS" w:hAnsi="Trebuchet MS" w:cs="Arial"/>
          <w:b/>
        </w:rPr>
      </w:pPr>
      <w:r>
        <w:rPr>
          <w:rFonts w:ascii="Trebuchet MS" w:hAnsi="Trebuchet MS" w:cs="Arial"/>
          <w:b/>
        </w:rPr>
        <w:t>CN</w:t>
      </w:r>
    </w:p>
    <w:p>
      <w:pPr>
        <w:spacing w:line="276" w:lineRule="auto"/>
        <w:jc w:val="center"/>
        <w:rPr>
          <w:rFonts w:ascii="Trebuchet MS" w:hAnsi="Trebuchet MS" w:cs="Arial"/>
          <w:b/>
        </w:rPr>
      </w:pPr>
      <w:r>
        <w:rPr>
          <w:rFonts w:ascii="Trebuchet MS" w:hAnsi="Trebuchet MS" w:cs="Arial"/>
          <w:b/>
        </w:rPr>
        <w:t>IPc =   -----   x  Zc</w:t>
      </w:r>
    </w:p>
    <w:p>
      <w:pPr>
        <w:spacing w:line="276" w:lineRule="auto"/>
        <w:jc w:val="center"/>
        <w:rPr>
          <w:rFonts w:ascii="Trebuchet MS" w:hAnsi="Trebuchet MS" w:cs="Arial"/>
          <w:b/>
        </w:rPr>
      </w:pPr>
      <w:r>
        <w:rPr>
          <w:rFonts w:ascii="Trebuchet MS" w:hAnsi="Trebuchet MS" w:cs="Arial"/>
          <w:b/>
        </w:rPr>
        <w:t>CB</w:t>
      </w:r>
    </w:p>
    <w:p>
      <w:pPr>
        <w:pStyle w:val="14"/>
        <w:spacing w:line="276" w:lineRule="auto"/>
        <w:rPr>
          <w:rFonts w:ascii="Trebuchet MS" w:hAnsi="Trebuchet MS" w:cs="Arial"/>
          <w:sz w:val="20"/>
        </w:rPr>
      </w:pPr>
      <w:r>
        <w:rPr>
          <w:rFonts w:ascii="Trebuchet MS" w:hAnsi="Trebuchet MS" w:cs="Arial"/>
          <w:sz w:val="20"/>
        </w:rPr>
        <w:t>gdzie poszczególne litery oznaczają:</w:t>
      </w:r>
    </w:p>
    <w:p>
      <w:pPr>
        <w:spacing w:line="276" w:lineRule="auto"/>
        <w:jc w:val="both"/>
        <w:rPr>
          <w:rFonts w:ascii="Trebuchet MS" w:hAnsi="Trebuchet MS" w:cs="Arial"/>
        </w:rPr>
      </w:pPr>
      <w:r>
        <w:rPr>
          <w:rFonts w:ascii="Trebuchet MS" w:hAnsi="Trebuchet MS" w:cs="Arial"/>
        </w:rPr>
        <w:t>IPc – liczba punktów w kryterium „cena ofertowa”,</w:t>
      </w:r>
    </w:p>
    <w:p>
      <w:pPr>
        <w:spacing w:line="276" w:lineRule="auto"/>
        <w:jc w:val="both"/>
        <w:rPr>
          <w:rFonts w:ascii="Trebuchet MS" w:hAnsi="Trebuchet MS" w:cs="Arial"/>
        </w:rPr>
      </w:pPr>
      <w:r>
        <w:rPr>
          <w:rFonts w:ascii="Trebuchet MS" w:hAnsi="Trebuchet MS" w:cs="Arial"/>
        </w:rPr>
        <w:t>CN – cena ofertowa najniższa spośród wszystkich rozpatrywanych i niepodlegających odrzuceniu ofert,</w:t>
      </w:r>
    </w:p>
    <w:p>
      <w:pPr>
        <w:spacing w:line="276" w:lineRule="auto"/>
        <w:jc w:val="both"/>
        <w:rPr>
          <w:rFonts w:ascii="Trebuchet MS" w:hAnsi="Trebuchet MS" w:cs="Arial"/>
        </w:rPr>
      </w:pPr>
      <w:r>
        <w:rPr>
          <w:rFonts w:ascii="Trebuchet MS" w:hAnsi="Trebuchet MS" w:cs="Arial"/>
        </w:rPr>
        <w:t>CB – cena ofertowa oferty badanej (przeliczanej),</w:t>
      </w:r>
    </w:p>
    <w:p>
      <w:pPr>
        <w:spacing w:line="276" w:lineRule="auto"/>
        <w:jc w:val="both"/>
        <w:rPr>
          <w:rFonts w:ascii="Trebuchet MS" w:hAnsi="Trebuchet MS" w:cs="Arial"/>
        </w:rPr>
      </w:pPr>
      <w:r>
        <w:rPr>
          <w:rFonts w:ascii="Trebuchet MS" w:hAnsi="Trebuchet MS" w:cs="Arial"/>
        </w:rPr>
        <w:t>Zc – znaczenie/waga kryterium „cena ofertowa” wyrażone w punktach –</w:t>
      </w:r>
      <w:r>
        <w:rPr>
          <w:rFonts w:ascii="Trebuchet MS" w:hAnsi="Trebuchet MS" w:cs="Arial"/>
          <w:b/>
        </w:rPr>
        <w:t xml:space="preserve"> 60 pkt</w:t>
      </w:r>
      <w:r>
        <w:rPr>
          <w:rFonts w:ascii="Trebuchet MS" w:hAnsi="Trebuchet MS" w:cs="Arial"/>
        </w:rPr>
        <w:t>.</w:t>
      </w:r>
    </w:p>
    <w:p>
      <w:pPr>
        <w:spacing w:line="360" w:lineRule="auto"/>
        <w:jc w:val="both"/>
        <w:rPr>
          <w:rFonts w:ascii="Trebuchet MS" w:hAnsi="Trebuchet MS" w:cs="Arial"/>
        </w:rPr>
      </w:pPr>
    </w:p>
    <w:p>
      <w:pPr>
        <w:shd w:val="clear" w:color="auto" w:fill="FFFFFF"/>
        <w:spacing w:line="276" w:lineRule="auto"/>
        <w:ind w:right="100"/>
        <w:jc w:val="both"/>
        <w:rPr>
          <w:rFonts w:ascii="Trebuchet MS" w:hAnsi="Trebuchet MS" w:cs="Arial"/>
        </w:rPr>
      </w:pPr>
      <w:r>
        <w:rPr>
          <w:rFonts w:ascii="Trebuchet MS" w:hAnsi="Trebuchet MS" w:cs="Arial"/>
          <w:b/>
        </w:rPr>
        <w:t>Uwaga:</w:t>
      </w:r>
    </w:p>
    <w:p>
      <w:pPr>
        <w:shd w:val="clear" w:color="auto" w:fill="FFFFFF"/>
        <w:spacing w:line="276" w:lineRule="auto"/>
        <w:ind w:right="100"/>
        <w:jc w:val="both"/>
        <w:rPr>
          <w:rFonts w:ascii="Trebuchet MS" w:hAnsi="Trebuchet MS" w:cs="Arial"/>
          <w:b/>
        </w:rPr>
      </w:pPr>
      <w:r>
        <w:rPr>
          <w:rFonts w:ascii="Trebuchet MS" w:hAnsi="Trebuchet MS" w:cs="Arial"/>
          <w:b/>
        </w:rPr>
        <w:t>Jeżeli zostanie złożona oferta, której wybór prowadziłby do powstania u Zamawiającego obowiązku podatkowego zgodnie z ustawą z dnia 11 marca 2004 r. o podatku od towarów i usług (Dz.U. z 202</w:t>
      </w:r>
      <w:r>
        <w:rPr>
          <w:rFonts w:hint="default" w:ascii="Trebuchet MS" w:hAnsi="Trebuchet MS" w:cs="Arial"/>
          <w:b/>
          <w:lang w:val="pl-PL"/>
        </w:rPr>
        <w:t>3</w:t>
      </w:r>
      <w:r>
        <w:rPr>
          <w:rFonts w:ascii="Trebuchet MS" w:hAnsi="Trebuchet MS" w:cs="Arial"/>
          <w:b/>
        </w:rPr>
        <w:t xml:space="preserve">r. poz. </w:t>
      </w:r>
      <w:r>
        <w:rPr>
          <w:rFonts w:hint="default" w:ascii="Trebuchet MS" w:hAnsi="Trebuchet MS" w:cs="Arial"/>
          <w:b/>
          <w:lang w:val="pl-PL"/>
        </w:rPr>
        <w:t>1570</w:t>
      </w:r>
      <w:r>
        <w:rPr>
          <w:rFonts w:ascii="Trebuchet MS" w:hAnsi="Trebuchet MS" w:cs="Arial"/>
          <w:b/>
        </w:rPr>
        <w:t xml:space="preserve"> z późn.zm.), dla celów zastosowania kryterium ceny Zamawiający dolicza do przedstawionej w tej ofercie ceny kwotę podatku od towarów i usług, którą miałby obowiązek rozliczyć.</w:t>
      </w:r>
    </w:p>
    <w:p>
      <w:pPr>
        <w:shd w:val="clear" w:color="auto" w:fill="FFFFFF"/>
        <w:spacing w:line="276" w:lineRule="auto"/>
        <w:ind w:right="100"/>
        <w:jc w:val="both"/>
        <w:rPr>
          <w:rFonts w:ascii="Trebuchet MS" w:hAnsi="Trebuchet MS" w:cs="Arial"/>
          <w:b/>
        </w:rPr>
      </w:pPr>
      <w:r>
        <w:rPr>
          <w:rFonts w:ascii="Trebuchet MS" w:hAnsi="Trebuchet MS" w:cs="Arial"/>
          <w:b/>
          <w:sz w:val="10"/>
          <w:szCs w:val="10"/>
        </w:rPr>
        <w:t xml:space="preserve"> </w:t>
      </w:r>
    </w:p>
    <w:p>
      <w:pPr>
        <w:shd w:val="clear" w:color="auto" w:fill="FFFFFF"/>
        <w:spacing w:line="276" w:lineRule="auto"/>
        <w:ind w:right="100"/>
        <w:jc w:val="both"/>
        <w:rPr>
          <w:rFonts w:ascii="Trebuchet MS" w:hAnsi="Trebuchet MS" w:cs="Arial"/>
          <w:b/>
        </w:rPr>
      </w:pPr>
      <w:r>
        <w:rPr>
          <w:rFonts w:ascii="Trebuchet MS" w:hAnsi="Trebuchet MS" w:cs="Arial"/>
          <w:b/>
        </w:rPr>
        <w:t xml:space="preserve">Uwaga: </w:t>
      </w:r>
    </w:p>
    <w:p>
      <w:pPr>
        <w:shd w:val="clear" w:color="auto" w:fill="FFFFFF"/>
        <w:spacing w:line="276" w:lineRule="auto"/>
        <w:ind w:right="100"/>
        <w:jc w:val="both"/>
        <w:rPr>
          <w:rFonts w:ascii="Trebuchet MS" w:hAnsi="Trebuchet MS" w:cs="Arial"/>
          <w:b/>
        </w:rPr>
      </w:pPr>
      <w:r>
        <w:rPr>
          <w:rFonts w:ascii="Trebuchet MS" w:hAnsi="Trebuchet MS" w:cs="Arial"/>
          <w:b/>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pPr>
        <w:spacing w:line="276" w:lineRule="auto"/>
        <w:rPr>
          <w:rFonts w:ascii="Arial" w:hAnsi="Arial" w:cs="Arial"/>
          <w:b/>
          <w:sz w:val="10"/>
          <w:szCs w:val="10"/>
        </w:rPr>
      </w:pPr>
    </w:p>
    <w:p>
      <w:pPr>
        <w:shd w:val="clear" w:color="auto" w:fill="FFFFFF"/>
        <w:spacing w:line="276" w:lineRule="auto"/>
        <w:jc w:val="both"/>
        <w:rPr>
          <w:rFonts w:ascii="Trebuchet MS" w:hAnsi="Trebuchet MS" w:cs="Arial"/>
          <w:b/>
        </w:rPr>
      </w:pPr>
    </w:p>
    <w:p>
      <w:pPr>
        <w:spacing w:line="276" w:lineRule="auto"/>
        <w:ind w:right="28"/>
        <w:jc w:val="both"/>
        <w:rPr>
          <w:rFonts w:ascii="Trebuchet MS" w:hAnsi="Trebuchet MS" w:cs="Arial"/>
        </w:rPr>
      </w:pPr>
      <w:r>
        <w:rPr>
          <w:rFonts w:ascii="Trebuchet MS" w:hAnsi="Trebuchet MS" w:cs="Arial"/>
          <w:b/>
        </w:rPr>
        <w:t>Ad. b) okres udzielonej gwarancji– IPg (40 punktów)</w:t>
      </w:r>
      <w:r>
        <w:rPr>
          <w:rFonts w:ascii="Trebuchet MS" w:hAnsi="Trebuchet MS" w:cs="Arial"/>
        </w:rPr>
        <w:t>:</w:t>
      </w:r>
    </w:p>
    <w:p>
      <w:pPr>
        <w:spacing w:line="276" w:lineRule="auto"/>
        <w:ind w:right="28"/>
        <w:jc w:val="both"/>
        <w:rPr>
          <w:rFonts w:ascii="Trebuchet MS" w:hAnsi="Trebuchet MS" w:cs="Arial"/>
          <w:highlight w:val="none"/>
        </w:rPr>
      </w:pPr>
      <w:r>
        <w:rPr>
          <w:rFonts w:ascii="Trebuchet MS" w:hAnsi="Trebuchet MS" w:cs="Arial"/>
          <w:highlight w:val="none"/>
        </w:rPr>
        <w:t xml:space="preserve">Minimalny termin gwarancji wynosi </w:t>
      </w:r>
      <w:r>
        <w:rPr>
          <w:rFonts w:ascii="Trebuchet MS" w:hAnsi="Trebuchet MS" w:cs="Arial"/>
          <w:b/>
          <w:highlight w:val="none"/>
        </w:rPr>
        <w:t>1 rok</w:t>
      </w:r>
      <w:r>
        <w:rPr>
          <w:rFonts w:ascii="Trebuchet MS" w:hAnsi="Trebuchet MS" w:cs="Arial"/>
          <w:highlight w:val="none"/>
        </w:rPr>
        <w:t xml:space="preserve">. Za każdy 1 rok udzielonej gwarancji powyżej wymaganego </w:t>
      </w:r>
      <w:r>
        <w:rPr>
          <w:rFonts w:ascii="Trebuchet MS" w:hAnsi="Trebuchet MS" w:cs="Arial"/>
          <w:highlight w:val="none"/>
        </w:rPr>
        <w:br w:type="textWrapping"/>
      </w:r>
      <w:r>
        <w:rPr>
          <w:rFonts w:ascii="Trebuchet MS" w:hAnsi="Trebuchet MS" w:cs="Arial"/>
          <w:highlight w:val="none"/>
        </w:rPr>
        <w:t xml:space="preserve">1 roku, Wykonawca otrzyma </w:t>
      </w:r>
      <w:r>
        <w:rPr>
          <w:rFonts w:ascii="Trebuchet MS" w:hAnsi="Trebuchet MS" w:cs="Arial"/>
          <w:b/>
          <w:highlight w:val="none"/>
        </w:rPr>
        <w:t>20 pkt</w:t>
      </w:r>
      <w:r>
        <w:rPr>
          <w:rFonts w:ascii="Trebuchet MS" w:hAnsi="Trebuchet MS" w:cs="Arial"/>
          <w:highlight w:val="none"/>
        </w:rPr>
        <w:t xml:space="preserve">  – maksymalnie </w:t>
      </w:r>
      <w:r>
        <w:rPr>
          <w:rFonts w:ascii="Trebuchet MS" w:hAnsi="Trebuchet MS" w:cs="Arial"/>
          <w:b/>
          <w:highlight w:val="none"/>
        </w:rPr>
        <w:t>40 pkt</w:t>
      </w:r>
      <w:r>
        <w:rPr>
          <w:rFonts w:ascii="Trebuchet MS" w:hAnsi="Trebuchet MS" w:cs="Arial"/>
          <w:highlight w:val="none"/>
        </w:rPr>
        <w:t xml:space="preserve"> za 3 i więcej lat udzielonej gwarancji.</w:t>
      </w:r>
    </w:p>
    <w:p>
      <w:pPr>
        <w:shd w:val="clear" w:color="auto" w:fill="FFFFFF"/>
        <w:spacing w:line="276" w:lineRule="auto"/>
        <w:ind w:right="28"/>
        <w:jc w:val="both"/>
        <w:rPr>
          <w:rFonts w:ascii="Trebuchet MS" w:hAnsi="Trebuchet MS" w:cs="Arial"/>
        </w:rPr>
      </w:pPr>
    </w:p>
    <w:p>
      <w:pPr>
        <w:pStyle w:val="40"/>
        <w:numPr>
          <w:ilvl w:val="0"/>
          <w:numId w:val="38"/>
        </w:numPr>
        <w:shd w:val="clear" w:color="auto" w:fill="FFFFFF"/>
        <w:spacing w:line="276" w:lineRule="auto"/>
        <w:ind w:right="28"/>
        <w:jc w:val="both"/>
        <w:rPr>
          <w:rFonts w:ascii="Trebuchet MS" w:hAnsi="Trebuchet MS" w:cs="Arial"/>
        </w:rPr>
      </w:pPr>
      <w:r>
        <w:rPr>
          <w:rFonts w:ascii="Trebuchet MS" w:hAnsi="Trebuchet MS" w:cs="Arial"/>
        </w:rPr>
        <w:t xml:space="preserve">W ramach wszystkich wskazanych i opisanych kryteriów, Wykonawca otrzyma w odniesieniu do danej części końcową (łączną) ilość punktów wyliczoną w następujący sposób: </w:t>
      </w:r>
    </w:p>
    <w:p>
      <w:pPr>
        <w:pStyle w:val="14"/>
        <w:spacing w:line="276" w:lineRule="auto"/>
        <w:ind w:left="1134" w:right="28" w:hanging="1134"/>
        <w:rPr>
          <w:rFonts w:ascii="Trebuchet MS" w:hAnsi="Trebuchet MS" w:cs="Arial"/>
          <w:b/>
          <w:sz w:val="20"/>
        </w:rPr>
      </w:pPr>
    </w:p>
    <w:p>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ab/>
      </w:r>
      <w:r>
        <w:rPr>
          <w:rFonts w:ascii="Trebuchet MS" w:hAnsi="Trebuchet MS" w:cs="Arial"/>
          <w:b/>
          <w:sz w:val="20"/>
        </w:rPr>
        <w:t>KIP = IPc + IPg</w:t>
      </w:r>
    </w:p>
    <w:p>
      <w:pPr>
        <w:pStyle w:val="14"/>
        <w:tabs>
          <w:tab w:val="left" w:pos="567"/>
        </w:tabs>
        <w:spacing w:line="276" w:lineRule="auto"/>
        <w:ind w:left="567" w:right="28"/>
        <w:rPr>
          <w:rFonts w:ascii="Trebuchet MS" w:hAnsi="Trebuchet MS" w:cs="Arial"/>
          <w:sz w:val="20"/>
        </w:rPr>
      </w:pPr>
    </w:p>
    <w:p>
      <w:pPr>
        <w:pStyle w:val="14"/>
        <w:tabs>
          <w:tab w:val="left" w:pos="567"/>
        </w:tabs>
        <w:spacing w:line="276" w:lineRule="auto"/>
        <w:ind w:left="1701" w:hanging="1701"/>
        <w:rPr>
          <w:rFonts w:ascii="Trebuchet MS" w:hAnsi="Trebuchet MS" w:cs="Arial"/>
          <w:b/>
          <w:sz w:val="20"/>
          <w:u w:val="single"/>
        </w:rPr>
      </w:pPr>
      <w:r>
        <w:rPr>
          <w:rFonts w:ascii="Trebuchet MS" w:hAnsi="Trebuchet MS" w:cs="Arial"/>
          <w:b/>
          <w:sz w:val="20"/>
          <w:u w:val="single"/>
        </w:rPr>
        <w:t>gdzie poszczególne symbole oznaczają:</w:t>
      </w:r>
    </w:p>
    <w:p>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 xml:space="preserve">KIP – </w:t>
      </w:r>
      <w:r>
        <w:rPr>
          <w:rFonts w:ascii="Trebuchet MS" w:hAnsi="Trebuchet MS" w:cs="Arial"/>
          <w:sz w:val="20"/>
        </w:rPr>
        <w:t>końcowa ilość punktów,</w:t>
      </w:r>
    </w:p>
    <w:p>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 xml:space="preserve">IPc – </w:t>
      </w:r>
      <w:r>
        <w:rPr>
          <w:rFonts w:ascii="Trebuchet MS" w:hAnsi="Trebuchet MS" w:cs="Arial"/>
          <w:sz w:val="20"/>
        </w:rPr>
        <w:t xml:space="preserve">ilość punktów w kryterium: </w:t>
      </w:r>
      <w:r>
        <w:rPr>
          <w:rFonts w:ascii="Trebuchet MS" w:hAnsi="Trebuchet MS" w:cs="Arial"/>
          <w:b/>
          <w:sz w:val="20"/>
        </w:rPr>
        <w:t>cena ofertowa,</w:t>
      </w:r>
    </w:p>
    <w:p>
      <w:pPr>
        <w:shd w:val="clear" w:color="auto" w:fill="FFFFFF"/>
        <w:spacing w:line="276" w:lineRule="auto"/>
        <w:jc w:val="both"/>
        <w:rPr>
          <w:rFonts w:ascii="Trebuchet MS" w:hAnsi="Trebuchet MS" w:cs="Arial"/>
        </w:rPr>
      </w:pPr>
      <w:r>
        <w:rPr>
          <w:rFonts w:ascii="Trebuchet MS" w:hAnsi="Trebuchet MS" w:cs="Arial"/>
          <w:b/>
        </w:rPr>
        <w:t xml:space="preserve">IPg – </w:t>
      </w:r>
      <w:r>
        <w:rPr>
          <w:rFonts w:ascii="Trebuchet MS" w:hAnsi="Trebuchet MS" w:cs="Arial"/>
        </w:rPr>
        <w:t>ilość punktów w kryterium:</w:t>
      </w:r>
      <w:r>
        <w:rPr>
          <w:rFonts w:ascii="Trebuchet MS" w:hAnsi="Trebuchet MS" w:cs="Arial"/>
          <w:b/>
        </w:rPr>
        <w:t xml:space="preserve"> okres udzielonej gwarancji</w:t>
      </w:r>
    </w:p>
    <w:p>
      <w:pPr>
        <w:shd w:val="clear" w:color="auto" w:fill="FFFFFF"/>
        <w:spacing w:line="276" w:lineRule="auto"/>
        <w:jc w:val="both"/>
        <w:rPr>
          <w:rFonts w:ascii="Trebuchet MS" w:hAnsi="Trebuchet MS" w:cs="Arial"/>
          <w:b/>
          <w:u w:val="single"/>
        </w:rPr>
      </w:pPr>
    </w:p>
    <w:p>
      <w:pPr>
        <w:shd w:val="clear" w:color="auto" w:fill="FFFFFF"/>
        <w:spacing w:line="276" w:lineRule="auto"/>
        <w:jc w:val="both"/>
        <w:rPr>
          <w:rFonts w:ascii="Trebuchet MS" w:hAnsi="Trebuchet MS" w:cs="Arial"/>
        </w:rPr>
      </w:pPr>
      <w:r>
        <w:rPr>
          <w:rFonts w:ascii="Trebuchet MS" w:hAnsi="Trebuchet MS" w:cs="Arial"/>
        </w:rPr>
        <w:t xml:space="preserve">Za ofertę najkorzystniejszą będzie uznana oferta, która nie podlega odrzuceniu i przy uwzględnieniu powyższych kryteriów otrzyma najwyższą punktację. </w:t>
      </w:r>
    </w:p>
    <w:p>
      <w:pPr>
        <w:shd w:val="clear" w:color="auto" w:fill="FFFFFF"/>
        <w:spacing w:line="276" w:lineRule="auto"/>
        <w:ind w:right="100"/>
        <w:jc w:val="both"/>
        <w:rPr>
          <w:rFonts w:ascii="Trebuchet MS" w:hAnsi="Trebuchet MS" w:cs="Arial"/>
          <w:b/>
        </w:rPr>
      </w:pPr>
    </w:p>
    <w:p>
      <w:pPr>
        <w:pStyle w:val="40"/>
        <w:numPr>
          <w:ilvl w:val="0"/>
          <w:numId w:val="38"/>
        </w:numPr>
        <w:spacing w:line="276" w:lineRule="auto"/>
        <w:ind w:right="28"/>
        <w:jc w:val="both"/>
        <w:rPr>
          <w:rFonts w:ascii="Trebuchet MS" w:hAnsi="Trebuchet MS" w:cs="Arial"/>
        </w:rPr>
      </w:pPr>
      <w:r>
        <w:rPr>
          <w:rFonts w:ascii="Trebuchet MS" w:hAnsi="Trebuchet MS" w:cs="Arial"/>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pPr>
        <w:spacing w:line="276" w:lineRule="auto"/>
        <w:ind w:right="28"/>
        <w:jc w:val="both"/>
        <w:rPr>
          <w:rFonts w:ascii="Trebuchet MS" w:hAnsi="Trebuchet MS" w:cs="Arial"/>
          <w:sz w:val="10"/>
          <w:szCs w:val="10"/>
        </w:rPr>
      </w:pPr>
    </w:p>
    <w:p>
      <w:pPr>
        <w:pStyle w:val="40"/>
        <w:numPr>
          <w:ilvl w:val="1"/>
          <w:numId w:val="38"/>
        </w:numPr>
        <w:tabs>
          <w:tab w:val="left" w:pos="851"/>
          <w:tab w:val="clear" w:pos="465"/>
        </w:tabs>
        <w:spacing w:line="276" w:lineRule="auto"/>
        <w:ind w:left="993" w:right="28"/>
        <w:jc w:val="both"/>
        <w:rPr>
          <w:rFonts w:ascii="Trebuchet MS" w:hAnsi="Trebuchet MS" w:cs="Arial"/>
        </w:rPr>
      </w:pPr>
      <w:r>
        <w:rPr>
          <w:rFonts w:ascii="Trebuchet MS" w:hAnsi="Trebuchet MS" w:cs="Arial"/>
        </w:rPr>
        <w:t>Jeżeli  oferty otrzymały taką samą ocenę w kryterium o najwyższej wadze, Zamawiający wybiera ofertę z najniższą ceną.</w:t>
      </w:r>
    </w:p>
    <w:p>
      <w:pPr>
        <w:spacing w:line="276" w:lineRule="auto"/>
        <w:ind w:right="28"/>
        <w:jc w:val="both"/>
        <w:rPr>
          <w:rFonts w:ascii="Trebuchet MS" w:hAnsi="Trebuchet MS" w:cs="Arial"/>
          <w:sz w:val="10"/>
          <w:szCs w:val="10"/>
        </w:rPr>
      </w:pPr>
    </w:p>
    <w:p>
      <w:pPr>
        <w:pStyle w:val="40"/>
        <w:numPr>
          <w:ilvl w:val="1"/>
          <w:numId w:val="38"/>
        </w:numPr>
        <w:tabs>
          <w:tab w:val="left" w:pos="851"/>
          <w:tab w:val="clear" w:pos="465"/>
        </w:tabs>
        <w:spacing w:line="276" w:lineRule="auto"/>
        <w:ind w:left="993" w:right="28"/>
        <w:jc w:val="both"/>
        <w:rPr>
          <w:rFonts w:ascii="Trebuchet MS" w:hAnsi="Trebuchet MS" w:cs="Arial"/>
        </w:rPr>
      </w:pPr>
      <w:r>
        <w:rPr>
          <w:rFonts w:ascii="Trebuchet MS" w:hAnsi="Trebuchet MS" w:cs="Arial"/>
        </w:rPr>
        <w:t>Jeżeli nie można dokonać wyboru oferty w sposób, o którym mowa w ust. 4.1. niniejszego rozdziału SWZ, Zamawiający wzywa Wykonawców, którzy złożyli te oferty, do złożenia w terminie określonym przez Zamawiającego ofert dodatkowych zawierających nową cenę.</w:t>
      </w:r>
    </w:p>
    <w:p>
      <w:pPr>
        <w:spacing w:line="276" w:lineRule="auto"/>
        <w:ind w:right="28"/>
        <w:jc w:val="both"/>
        <w:rPr>
          <w:rFonts w:ascii="Trebuchet MS" w:hAnsi="Trebuchet MS" w:cs="Arial"/>
        </w:rPr>
      </w:pPr>
    </w:p>
    <w:p>
      <w:pPr>
        <w:pStyle w:val="40"/>
        <w:numPr>
          <w:ilvl w:val="0"/>
          <w:numId w:val="10"/>
        </w:numPr>
        <w:tabs>
          <w:tab w:val="left" w:pos="1701"/>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NA TEMAT AUKCJI ELEKTRONICZNEJ</w:t>
      </w:r>
    </w:p>
    <w:p>
      <w:pPr>
        <w:spacing w:line="360" w:lineRule="auto"/>
        <w:ind w:right="28"/>
        <w:jc w:val="both"/>
        <w:rPr>
          <w:rFonts w:ascii="Trebuchet MS" w:hAnsi="Trebuchet MS" w:cs="Arial"/>
          <w:sz w:val="18"/>
        </w:rPr>
      </w:pPr>
    </w:p>
    <w:p>
      <w:pPr>
        <w:spacing w:line="360" w:lineRule="auto"/>
        <w:ind w:right="28"/>
        <w:jc w:val="both"/>
        <w:rPr>
          <w:rFonts w:ascii="Trebuchet MS" w:hAnsi="Trebuchet MS" w:cs="Arial"/>
        </w:rPr>
      </w:pPr>
      <w:r>
        <w:rPr>
          <w:rFonts w:ascii="Trebuchet MS" w:hAnsi="Trebuchet MS" w:cs="Arial"/>
        </w:rPr>
        <w:t>Zamawiający nie przewiduje w niniejszym postępowaniu przeprowadzenia aukcji elektronicznej.</w:t>
      </w:r>
    </w:p>
    <w:p>
      <w:pPr>
        <w:shd w:val="clear" w:color="auto" w:fill="FFFFFF"/>
        <w:spacing w:line="360" w:lineRule="auto"/>
        <w:ind w:right="100"/>
        <w:jc w:val="both"/>
        <w:rPr>
          <w:rFonts w:ascii="Trebuchet MS" w:hAnsi="Trebuchet MS" w:cs="Arial"/>
          <w:b/>
        </w:rPr>
      </w:pPr>
    </w:p>
    <w:p>
      <w:pPr>
        <w:pStyle w:val="40"/>
        <w:numPr>
          <w:ilvl w:val="0"/>
          <w:numId w:val="10"/>
        </w:numPr>
        <w:tabs>
          <w:tab w:val="left" w:pos="1701"/>
        </w:tabs>
        <w:spacing w:line="360" w:lineRule="auto"/>
        <w:ind w:right="28"/>
        <w:jc w:val="both"/>
        <w:rPr>
          <w:rFonts w:ascii="Trebuchet MS" w:hAnsi="Trebuchet MS" w:cs="Arial"/>
          <w:b/>
        </w:rPr>
      </w:pPr>
      <w:r>
        <w:rPr>
          <w:rFonts w:ascii="Trebuchet MS" w:hAnsi="Trebuchet MS" w:cs="Arial"/>
          <w:b/>
          <w:sz w:val="22"/>
          <w:szCs w:val="22"/>
          <w:u w:val="single"/>
        </w:rPr>
        <w:t>INFORMACJE O FORMALNOŚCIACH, JAKIE MUSZĄ ZOSTAĆ DOPEŁNIONE PO WYBORZE OFERTY W CELU ZAWARCIA UMOWY W SPRAWIE ZAMÓWIENIA PUBLICZNEGO</w:t>
      </w:r>
    </w:p>
    <w:p>
      <w:pPr>
        <w:spacing w:line="360" w:lineRule="auto"/>
        <w:jc w:val="both"/>
        <w:rPr>
          <w:rFonts w:ascii="Trebuchet MS" w:hAnsi="Trebuchet MS" w:cs="Arial"/>
          <w:sz w:val="18"/>
        </w:rPr>
      </w:pPr>
    </w:p>
    <w:p>
      <w:pPr>
        <w:pStyle w:val="40"/>
        <w:numPr>
          <w:ilvl w:val="3"/>
          <w:numId w:val="40"/>
        </w:numPr>
        <w:spacing w:line="276" w:lineRule="auto"/>
        <w:ind w:left="426" w:hanging="426"/>
        <w:jc w:val="both"/>
        <w:rPr>
          <w:rFonts w:ascii="Trebuchet MS" w:hAnsi="Trebuchet MS" w:cs="Arial"/>
        </w:rPr>
      </w:pPr>
      <w:r>
        <w:rPr>
          <w:rFonts w:ascii="Trebuchet MS" w:hAnsi="Trebuchet MS" w:cs="Arial"/>
        </w:rPr>
        <w:t>Umowa w sprawie zamówienia publicznego może zostać zawarta wyłącznie z Wykonawcą, którego oferta zostanie wybrana jako najkorzystniejsza, po upływie terminów określonych w art. 308 ust. 2 ustawy.</w:t>
      </w:r>
    </w:p>
    <w:p>
      <w:pPr>
        <w:pStyle w:val="40"/>
        <w:spacing w:line="276" w:lineRule="auto"/>
        <w:ind w:left="426"/>
        <w:jc w:val="both"/>
        <w:rPr>
          <w:rFonts w:ascii="Trebuchet MS" w:hAnsi="Trebuchet MS" w:cs="Arial"/>
        </w:rPr>
      </w:pPr>
    </w:p>
    <w:p>
      <w:pPr>
        <w:pStyle w:val="40"/>
        <w:numPr>
          <w:ilvl w:val="3"/>
          <w:numId w:val="40"/>
        </w:numPr>
        <w:spacing w:line="276" w:lineRule="auto"/>
        <w:ind w:left="426" w:hanging="426"/>
        <w:jc w:val="both"/>
        <w:rPr>
          <w:rFonts w:ascii="Trebuchet MS" w:hAnsi="Trebuchet MS" w:cs="Arial"/>
        </w:rPr>
      </w:pPr>
      <w:r>
        <w:rPr>
          <w:rFonts w:ascii="Trebuchet MS" w:hAnsi="Trebuchet MS" w:cs="Arial"/>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pPr>
        <w:spacing w:line="276" w:lineRule="auto"/>
        <w:rPr>
          <w:rFonts w:ascii="Trebuchet MS" w:hAnsi="Trebuchet MS" w:cs="Arial"/>
        </w:rPr>
      </w:pPr>
    </w:p>
    <w:p>
      <w:pPr>
        <w:pStyle w:val="40"/>
        <w:numPr>
          <w:ilvl w:val="3"/>
          <w:numId w:val="40"/>
        </w:numPr>
        <w:spacing w:line="276" w:lineRule="auto"/>
        <w:ind w:left="426" w:hanging="426"/>
        <w:jc w:val="both"/>
        <w:rPr>
          <w:rFonts w:ascii="Trebuchet MS" w:hAnsi="Trebuchet MS" w:cs="Arial"/>
        </w:rPr>
      </w:pPr>
      <w:r>
        <w:rPr>
          <w:rFonts w:ascii="Trebuchet MS" w:hAnsi="Trebuchet MS" w:cs="Arial"/>
        </w:rPr>
        <w:t xml:space="preserve">Po wyborze najkorzystniejszej oferty, w celu zawarcia umowy w sprawie zamówienia publicznego, Wykonawca zobowiązany będzie do: </w:t>
      </w:r>
    </w:p>
    <w:p>
      <w:pPr>
        <w:spacing w:line="276" w:lineRule="auto"/>
        <w:jc w:val="both"/>
        <w:rPr>
          <w:rFonts w:ascii="Trebuchet MS" w:hAnsi="Trebuchet MS" w:cs="Arial"/>
          <w:sz w:val="10"/>
          <w:szCs w:val="10"/>
        </w:rPr>
      </w:pPr>
    </w:p>
    <w:p>
      <w:pPr>
        <w:pStyle w:val="40"/>
        <w:numPr>
          <w:ilvl w:val="0"/>
          <w:numId w:val="41"/>
        </w:numPr>
        <w:spacing w:line="276" w:lineRule="auto"/>
        <w:jc w:val="both"/>
        <w:rPr>
          <w:rFonts w:ascii="Trebuchet MS" w:hAnsi="Trebuchet MS" w:cs="Arial"/>
        </w:rPr>
      </w:pPr>
      <w:r>
        <w:rPr>
          <w:rFonts w:ascii="Trebuchet MS" w:hAnsi="Trebuchet MS" w:cs="Arial"/>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pPr>
        <w:pStyle w:val="40"/>
        <w:numPr>
          <w:ilvl w:val="0"/>
          <w:numId w:val="41"/>
        </w:numPr>
        <w:spacing w:line="276" w:lineRule="auto"/>
        <w:jc w:val="both"/>
        <w:rPr>
          <w:rFonts w:ascii="Trebuchet MS" w:hAnsi="Trebuchet MS" w:cs="Arial"/>
        </w:rPr>
      </w:pPr>
      <w:r>
        <w:rPr>
          <w:rFonts w:ascii="Trebuchet MS" w:hAnsi="Trebuchet MS" w:cs="Arial"/>
        </w:rPr>
        <w:t>w przypadku dokonania wyboru najkorzystniejszej oferty złożonej przez Wykonawców wspólnie ubiegających się o udzielenie zamówienia, złożenia umowy regulującej współpracę tych podmiotów (np. umowa konsorcjum, umowa spółki cywilnej),</w:t>
      </w:r>
    </w:p>
    <w:p>
      <w:pPr>
        <w:pStyle w:val="40"/>
        <w:numPr>
          <w:ilvl w:val="0"/>
          <w:numId w:val="41"/>
        </w:numPr>
        <w:jc w:val="both"/>
        <w:rPr>
          <w:rFonts w:ascii="Trebuchet MS" w:hAnsi="Trebuchet MS" w:cs="Arial"/>
        </w:rPr>
      </w:pPr>
      <w:r>
        <w:rPr>
          <w:rFonts w:ascii="Trebuchet MS" w:hAnsi="Trebuchet MS" w:cs="Arial"/>
        </w:rPr>
        <w:t>złożenia dokumentu potwierdzającego ubezpieczenie Wykonawcy (wraz z potwierdzeniem jej opłacenia), w zakresie i na kwotę określoną w projektowanych postanowieniach umowy w sprawie zamówienia publicznego, które zostaną wprowadzone do treści tej umowy,</w:t>
      </w:r>
    </w:p>
    <w:p>
      <w:pPr>
        <w:pStyle w:val="40"/>
        <w:numPr>
          <w:ilvl w:val="0"/>
          <w:numId w:val="41"/>
        </w:numPr>
        <w:spacing w:line="276" w:lineRule="auto"/>
        <w:jc w:val="both"/>
        <w:rPr>
          <w:rFonts w:ascii="Trebuchet MS" w:hAnsi="Trebuchet MS" w:cs="Arial"/>
        </w:rPr>
      </w:pPr>
      <w:r>
        <w:rPr>
          <w:rFonts w:ascii="Trebuchet MS" w:hAnsi="Trebuchet MS" w:cs="Arial"/>
        </w:rPr>
        <w:t>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 lub dalszego podwykonawcy),</w:t>
      </w:r>
    </w:p>
    <w:p>
      <w:pPr>
        <w:pStyle w:val="40"/>
        <w:numPr>
          <w:ilvl w:val="0"/>
          <w:numId w:val="41"/>
        </w:numPr>
        <w:spacing w:line="276" w:lineRule="auto"/>
        <w:jc w:val="both"/>
        <w:rPr>
          <w:rFonts w:ascii="Trebuchet MS" w:hAnsi="Trebuchet MS" w:cs="Arial"/>
        </w:rPr>
      </w:pPr>
      <w:r>
        <w:rPr>
          <w:rFonts w:ascii="Trebuchet MS" w:hAnsi="Trebuchet MS" w:cs="Arial"/>
        </w:rPr>
        <w:t>złożenia innych oświadczeń lub dokumentów, które wynikają z projektowanych postanowień umowy w sprawie zamówienia publicznego, które zostaną wprowadzone do treści tej umowy.</w:t>
      </w:r>
    </w:p>
    <w:p>
      <w:pPr>
        <w:spacing w:line="276" w:lineRule="auto"/>
        <w:jc w:val="both"/>
        <w:rPr>
          <w:rFonts w:ascii="Trebuchet MS" w:hAnsi="Trebuchet MS" w:cs="Arial"/>
        </w:rPr>
      </w:pPr>
    </w:p>
    <w:p>
      <w:pPr>
        <w:pStyle w:val="40"/>
        <w:numPr>
          <w:ilvl w:val="3"/>
          <w:numId w:val="40"/>
        </w:numPr>
        <w:spacing w:line="276" w:lineRule="auto"/>
        <w:ind w:left="426" w:hanging="426"/>
        <w:jc w:val="both"/>
        <w:rPr>
          <w:rFonts w:ascii="Trebuchet MS" w:hAnsi="Trebuchet MS" w:cs="Arial"/>
          <w:b/>
        </w:rPr>
      </w:pPr>
      <w:r>
        <w:rPr>
          <w:rFonts w:ascii="Trebuchet MS" w:hAnsi="Trebuchet MS" w:cs="Arial"/>
          <w:b/>
        </w:rPr>
        <w:t>W przypadku, gdy Wykonawca nie złoży wymaganych przez Zamawiającego w ust. 3 niniejszego rozdziału SWZ oświadczeń lub dokumentów, oznaczać to będzie, iż Wykonawca uchyla się od zawarcia umowy. Zamawiający w takim przypadku postąpi zgodnie z dyspozycją zawartą w art. 263 ustawy.</w:t>
      </w:r>
    </w:p>
    <w:p>
      <w:pPr>
        <w:spacing w:line="276" w:lineRule="auto"/>
        <w:jc w:val="both"/>
        <w:rPr>
          <w:rFonts w:ascii="Trebuchet MS" w:hAnsi="Trebuchet MS" w:cs="Arial"/>
          <w:b/>
        </w:rPr>
      </w:pPr>
    </w:p>
    <w:p>
      <w:pPr>
        <w:pStyle w:val="40"/>
        <w:numPr>
          <w:ilvl w:val="0"/>
          <w:numId w:val="10"/>
        </w:numPr>
        <w:tabs>
          <w:tab w:val="left" w:pos="1701"/>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DOTYCZĄCE ZABEZPIECZENIA NALEŻYTEGO WYKONANIA UMOWY</w:t>
      </w:r>
    </w:p>
    <w:p>
      <w:pPr>
        <w:suppressAutoHyphens/>
        <w:autoSpaceDN w:val="0"/>
        <w:spacing w:line="288" w:lineRule="auto"/>
        <w:ind w:left="360"/>
        <w:jc w:val="both"/>
        <w:textAlignment w:val="baseline"/>
        <w:rPr>
          <w:rFonts w:ascii="Trebuchet MS" w:hAnsi="Trebuchet MS" w:cs="Arial"/>
          <w:kern w:val="3"/>
          <w:lang w:eastAsia="zh-CN"/>
        </w:rPr>
      </w:pPr>
    </w:p>
    <w:p>
      <w:pPr>
        <w:suppressAutoHyphens/>
        <w:autoSpaceDN w:val="0"/>
        <w:spacing w:line="288" w:lineRule="auto"/>
        <w:ind w:left="360"/>
        <w:jc w:val="both"/>
        <w:textAlignment w:val="baseline"/>
        <w:rPr>
          <w:rFonts w:ascii="Trebuchet MS" w:hAnsi="Trebuchet MS" w:cs="Arial"/>
          <w:kern w:val="3"/>
          <w:lang w:eastAsia="zh-CN"/>
        </w:rPr>
      </w:pPr>
      <w:r>
        <w:rPr>
          <w:rFonts w:ascii="Trebuchet MS" w:hAnsi="Trebuchet MS" w:cs="Arial"/>
          <w:kern w:val="3"/>
          <w:lang w:eastAsia="zh-CN"/>
        </w:rPr>
        <w:t xml:space="preserve">Zamawiający nie wymaga wniesienia przez Wykonawcę zabezpieczenia należytego wykonania umowy. </w:t>
      </w:r>
    </w:p>
    <w:p>
      <w:pPr>
        <w:pStyle w:val="14"/>
        <w:spacing w:line="360" w:lineRule="auto"/>
        <w:ind w:left="1701" w:hanging="1701"/>
        <w:rPr>
          <w:rFonts w:ascii="Trebuchet MS" w:hAnsi="Trebuchet MS" w:cs="Arial"/>
          <w:b/>
          <w:sz w:val="20"/>
        </w:rPr>
      </w:pPr>
    </w:p>
    <w:p>
      <w:pPr>
        <w:pStyle w:val="40"/>
        <w:numPr>
          <w:ilvl w:val="0"/>
          <w:numId w:val="10"/>
        </w:numPr>
        <w:tabs>
          <w:tab w:val="left" w:pos="1701"/>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POUCZENIE O ŚRODKACH OCHRONY PRAWNEJ PRZYSŁUGUJĄCYCH WYKONAWCY</w:t>
      </w:r>
    </w:p>
    <w:p>
      <w:pPr>
        <w:spacing w:line="276" w:lineRule="auto"/>
        <w:ind w:left="1701" w:right="28" w:hanging="1701"/>
        <w:jc w:val="both"/>
        <w:rPr>
          <w:rFonts w:ascii="Trebuchet MS" w:hAnsi="Trebuchet MS" w:cs="Arial"/>
          <w:b/>
          <w:sz w:val="18"/>
        </w:rPr>
      </w:pPr>
    </w:p>
    <w:p>
      <w:pPr>
        <w:numPr>
          <w:ilvl w:val="0"/>
          <w:numId w:val="42"/>
        </w:numPr>
        <w:tabs>
          <w:tab w:val="left" w:pos="0"/>
        </w:tabs>
        <w:spacing w:line="276" w:lineRule="auto"/>
        <w:ind w:left="425" w:right="28" w:hanging="425"/>
        <w:jc w:val="both"/>
        <w:rPr>
          <w:rFonts w:ascii="Trebuchet MS" w:hAnsi="Trebuchet MS" w:cs="Arial"/>
          <w:b/>
        </w:rPr>
      </w:pPr>
      <w:r>
        <w:rPr>
          <w:rFonts w:ascii="Trebuchet MS" w:hAnsi="Trebuchet MS" w:cs="Arial"/>
        </w:rPr>
        <w:t xml:space="preserve">Zasady, terminy oraz sposób korzystania ze środków ochrony prawnej szczegółowo regulują przepisy </w:t>
      </w:r>
      <w:r>
        <w:rPr>
          <w:rFonts w:ascii="Trebuchet MS" w:hAnsi="Trebuchet MS" w:cs="Arial"/>
          <w:b/>
        </w:rPr>
        <w:t>działu IX ustawy</w:t>
      </w:r>
      <w:r>
        <w:rPr>
          <w:rFonts w:ascii="Trebuchet MS" w:hAnsi="Trebuchet MS" w:cs="Arial"/>
        </w:rPr>
        <w:t xml:space="preserve"> – Środki ochrony prawnej (</w:t>
      </w:r>
      <w:r>
        <w:rPr>
          <w:rFonts w:ascii="Trebuchet MS" w:hAnsi="Trebuchet MS" w:cs="Arial"/>
          <w:b/>
        </w:rPr>
        <w:t>art. 505 – 590 ustawy</w:t>
      </w:r>
      <w:r>
        <w:rPr>
          <w:rFonts w:ascii="Trebuchet MS" w:hAnsi="Trebuchet MS" w:cs="Arial"/>
        </w:rPr>
        <w:t>)</w:t>
      </w:r>
      <w:r>
        <w:rPr>
          <w:rFonts w:ascii="Trebuchet MS" w:hAnsi="Trebuchet MS" w:cs="Arial"/>
          <w:b/>
        </w:rPr>
        <w:t>.</w:t>
      </w:r>
    </w:p>
    <w:p>
      <w:pPr>
        <w:spacing w:line="276" w:lineRule="auto"/>
        <w:ind w:right="28"/>
        <w:jc w:val="both"/>
        <w:rPr>
          <w:rFonts w:ascii="Trebuchet MS" w:hAnsi="Trebuchet MS" w:cs="Arial"/>
          <w:b/>
          <w:u w:val="single"/>
        </w:rPr>
      </w:pPr>
    </w:p>
    <w:p>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rPr>
        <w:t>Środki ochrony prawnej przysługują Wykonawcy oraz innemu podmiotowi, jeżeli ma lub miał interes w uzyskaniu zamówienia oraz poniósł lub może ponieść szkodę w wyniku naruszenia przez zamawiającego przepisów ustawy</w:t>
      </w:r>
      <w:r>
        <w:rPr>
          <w:rFonts w:ascii="Trebuchet MS" w:hAnsi="Trebuchet MS" w:cs="Arial"/>
        </w:rPr>
        <w:t>.</w:t>
      </w:r>
    </w:p>
    <w:p>
      <w:pPr>
        <w:tabs>
          <w:tab w:val="left" w:pos="900"/>
        </w:tabs>
        <w:spacing w:line="276" w:lineRule="auto"/>
        <w:ind w:right="28"/>
        <w:jc w:val="both"/>
        <w:rPr>
          <w:rFonts w:ascii="Trebuchet MS" w:hAnsi="Trebuchet MS" w:cs="Arial"/>
        </w:rPr>
      </w:pPr>
    </w:p>
    <w:p>
      <w:pPr>
        <w:numPr>
          <w:ilvl w:val="0"/>
          <w:numId w:val="42"/>
        </w:numPr>
        <w:tabs>
          <w:tab w:val="left" w:pos="900"/>
        </w:tabs>
        <w:spacing w:line="276" w:lineRule="auto"/>
        <w:ind w:left="425" w:right="28" w:hanging="425"/>
        <w:jc w:val="both"/>
        <w:rPr>
          <w:rFonts w:ascii="Trebuchet MS" w:hAnsi="Trebuchet MS" w:cs="Arial"/>
        </w:rPr>
      </w:pPr>
      <w:r>
        <w:rPr>
          <w:rFonts w:ascii="Trebuchet MS" w:hAnsi="Trebuchet M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Pr>
          <w:rFonts w:ascii="Trebuchet MS" w:hAnsi="Trebuchet MS" w:cs="Arial"/>
        </w:rPr>
        <w:t>.</w:t>
      </w:r>
    </w:p>
    <w:p>
      <w:pPr>
        <w:tabs>
          <w:tab w:val="left" w:pos="720"/>
        </w:tabs>
        <w:spacing w:line="276" w:lineRule="auto"/>
        <w:ind w:right="28"/>
        <w:jc w:val="both"/>
        <w:rPr>
          <w:rFonts w:ascii="Trebuchet MS" w:hAnsi="Trebuchet MS" w:cs="Arial"/>
        </w:rPr>
      </w:pPr>
    </w:p>
    <w:p>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przysługuje na:</w:t>
      </w:r>
    </w:p>
    <w:p>
      <w:pPr>
        <w:tabs>
          <w:tab w:val="left" w:pos="900"/>
        </w:tabs>
        <w:spacing w:line="276" w:lineRule="auto"/>
        <w:ind w:right="28"/>
        <w:jc w:val="both"/>
        <w:rPr>
          <w:rFonts w:ascii="Trebuchet MS" w:hAnsi="Trebuchet MS" w:cs="Arial"/>
          <w:sz w:val="10"/>
          <w:szCs w:val="10"/>
        </w:rPr>
      </w:pPr>
    </w:p>
    <w:p>
      <w:pPr>
        <w:tabs>
          <w:tab w:val="left" w:pos="851"/>
        </w:tabs>
        <w:spacing w:line="276" w:lineRule="auto"/>
        <w:ind w:left="851" w:hanging="425"/>
        <w:jc w:val="both"/>
        <w:rPr>
          <w:rFonts w:ascii="Trebuchet MS" w:hAnsi="Trebuchet MS"/>
        </w:rPr>
      </w:pPr>
      <w:r>
        <w:rPr>
          <w:rFonts w:ascii="Trebuchet MS" w:hAnsi="Trebuchet MS"/>
        </w:rPr>
        <w:t xml:space="preserve">1) </w:t>
      </w:r>
      <w:r>
        <w:rPr>
          <w:rFonts w:ascii="Trebuchet MS" w:hAnsi="Trebuchet MS"/>
        </w:rPr>
        <w:tab/>
      </w:r>
      <w:r>
        <w:rPr>
          <w:rFonts w:ascii="Trebuchet MS" w:hAnsi="Trebuchet MS"/>
        </w:rPr>
        <w:t>niezgodną z przepisami ustawy czynność zamawiającego, podjętą w postępowaniu o udzielenie zamówienia, o zawarcie umowy ramowej, dynamicznym systemie zakupów, systemie kwalifikowania wykonawców lub konkursie, w tym na projektowane postanowienie umowy;</w:t>
      </w:r>
    </w:p>
    <w:p>
      <w:pPr>
        <w:spacing w:line="276" w:lineRule="auto"/>
        <w:ind w:left="851" w:hanging="425"/>
        <w:jc w:val="both"/>
        <w:rPr>
          <w:rFonts w:ascii="Trebuchet MS" w:hAnsi="Trebuchet MS"/>
        </w:rPr>
      </w:pPr>
      <w:r>
        <w:rPr>
          <w:rFonts w:ascii="Trebuchet MS" w:hAnsi="Trebuchet MS"/>
        </w:rPr>
        <w:t xml:space="preserve">2) </w:t>
      </w:r>
      <w:r>
        <w:rPr>
          <w:rFonts w:ascii="Trebuchet MS" w:hAnsi="Trebuchet MS"/>
        </w:rPr>
        <w:tab/>
      </w:r>
      <w:r>
        <w:rPr>
          <w:rFonts w:ascii="Trebuchet MS" w:hAnsi="Trebuchet MS"/>
        </w:rPr>
        <w:t>zaniechanie czynności w postępowaniu o udzielenie zamówienia, o zawarcie umowy ramowej, dynamicznym systemie zakupów, systemie kwalifikowania wykonawców lub konkursie, do której zamawiający był obowiązany na podstawie ustawy;</w:t>
      </w:r>
    </w:p>
    <w:p>
      <w:pPr>
        <w:spacing w:line="276" w:lineRule="auto"/>
        <w:ind w:left="851" w:hanging="425"/>
        <w:jc w:val="both"/>
        <w:rPr>
          <w:rFonts w:ascii="Trebuchet MS" w:hAnsi="Trebuchet MS"/>
        </w:rPr>
      </w:pPr>
      <w:r>
        <w:rPr>
          <w:rFonts w:ascii="Trebuchet MS" w:hAnsi="Trebuchet MS"/>
        </w:rPr>
        <w:t xml:space="preserve">3) </w:t>
      </w:r>
      <w:r>
        <w:rPr>
          <w:rFonts w:ascii="Trebuchet MS" w:hAnsi="Trebuchet MS"/>
        </w:rPr>
        <w:tab/>
      </w:r>
      <w:r>
        <w:rPr>
          <w:rFonts w:ascii="Trebuchet MS" w:hAnsi="Trebuchet MS"/>
        </w:rPr>
        <w:t>zaniechanie przeprowadzenia postępowania o udzielenie zamówienia lub zorganizowania konkursu na podstawie ustawy, mimo że zamawiający był do tego obowiązany.</w:t>
      </w:r>
    </w:p>
    <w:p>
      <w:pPr>
        <w:spacing w:line="276" w:lineRule="auto"/>
        <w:ind w:left="851" w:hanging="425"/>
        <w:jc w:val="both"/>
        <w:rPr>
          <w:rFonts w:ascii="Trebuchet MS" w:hAnsi="Trebuchet MS"/>
        </w:rPr>
      </w:pPr>
    </w:p>
    <w:p>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wnosi się do Prezesa Izby.</w:t>
      </w:r>
    </w:p>
    <w:p>
      <w:pPr>
        <w:tabs>
          <w:tab w:val="left" w:pos="900"/>
        </w:tabs>
        <w:spacing w:line="276" w:lineRule="auto"/>
        <w:ind w:right="28"/>
        <w:jc w:val="both"/>
        <w:rPr>
          <w:rFonts w:ascii="Trebuchet MS" w:hAnsi="Trebuchet MS" w:cs="Arial"/>
        </w:rPr>
      </w:pPr>
    </w:p>
    <w:p>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pPr>
        <w:spacing w:line="276" w:lineRule="auto"/>
        <w:rPr>
          <w:rFonts w:ascii="Trebuchet MS" w:hAnsi="Trebuchet MS" w:cs="Arial"/>
        </w:rPr>
      </w:pPr>
    </w:p>
    <w:p>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pPr>
        <w:spacing w:line="276" w:lineRule="auto"/>
        <w:rPr>
          <w:rFonts w:ascii="Trebuchet MS" w:hAnsi="Trebuchet MS" w:cs="Arial"/>
        </w:rPr>
      </w:pPr>
    </w:p>
    <w:p>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Zgodnie z art. 515 ustawy, odwołanie wnosi się:</w:t>
      </w:r>
    </w:p>
    <w:p>
      <w:pPr>
        <w:spacing w:line="276" w:lineRule="auto"/>
        <w:rPr>
          <w:rFonts w:ascii="Trebuchet MS" w:hAnsi="Trebuchet MS" w:cs="Arial"/>
        </w:rPr>
      </w:pPr>
    </w:p>
    <w:p>
      <w:pPr>
        <w:spacing w:line="276" w:lineRule="auto"/>
        <w:jc w:val="both"/>
        <w:rPr>
          <w:rFonts w:ascii="Trebuchet MS" w:hAnsi="Trebuchet MS"/>
        </w:rPr>
      </w:pPr>
      <w:r>
        <w:rPr>
          <w:rFonts w:ascii="Trebuchet MS" w:hAnsi="Trebuchet MS"/>
        </w:rPr>
        <w:t>„1. Odwołanie wnosi się:</w:t>
      </w:r>
    </w:p>
    <w:p>
      <w:pPr>
        <w:spacing w:line="276" w:lineRule="auto"/>
        <w:jc w:val="both"/>
        <w:rPr>
          <w:rFonts w:ascii="Trebuchet MS" w:hAnsi="Trebuchet MS"/>
        </w:rPr>
      </w:pPr>
    </w:p>
    <w:p>
      <w:pPr>
        <w:spacing w:line="276" w:lineRule="auto"/>
        <w:ind w:left="373"/>
        <w:jc w:val="both"/>
        <w:rPr>
          <w:rFonts w:ascii="Trebuchet MS" w:hAnsi="Trebuchet MS"/>
        </w:rPr>
      </w:pPr>
      <w:r>
        <w:rPr>
          <w:rFonts w:ascii="Trebuchet MS" w:hAnsi="Trebuchet MS"/>
        </w:rPr>
        <w:t>1) w przypadku zamówień, których wartość jest równa albo przekracza progi unijne, w terminie:</w:t>
      </w:r>
    </w:p>
    <w:p>
      <w:pPr>
        <w:spacing w:line="276" w:lineRule="auto"/>
        <w:ind w:left="746"/>
        <w:jc w:val="both"/>
        <w:rPr>
          <w:rFonts w:ascii="Trebuchet MS" w:hAnsi="Trebuchet MS"/>
        </w:rPr>
      </w:pPr>
      <w:r>
        <w:rPr>
          <w:rFonts w:ascii="Trebuchet MS" w:hAnsi="Trebuchet MS"/>
        </w:rPr>
        <w:t>a) 10 dni od dnia przekazania informacji o czynności zamawiającego stanowiącej podstawę jego wniesienia, jeżeli informacja została przekazana przy użyciu środków komunikacji elektronicznej,</w:t>
      </w:r>
    </w:p>
    <w:p>
      <w:pPr>
        <w:spacing w:line="276" w:lineRule="auto"/>
        <w:ind w:left="746"/>
        <w:jc w:val="both"/>
        <w:rPr>
          <w:rFonts w:ascii="Trebuchet MS" w:hAnsi="Trebuchet MS"/>
        </w:rPr>
      </w:pPr>
      <w:r>
        <w:rPr>
          <w:rFonts w:ascii="Trebuchet MS" w:hAnsi="Trebuchet MS"/>
        </w:rPr>
        <w:t>b) 15 dni od dnia przekazania informacji o czynności zamawiającego stanowiącej podstawę jego wniesienia, jeżeli informacja została przekazana w sposób inny niż określony w lit. a;</w:t>
      </w:r>
    </w:p>
    <w:p>
      <w:pPr>
        <w:spacing w:line="276" w:lineRule="auto"/>
        <w:ind w:left="373"/>
        <w:jc w:val="both"/>
        <w:rPr>
          <w:rFonts w:ascii="Trebuchet MS" w:hAnsi="Trebuchet MS"/>
        </w:rPr>
      </w:pPr>
      <w:r>
        <w:rPr>
          <w:rFonts w:ascii="Trebuchet MS" w:hAnsi="Trebuchet MS"/>
        </w:rPr>
        <w:t>2) w przypadku zamówień, których wartość jest mniejsza niż progi unijne, w terminie:</w:t>
      </w:r>
    </w:p>
    <w:p>
      <w:pPr>
        <w:spacing w:line="276" w:lineRule="auto"/>
        <w:ind w:left="746"/>
        <w:jc w:val="both"/>
        <w:rPr>
          <w:rFonts w:ascii="Trebuchet MS" w:hAnsi="Trebuchet MS"/>
        </w:rPr>
      </w:pPr>
      <w:r>
        <w:rPr>
          <w:rFonts w:ascii="Trebuchet MS" w:hAnsi="Trebuchet MS"/>
        </w:rPr>
        <w:t>a) 5 dni od dnia przekazania informacji o czynności zamawiającego stanowiącej podstawę jego wniesienia, jeżeli informacja została przekazana przy użyciu środków komunikacji elektronicznej,</w:t>
      </w:r>
    </w:p>
    <w:p>
      <w:pPr>
        <w:spacing w:line="276" w:lineRule="auto"/>
        <w:ind w:left="746"/>
        <w:jc w:val="both"/>
        <w:rPr>
          <w:rFonts w:ascii="Trebuchet MS" w:hAnsi="Trebuchet MS"/>
        </w:rPr>
      </w:pPr>
      <w:r>
        <w:rPr>
          <w:rFonts w:ascii="Trebuchet MS" w:hAnsi="Trebuchet MS"/>
        </w:rPr>
        <w:t>b) 10 dni od dnia przekazania informacji o czynności zamawiającego stanowiącej podstawę jego wniesienia, jeżeli informacja została przekazana w sposób inny niż określony w lit. a.</w:t>
      </w:r>
    </w:p>
    <w:p>
      <w:pPr>
        <w:spacing w:line="276" w:lineRule="auto"/>
        <w:jc w:val="both"/>
        <w:rPr>
          <w:rFonts w:ascii="Trebuchet MS" w:hAnsi="Trebuchet MS"/>
        </w:rPr>
      </w:pPr>
      <w:r>
        <w:rPr>
          <w:rFonts w:ascii="Trebuchet MS" w:hAnsi="Trebuchet MS"/>
        </w:rPr>
        <w:t>2. Odwołanie wobec treści ogłoszenia wszczynającego postępowanie o udzielenie zamówienia lub konkurs lub wobec treści dokumentów zamówienia wnosi się w terminie:</w:t>
      </w:r>
    </w:p>
    <w:p>
      <w:pPr>
        <w:spacing w:line="276" w:lineRule="auto"/>
        <w:ind w:left="373"/>
        <w:jc w:val="both"/>
        <w:rPr>
          <w:rFonts w:ascii="Trebuchet MS" w:hAnsi="Trebuchet MS"/>
        </w:rPr>
      </w:pPr>
      <w:r>
        <w:rPr>
          <w:rFonts w:ascii="Trebuchet MS" w:hAnsi="Trebuchet MS"/>
        </w:rPr>
        <w:t>1) 10 dni od dnia publikacji ogłoszenia w Dzienniku Urzędowym Unii Europejskiej lub zamieszczenia dokumentów zamówienia na stronie internetowej, w przypadku zamówień, których wartość jest równa albo przekracza progi unijne;</w:t>
      </w:r>
    </w:p>
    <w:p>
      <w:pPr>
        <w:spacing w:line="276" w:lineRule="auto"/>
        <w:ind w:left="373"/>
        <w:jc w:val="both"/>
        <w:rPr>
          <w:rFonts w:ascii="Trebuchet MS" w:hAnsi="Trebuchet MS"/>
        </w:rPr>
      </w:pPr>
      <w:r>
        <w:rPr>
          <w:rFonts w:ascii="Trebuchet MS" w:hAnsi="Trebuchet MS"/>
        </w:rPr>
        <w:t>2) 5 dni od dnia zamieszczenia ogłoszenia w Biuletynie Zamówień Publicznych lub dokumentów zamówienia na stronie internetowej, w przypadku zamówień, których wartość jest mniejsza niż progi unijne.</w:t>
      </w:r>
    </w:p>
    <w:p>
      <w:pPr>
        <w:spacing w:line="276" w:lineRule="auto"/>
        <w:jc w:val="both"/>
        <w:rPr>
          <w:rFonts w:ascii="Trebuchet MS" w:hAnsi="Trebuchet MS"/>
        </w:rPr>
      </w:pPr>
      <w:r>
        <w:rPr>
          <w:rFonts w:ascii="Trebuchet MS" w:hAnsi="Trebuchet MS"/>
        </w:rPr>
        <w:t>3. Odwołanie w przypadkach innych niż określone w ust. 1 i 2 wnosi się w terminie:</w:t>
      </w:r>
    </w:p>
    <w:p>
      <w:pPr>
        <w:spacing w:line="276" w:lineRule="auto"/>
        <w:ind w:left="373"/>
        <w:jc w:val="both"/>
        <w:rPr>
          <w:rFonts w:ascii="Trebuchet MS" w:hAnsi="Trebuchet MS"/>
        </w:rPr>
      </w:pPr>
      <w:r>
        <w:rPr>
          <w:rFonts w:ascii="Trebuchet MS" w:hAnsi="Trebuchet MS"/>
        </w:rPr>
        <w:t>1) 10 dni od dnia, w którym powzięto lub przy zachowaniu należytej staranności można było powziąć wiadomość o okolicznościach stanowiących podstawę jego wniesienia, w przypadku zamówień, których wartość jest równa albo przekracza progi unijne;</w:t>
      </w:r>
    </w:p>
    <w:p>
      <w:pPr>
        <w:spacing w:line="276" w:lineRule="auto"/>
        <w:ind w:left="373"/>
        <w:jc w:val="both"/>
        <w:rPr>
          <w:rFonts w:ascii="Trebuchet MS" w:hAnsi="Trebuchet MS"/>
        </w:rPr>
      </w:pPr>
      <w:r>
        <w:rPr>
          <w:rFonts w:ascii="Trebuchet MS" w:hAnsi="Trebuchet MS"/>
        </w:rPr>
        <w:t>2) 5 dni od dnia, w którym powzięto lub przy zachowaniu należytej staranności można było powziąć wiadomość o okolicznościach stanowiących podstawę jego wniesienia, w przypadku zamówień, których wartość jest mniejsza niż progi unijne.</w:t>
      </w:r>
    </w:p>
    <w:p>
      <w:pPr>
        <w:spacing w:line="276" w:lineRule="auto"/>
        <w:jc w:val="both"/>
        <w:rPr>
          <w:rFonts w:ascii="Trebuchet MS" w:hAnsi="Trebuchet MS"/>
        </w:rPr>
      </w:pPr>
      <w:r>
        <w:rPr>
          <w:rFonts w:ascii="Trebuchet MS" w:hAnsi="Trebuchet MS"/>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pPr>
        <w:spacing w:line="276" w:lineRule="auto"/>
        <w:ind w:left="373"/>
        <w:jc w:val="both"/>
        <w:rPr>
          <w:rFonts w:ascii="Trebuchet MS" w:hAnsi="Trebuchet MS"/>
        </w:rPr>
      </w:pPr>
      <w:r>
        <w:rPr>
          <w:rFonts w:ascii="Trebuchet MS" w:hAnsi="Trebuchet MS"/>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pPr>
        <w:spacing w:line="276" w:lineRule="auto"/>
        <w:ind w:left="373"/>
        <w:jc w:val="both"/>
        <w:rPr>
          <w:rFonts w:ascii="Trebuchet MS" w:hAnsi="Trebuchet MS"/>
        </w:rPr>
      </w:pPr>
      <w:r>
        <w:rPr>
          <w:rFonts w:ascii="Trebuchet MS" w:hAnsi="Trebuchet MS"/>
        </w:rPr>
        <w:t>2) 6 miesięcy od dnia zawarcia umowy, jeżeli zamawiający:</w:t>
      </w:r>
    </w:p>
    <w:p>
      <w:pPr>
        <w:spacing w:line="276" w:lineRule="auto"/>
        <w:ind w:left="746"/>
        <w:jc w:val="both"/>
        <w:rPr>
          <w:rFonts w:ascii="Trebuchet MS" w:hAnsi="Trebuchet MS"/>
        </w:rPr>
      </w:pPr>
      <w:r>
        <w:rPr>
          <w:rFonts w:ascii="Trebuchet MS" w:hAnsi="Trebuchet MS"/>
        </w:rPr>
        <w:t>a) nie opublikował w Dzienniku Urzędowym Unii Europejskiej ogłoszenia o udzieleniu zamówienia albo</w:t>
      </w:r>
    </w:p>
    <w:p>
      <w:pPr>
        <w:spacing w:line="276" w:lineRule="auto"/>
        <w:ind w:left="746"/>
        <w:jc w:val="both"/>
        <w:rPr>
          <w:rFonts w:ascii="Trebuchet MS" w:hAnsi="Trebuchet MS"/>
        </w:rPr>
      </w:pPr>
      <w:r>
        <w:rPr>
          <w:rFonts w:ascii="Trebuchet MS" w:hAnsi="Trebuchet MS"/>
        </w:rPr>
        <w:t>b) opublikował w Dzienniku Urzędowym Unii Europejskiej ogłoszenie o udzieleniu zamówienia, które nie zawiera uzasadnienia udzielenia zamówienia w trybie negocjacji bez ogłoszenia albo zamówienia z wolnej ręki;</w:t>
      </w:r>
    </w:p>
    <w:p>
      <w:pPr>
        <w:spacing w:line="276" w:lineRule="auto"/>
        <w:ind w:left="373"/>
        <w:jc w:val="both"/>
        <w:rPr>
          <w:rFonts w:ascii="Trebuchet MS" w:hAnsi="Trebuchet MS"/>
        </w:rPr>
      </w:pPr>
      <w:r>
        <w:rPr>
          <w:rFonts w:ascii="Trebuchet MS" w:hAnsi="Trebuchet MS"/>
        </w:rPr>
        <w:t>3) miesiąca od dnia zawarcia umowy, jeżeli zamawiający:</w:t>
      </w:r>
    </w:p>
    <w:p>
      <w:pPr>
        <w:spacing w:line="276" w:lineRule="auto"/>
        <w:ind w:left="746"/>
        <w:jc w:val="both"/>
        <w:rPr>
          <w:rFonts w:ascii="Trebuchet MS" w:hAnsi="Trebuchet MS"/>
        </w:rPr>
      </w:pPr>
      <w:r>
        <w:rPr>
          <w:rFonts w:ascii="Trebuchet MS" w:hAnsi="Trebuchet MS"/>
        </w:rPr>
        <w:t>a) nie zamieścił w Biuletynie Zamówień Publicznych ogłoszenia o wyniku postępowania albo</w:t>
      </w:r>
    </w:p>
    <w:p>
      <w:pPr>
        <w:spacing w:line="276" w:lineRule="auto"/>
        <w:ind w:left="746"/>
        <w:jc w:val="both"/>
        <w:rPr>
          <w:rFonts w:ascii="Trebuchet MS" w:hAnsi="Trebuchet MS"/>
        </w:rPr>
      </w:pPr>
      <w:r>
        <w:rPr>
          <w:rFonts w:ascii="Trebuchet MS" w:hAnsi="Trebuchet MS"/>
        </w:rPr>
        <w:t>b) zamieścił w Biuletynie Zamówień Publicznych ogłoszenie o wyniku postępowania, które nie zawiera uzasadnienia udzielenia zamówienia w trybie negocjacji bez ogłoszenia albo zamówienia z wolnej ręki.”</w:t>
      </w:r>
    </w:p>
    <w:p>
      <w:pPr>
        <w:spacing w:line="276" w:lineRule="auto"/>
        <w:rPr>
          <w:rFonts w:ascii="Trebuchet MS" w:hAnsi="Trebuchet MS" w:cs="Arial"/>
        </w:rPr>
      </w:pPr>
    </w:p>
    <w:p>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 xml:space="preserve">Na orzeczenie Izby oraz </w:t>
      </w:r>
      <w:r>
        <w:rPr>
          <w:rFonts w:ascii="Trebuchet MS" w:hAnsi="Trebuchet MS"/>
        </w:rPr>
        <w:t>postanowienie Prezesa Izby, o którym mowa w art. 519 ust. 1 ustawy, stronom oraz uczestnikom postępowania odwoławczego przysługuje skarga do sądu. Skargę wnosi się do Sądu Okręgowego w Warszawie – sądu zamówień publicznych, zwanego „sądem zamówień publicznych”.</w:t>
      </w:r>
    </w:p>
    <w:p>
      <w:pPr>
        <w:tabs>
          <w:tab w:val="left" w:pos="900"/>
        </w:tabs>
        <w:spacing w:line="276" w:lineRule="auto"/>
        <w:ind w:right="28"/>
        <w:jc w:val="both"/>
        <w:rPr>
          <w:rFonts w:ascii="Trebuchet MS" w:hAnsi="Trebuchet MS" w:cs="Arial"/>
        </w:rPr>
      </w:pPr>
    </w:p>
    <w:p>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w:t>
      </w:r>
      <w:r>
        <w:t xml:space="preserve"> </w:t>
      </w:r>
      <w:r>
        <w:rPr>
          <w:rFonts w:ascii="Trebuchet MS" w:hAnsi="Trebuchet MS"/>
        </w:rPr>
        <w:t>albo wysłanie na adres do doręczeń elektronicznych, o których mowa w art. 2 pkt 1 ustawy z dnia 18 listopada 2020r. o doręczeniach elektronicznych, jest równoznaczne z jej wniesieniem.</w:t>
      </w:r>
    </w:p>
    <w:p>
      <w:pPr>
        <w:spacing w:line="276" w:lineRule="auto"/>
        <w:rPr>
          <w:rFonts w:ascii="Trebuchet MS" w:hAnsi="Trebuchet MS" w:cs="Arial"/>
        </w:rPr>
      </w:pPr>
    </w:p>
    <w:p>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rPr>
        <w:t>Od wyroku sądu lub postanowienia kończącego postępowanie w sprawie przysługuje skarga kasacyjna do Sądu Najwyższego.</w:t>
      </w:r>
    </w:p>
    <w:p>
      <w:pPr>
        <w:tabs>
          <w:tab w:val="left" w:pos="900"/>
        </w:tabs>
        <w:spacing w:line="276" w:lineRule="auto"/>
        <w:ind w:left="425" w:right="28"/>
        <w:jc w:val="both"/>
        <w:rPr>
          <w:rFonts w:ascii="Trebuchet MS" w:hAnsi="Trebuchet MS" w:cs="Arial"/>
        </w:rPr>
      </w:pPr>
    </w:p>
    <w:p>
      <w:pPr>
        <w:pStyle w:val="40"/>
        <w:rPr>
          <w:rFonts w:ascii="Trebuchet MS" w:hAnsi="Trebuchet MS" w:cs="Arial"/>
        </w:rPr>
      </w:pPr>
    </w:p>
    <w:p>
      <w:pPr>
        <w:pStyle w:val="40"/>
        <w:numPr>
          <w:ilvl w:val="0"/>
          <w:numId w:val="10"/>
        </w:numPr>
        <w:tabs>
          <w:tab w:val="left" w:pos="1701"/>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W SPRAWIE ZWROTU KOSZTÓW W POSTĘPOWANIU</w:t>
      </w:r>
    </w:p>
    <w:p>
      <w:pPr>
        <w:spacing w:line="276" w:lineRule="auto"/>
        <w:jc w:val="both"/>
        <w:rPr>
          <w:rFonts w:ascii="Trebuchet MS" w:hAnsi="Trebuchet MS" w:cs="Arial"/>
          <w:sz w:val="18"/>
        </w:rPr>
      </w:pPr>
    </w:p>
    <w:p>
      <w:pPr>
        <w:spacing w:line="276" w:lineRule="auto"/>
        <w:jc w:val="both"/>
        <w:rPr>
          <w:rFonts w:ascii="Trebuchet MS" w:hAnsi="Trebuchet MS" w:cs="Arial"/>
        </w:rPr>
      </w:pPr>
      <w:r>
        <w:rPr>
          <w:rFonts w:ascii="Trebuchet MS" w:hAnsi="Trebuchet MS" w:cs="Arial"/>
        </w:rPr>
        <w:t>Koszty udziału w postępowaniu, a w szczególności koszty sporządzenia oferty, pokrywa Wykonawca. Zamawiający nie przewiduje zwrotu kosztów udziału w postępowaniu (za wyjątkiem zaistnienia okoliczności, o której mowa w art. 261 ustawy).</w:t>
      </w:r>
    </w:p>
    <w:p>
      <w:pPr>
        <w:pStyle w:val="40"/>
        <w:tabs>
          <w:tab w:val="left" w:pos="1701"/>
        </w:tabs>
        <w:spacing w:line="360" w:lineRule="auto"/>
        <w:ind w:left="720" w:right="28"/>
        <w:jc w:val="both"/>
        <w:rPr>
          <w:rFonts w:ascii="Trebuchet MS" w:hAnsi="Trebuchet MS" w:cs="Arial"/>
          <w:b/>
          <w:sz w:val="22"/>
          <w:szCs w:val="22"/>
          <w:u w:val="single"/>
        </w:rPr>
      </w:pPr>
    </w:p>
    <w:p>
      <w:pPr>
        <w:pStyle w:val="40"/>
        <w:numPr>
          <w:ilvl w:val="0"/>
          <w:numId w:val="10"/>
        </w:numPr>
        <w:tabs>
          <w:tab w:val="left" w:pos="1701"/>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DOTYCZĄCA OCHRONY DANYCH ODOBOWYCH – RODO</w:t>
      </w:r>
    </w:p>
    <w:p>
      <w:pPr>
        <w:spacing w:line="276" w:lineRule="auto"/>
        <w:jc w:val="both"/>
        <w:rPr>
          <w:rFonts w:ascii="Trebuchet MS" w:hAnsi="Trebuchet MS" w:cs="Arial"/>
        </w:rPr>
      </w:pPr>
      <w:r>
        <w:rPr>
          <w:rFonts w:ascii="Trebuchet MS" w:hAnsi="Trebuchet MS" w:cs="Arial"/>
        </w:rPr>
        <w:t xml:space="preserve">Zgodnie z art. 13 ust. 1 i 2 rozporządzenia Parlamentu Europejskiego i Rady (UE) 2016/679 z dnia </w:t>
      </w:r>
      <w:r>
        <w:rPr>
          <w:rFonts w:ascii="Trebuchet MS" w:hAnsi="Trebuchet MS" w:cs="Arial"/>
        </w:rPr>
        <w:br w:type="textWrapping"/>
      </w:r>
      <w:r>
        <w:rPr>
          <w:rFonts w:ascii="Trebuchet MS" w:hAnsi="Trebuchet MS" w:cs="Arial"/>
        </w:rPr>
        <w:t>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pPr>
        <w:numPr>
          <w:ilvl w:val="0"/>
          <w:numId w:val="43"/>
        </w:numPr>
        <w:spacing w:line="276" w:lineRule="auto"/>
        <w:ind w:left="567" w:hanging="425"/>
        <w:contextualSpacing/>
        <w:jc w:val="both"/>
        <w:rPr>
          <w:rFonts w:ascii="Trebuchet MS" w:hAnsi="Trebuchet MS" w:cs="Arial"/>
          <w:i/>
        </w:rPr>
      </w:pPr>
      <w:r>
        <w:rPr>
          <w:rFonts w:ascii="Trebuchet MS" w:hAnsi="Trebuchet MS" w:cs="Arial"/>
        </w:rPr>
        <w:t xml:space="preserve">administratorem Pani/Pana danych osobowych jest: </w:t>
      </w:r>
      <w:r>
        <w:rPr>
          <w:rFonts w:ascii="Trebuchet MS" w:hAnsi="Trebuchet MS" w:cs="Arial"/>
          <w:b/>
        </w:rPr>
        <w:t>Burmistrz Miasta i Gminy                 Wolbrom, ul. Krakowska 1, 32 – 340 Wolbrom</w:t>
      </w:r>
      <w:r>
        <w:rPr>
          <w:rFonts w:ascii="Trebuchet MS" w:hAnsi="Trebuchet MS" w:cs="Arial"/>
          <w:i/>
        </w:rPr>
        <w:t>;</w:t>
      </w:r>
    </w:p>
    <w:p>
      <w:pPr>
        <w:numPr>
          <w:ilvl w:val="0"/>
          <w:numId w:val="44"/>
        </w:numPr>
        <w:spacing w:line="276" w:lineRule="auto"/>
        <w:ind w:left="644" w:hanging="426"/>
        <w:contextualSpacing/>
        <w:jc w:val="both"/>
        <w:rPr>
          <w:rFonts w:ascii="Trebuchet MS" w:hAnsi="Trebuchet MS" w:cs="Arial"/>
        </w:rPr>
      </w:pPr>
      <w:r>
        <w:rPr>
          <w:rFonts w:ascii="Trebuchet MS" w:hAnsi="Trebuchet MS" w:cs="Arial"/>
        </w:rPr>
        <w:t xml:space="preserve">Administrator wyznaczył </w:t>
      </w:r>
      <w:r>
        <w:rPr>
          <w:rFonts w:ascii="Trebuchet MS" w:hAnsi="Trebuchet MS" w:cs="Arial"/>
          <w:b/>
        </w:rPr>
        <w:t>Inspektora Ochrony Danych</w:t>
      </w:r>
      <w:r>
        <w:rPr>
          <w:rFonts w:ascii="Trebuchet MS" w:hAnsi="Trebuchet MS" w:cs="Arial"/>
        </w:rPr>
        <w:t>, z którym może się Pani/Pan skontaktować w sprawach związanych z ochroną danych osobowych w następujący sposób:</w:t>
      </w:r>
    </w:p>
    <w:p>
      <w:pPr>
        <w:numPr>
          <w:ilvl w:val="1"/>
          <w:numId w:val="44"/>
        </w:numPr>
        <w:spacing w:line="276" w:lineRule="auto"/>
        <w:ind w:left="1134" w:hanging="567"/>
        <w:contextualSpacing/>
        <w:jc w:val="both"/>
        <w:rPr>
          <w:rFonts w:ascii="Trebuchet MS" w:hAnsi="Trebuchet MS" w:cs="Arial"/>
        </w:rPr>
      </w:pPr>
      <w:r>
        <w:rPr>
          <w:rFonts w:ascii="Trebuchet MS" w:hAnsi="Trebuchet MS" w:cs="Arial"/>
        </w:rPr>
        <w:t>pod adresem poczty elektronicznej:</w:t>
      </w:r>
      <w:r>
        <w:rPr>
          <w:rFonts w:ascii="Trebuchet MS" w:hAnsi="Trebuchet MS"/>
          <w:b/>
          <w:bCs/>
        </w:rPr>
        <w:t xml:space="preserve"> </w:t>
      </w:r>
      <w:r>
        <w:fldChar w:fldCharType="begin"/>
      </w:r>
      <w:r>
        <w:instrText xml:space="preserve"> HYPERLINK "mailto:info@umigwolbrom.pl" </w:instrText>
      </w:r>
      <w:r>
        <w:fldChar w:fldCharType="separate"/>
      </w:r>
      <w:r>
        <w:rPr>
          <w:rStyle w:val="31"/>
          <w:rFonts w:ascii="Trebuchet MS" w:hAnsi="Trebuchet MS"/>
        </w:rPr>
        <w:t>info@umigwolbrom.pl</w:t>
      </w:r>
      <w:r>
        <w:rPr>
          <w:rStyle w:val="31"/>
          <w:rFonts w:ascii="Trebuchet MS" w:hAnsi="Trebuchet MS"/>
        </w:rPr>
        <w:fldChar w:fldCharType="end"/>
      </w:r>
      <w:r>
        <w:rPr>
          <w:rFonts w:ascii="Trebuchet MS" w:hAnsi="Trebuchet MS"/>
        </w:rPr>
        <w:t xml:space="preserve"> </w:t>
      </w:r>
      <w:r>
        <w:rPr>
          <w:rFonts w:ascii="Trebuchet MS" w:hAnsi="Trebuchet MS"/>
          <w:b/>
        </w:rPr>
        <w:t>;</w:t>
      </w:r>
    </w:p>
    <w:p>
      <w:pPr>
        <w:numPr>
          <w:ilvl w:val="1"/>
          <w:numId w:val="44"/>
        </w:numPr>
        <w:spacing w:line="276" w:lineRule="auto"/>
        <w:ind w:left="1134" w:hanging="567"/>
        <w:contextualSpacing/>
        <w:jc w:val="both"/>
        <w:rPr>
          <w:rFonts w:ascii="Trebuchet MS" w:hAnsi="Trebuchet MS" w:cs="Arial"/>
        </w:rPr>
      </w:pPr>
      <w:r>
        <w:rPr>
          <w:rFonts w:ascii="Trebuchet MS" w:hAnsi="Trebuchet MS"/>
        </w:rPr>
        <w:t>pisemnie na adres siedziby Administratora</w:t>
      </w:r>
      <w:r>
        <w:rPr>
          <w:rFonts w:ascii="Trebuchet MS" w:hAnsi="Trebuchet MS"/>
          <w:b/>
        </w:rPr>
        <w:t>;</w:t>
      </w:r>
    </w:p>
    <w:p>
      <w:pPr>
        <w:numPr>
          <w:ilvl w:val="0"/>
          <w:numId w:val="44"/>
        </w:numPr>
        <w:spacing w:line="276" w:lineRule="auto"/>
        <w:contextualSpacing/>
        <w:jc w:val="both"/>
        <w:rPr>
          <w:rFonts w:ascii="Trebuchet MS" w:hAnsi="Trebuchet MS" w:cs="Arial"/>
        </w:rPr>
      </w:pPr>
      <w:r>
        <w:rPr>
          <w:rFonts w:ascii="Trebuchet MS" w:hAnsi="Trebuchet MS" w:cs="Arial"/>
        </w:rPr>
        <w:t>Pani/Pana dane osobowe przetwarzane będą na podstawie art. 6 ust. 1 lit. c</w:t>
      </w:r>
      <w:r>
        <w:rPr>
          <w:rFonts w:ascii="Trebuchet MS" w:hAnsi="Trebuchet MS" w:cs="Arial"/>
          <w:i/>
        </w:rPr>
        <w:t xml:space="preserve"> </w:t>
      </w:r>
      <w:r>
        <w:rPr>
          <w:rFonts w:ascii="Trebuchet MS" w:hAnsi="Trebuchet MS" w:cs="Arial"/>
        </w:rPr>
        <w:t xml:space="preserve">RODO w związku z przepisami ustawy z dnia 11 września 2019r. Prawo zamówień publicznych </w:t>
      </w:r>
      <w:r>
        <w:rPr>
          <w:rFonts w:ascii="Trebuchet MS" w:hAnsi="Trebuchet MS" w:cs="Arial"/>
        </w:rPr>
        <w:br w:type="textWrapping"/>
      </w:r>
      <w:r>
        <w:rPr>
          <w:rFonts w:ascii="Trebuchet MS" w:hAnsi="Trebuchet MS" w:cs="Arial"/>
        </w:rPr>
        <w:t>(tj. Dz.U. z 2023r. poz. 1605), dalej „ustawa PZP” w celu przeprowadzenia przedmiotowego postępowania o udzielenie zamówienia publicznego oraz jego rozstrzygnięcia, jak również zawarcia umowy w sprawie zamówienia publicznego i jego archiwizacji;</w:t>
      </w:r>
    </w:p>
    <w:p>
      <w:pPr>
        <w:numPr>
          <w:ilvl w:val="0"/>
          <w:numId w:val="44"/>
        </w:numPr>
        <w:spacing w:line="276" w:lineRule="auto"/>
        <w:ind w:left="644" w:hanging="426"/>
        <w:contextualSpacing/>
        <w:jc w:val="both"/>
        <w:rPr>
          <w:rFonts w:ascii="Trebuchet MS" w:hAnsi="Trebuchet MS" w:cs="Arial"/>
        </w:rPr>
      </w:pPr>
      <w:r>
        <w:rPr>
          <w:rFonts w:ascii="Trebuchet MS" w:hAnsi="Trebuchet MS" w:cs="Arial"/>
        </w:rPr>
        <w:t>odbiorcami Pani/Pana danych osobowych będą:</w:t>
      </w:r>
    </w:p>
    <w:p>
      <w:pPr>
        <w:pStyle w:val="40"/>
        <w:numPr>
          <w:ilvl w:val="0"/>
          <w:numId w:val="45"/>
        </w:numPr>
        <w:spacing w:line="276" w:lineRule="auto"/>
        <w:contextualSpacing/>
        <w:jc w:val="both"/>
        <w:rPr>
          <w:rFonts w:ascii="Trebuchet MS" w:hAnsi="Trebuchet MS" w:cs="Arial"/>
        </w:rPr>
      </w:pPr>
      <w:r>
        <w:rPr>
          <w:rFonts w:ascii="Trebuchet MS" w:hAnsi="Trebuchet MS" w:cs="Arial"/>
        </w:rPr>
        <w:t xml:space="preserve">osoby lub podmioty, którym udostępniona zostanie dokumentacja postępowania w oparciu o art. 18 oraz art. 74 ust. 1 Pzp; </w:t>
      </w:r>
    </w:p>
    <w:p>
      <w:pPr>
        <w:pStyle w:val="40"/>
        <w:numPr>
          <w:ilvl w:val="0"/>
          <w:numId w:val="45"/>
        </w:numPr>
        <w:jc w:val="both"/>
        <w:rPr>
          <w:rFonts w:ascii="Trebuchet MS" w:hAnsi="Trebuchet MS" w:cs="Arial"/>
        </w:rPr>
      </w:pPr>
      <w:r>
        <w:rPr>
          <w:rFonts w:ascii="Trebuchet MS" w:hAnsi="Trebuchet MS" w:cs="Arial"/>
        </w:rPr>
        <w:t>firma Open Nexus Sp. z o.o., Bolesława Krzywoustego 3, 61-441 Poznań, z którą administrator zawarł umowę na obsługę Platformy Przetargowej, na której prowadzone są postępowania o udzielenie zamówienia publicznego;</w:t>
      </w:r>
    </w:p>
    <w:p>
      <w:pPr>
        <w:pStyle w:val="40"/>
        <w:numPr>
          <w:ilvl w:val="0"/>
          <w:numId w:val="45"/>
        </w:numPr>
        <w:spacing w:line="276" w:lineRule="auto"/>
        <w:contextualSpacing/>
        <w:jc w:val="both"/>
        <w:rPr>
          <w:rFonts w:ascii="Trebuchet MS" w:hAnsi="Trebuchet MS" w:cs="Arial"/>
        </w:rPr>
      </w:pPr>
      <w:r>
        <w:rPr>
          <w:rFonts w:ascii="Trebuchet MS" w:hAnsi="Trebuchet MS" w:cs="Arial"/>
        </w:rPr>
        <w:t>podmiot uprawniony do obsługi doręczeń (Poczta Polska S.A.);</w:t>
      </w:r>
    </w:p>
    <w:p>
      <w:pPr>
        <w:pStyle w:val="40"/>
        <w:numPr>
          <w:ilvl w:val="0"/>
          <w:numId w:val="45"/>
        </w:numPr>
        <w:spacing w:line="276" w:lineRule="auto"/>
        <w:contextualSpacing/>
        <w:jc w:val="both"/>
        <w:rPr>
          <w:rFonts w:ascii="Trebuchet MS" w:hAnsi="Trebuchet MS" w:cs="Arial"/>
        </w:rPr>
      </w:pPr>
      <w:r>
        <w:rPr>
          <w:rFonts w:ascii="Trebuchet MS" w:hAnsi="Trebuchet MS" w:cs="Arial"/>
        </w:rPr>
        <w:t>podmioty, z którymi administrator zawarł umowę na świadczenie usług serwisowych dla użytkowanych w Urzędzie Miasta i Gminy systemów informatycznych;</w:t>
      </w:r>
    </w:p>
    <w:p>
      <w:pPr>
        <w:pStyle w:val="40"/>
        <w:spacing w:line="276" w:lineRule="auto"/>
        <w:ind w:left="1080"/>
        <w:contextualSpacing/>
        <w:jc w:val="both"/>
        <w:rPr>
          <w:rFonts w:ascii="Trebuchet MS" w:hAnsi="Trebuchet MS" w:cs="Arial"/>
        </w:rPr>
      </w:pPr>
    </w:p>
    <w:p>
      <w:pPr>
        <w:numPr>
          <w:ilvl w:val="0"/>
          <w:numId w:val="44"/>
        </w:numPr>
        <w:spacing w:line="276" w:lineRule="auto"/>
        <w:ind w:left="644" w:hanging="426"/>
        <w:contextualSpacing/>
        <w:jc w:val="both"/>
        <w:rPr>
          <w:rFonts w:ascii="Trebuchet MS" w:hAnsi="Trebuchet MS" w:cs="Arial"/>
        </w:rPr>
      </w:pPr>
      <w:r>
        <w:rPr>
          <w:rFonts w:ascii="Trebuchet MS" w:hAnsi="Trebuchet MS" w:cs="Arial"/>
        </w:rPr>
        <w:t>Pani/Pana dane osobowe będą przechowywane jedynie w okresie niezbędnym do spełnienia celu, dla którego zostały zebrane, a następnie w celach archiwalnych przechowywane będą przez 5 lat, chyba, że przepisy szczególne będą stanowić inaczej;</w:t>
      </w:r>
    </w:p>
    <w:p>
      <w:pPr>
        <w:numPr>
          <w:ilvl w:val="0"/>
          <w:numId w:val="44"/>
        </w:numPr>
        <w:spacing w:line="276" w:lineRule="auto"/>
        <w:ind w:left="644" w:hanging="426"/>
        <w:contextualSpacing/>
        <w:jc w:val="both"/>
        <w:rPr>
          <w:rFonts w:ascii="Trebuchet MS" w:hAnsi="Trebuchet MS" w:cs="Arial"/>
          <w:b/>
          <w:i/>
        </w:rPr>
      </w:pPr>
      <w:r>
        <w:rPr>
          <w:rFonts w:ascii="Trebuchet MS" w:hAnsi="Trebuchet MS"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pPr>
        <w:numPr>
          <w:ilvl w:val="0"/>
          <w:numId w:val="44"/>
        </w:numPr>
        <w:spacing w:line="276" w:lineRule="auto"/>
        <w:ind w:left="644" w:hanging="426"/>
        <w:contextualSpacing/>
        <w:jc w:val="both"/>
        <w:rPr>
          <w:rFonts w:ascii="Trebuchet MS" w:hAnsi="Trebuchet MS" w:cs="Arial"/>
        </w:rPr>
      </w:pPr>
      <w:r>
        <w:rPr>
          <w:rFonts w:ascii="Trebuchet MS" w:hAnsi="Trebuchet MS" w:cs="Arial"/>
        </w:rPr>
        <w:t>posiada Pani/Pan:</w:t>
      </w:r>
    </w:p>
    <w:p>
      <w:pPr>
        <w:numPr>
          <w:ilvl w:val="1"/>
          <w:numId w:val="44"/>
        </w:numPr>
        <w:spacing w:line="288" w:lineRule="auto"/>
        <w:contextualSpacing/>
        <w:jc w:val="both"/>
        <w:rPr>
          <w:rFonts w:ascii="Trebuchet MS" w:hAnsi="Trebuchet MS" w:cs="Arial"/>
          <w:b/>
          <w:i/>
        </w:rPr>
      </w:pPr>
      <w:r>
        <w:rPr>
          <w:rFonts w:ascii="Trebuchet MS" w:hAnsi="Trebuchet MS" w:cs="Arial"/>
        </w:rPr>
        <w:t xml:space="preserve">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PZP; </w:t>
      </w:r>
    </w:p>
    <w:p>
      <w:pPr>
        <w:numPr>
          <w:ilvl w:val="1"/>
          <w:numId w:val="44"/>
        </w:numPr>
        <w:spacing w:line="288" w:lineRule="auto"/>
        <w:contextualSpacing/>
        <w:jc w:val="both"/>
        <w:rPr>
          <w:rFonts w:ascii="Trebuchet MS" w:hAnsi="Trebuchet MS" w:cs="Arial"/>
          <w:b/>
          <w:i/>
        </w:rPr>
      </w:pPr>
      <w:r>
        <w:rPr>
          <w:rFonts w:ascii="Trebuchet MS" w:hAnsi="Trebuchet MS" w:cs="Arial"/>
        </w:rPr>
        <w:t xml:space="preserve">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 </w:t>
      </w:r>
    </w:p>
    <w:p>
      <w:pPr>
        <w:numPr>
          <w:ilvl w:val="1"/>
          <w:numId w:val="44"/>
        </w:numPr>
        <w:spacing w:line="288" w:lineRule="auto"/>
        <w:contextualSpacing/>
        <w:jc w:val="both"/>
        <w:rPr>
          <w:rFonts w:ascii="Trebuchet MS" w:hAnsi="Trebuchet MS" w:cs="Arial"/>
          <w:b/>
          <w:i/>
        </w:rPr>
      </w:pPr>
      <w:r>
        <w:rPr>
          <w:rFonts w:ascii="Trebuchet MS" w:hAnsi="Trebuchet MS" w:cs="Arial"/>
        </w:rPr>
        <w:t>prawo do wniesienia skargi do Prezesa Urzędu Ochrony Danych Osobowych, gdy uzna Pani/Pan, że przetwarzanie danych osobowych Pani/Pana narusza przepisy RODO;</w:t>
      </w:r>
    </w:p>
    <w:p>
      <w:pPr>
        <w:numPr>
          <w:ilvl w:val="0"/>
          <w:numId w:val="44"/>
        </w:numPr>
        <w:spacing w:line="288" w:lineRule="auto"/>
        <w:ind w:left="644" w:hanging="426"/>
        <w:contextualSpacing/>
        <w:jc w:val="both"/>
        <w:rPr>
          <w:rFonts w:ascii="Trebuchet MS" w:hAnsi="Trebuchet MS" w:cs="Arial"/>
          <w:i/>
        </w:rPr>
      </w:pPr>
      <w:r>
        <w:rPr>
          <w:rFonts w:ascii="Trebuchet MS" w:hAnsi="Trebuchet MS" w:cs="Arial"/>
        </w:rPr>
        <w:t>nie przysługuje Pani/Panu:</w:t>
      </w:r>
    </w:p>
    <w:p>
      <w:pPr>
        <w:numPr>
          <w:ilvl w:val="0"/>
          <w:numId w:val="46"/>
        </w:numPr>
        <w:spacing w:line="288" w:lineRule="auto"/>
        <w:ind w:left="851" w:hanging="284"/>
        <w:contextualSpacing/>
        <w:jc w:val="both"/>
        <w:rPr>
          <w:rFonts w:ascii="Trebuchet MS" w:hAnsi="Trebuchet MS" w:cs="Arial"/>
          <w:i/>
        </w:rPr>
      </w:pPr>
      <w:r>
        <w:rPr>
          <w:rFonts w:ascii="Trebuchet MS" w:hAnsi="Trebuchet MS" w:cs="Arial"/>
        </w:rPr>
        <w:t>w związku z art. 17 ust. 3 lit. b, d lub e RODO prawo do usunięcia danych osobowych;</w:t>
      </w:r>
    </w:p>
    <w:p>
      <w:pPr>
        <w:numPr>
          <w:ilvl w:val="0"/>
          <w:numId w:val="46"/>
        </w:numPr>
        <w:spacing w:line="288" w:lineRule="auto"/>
        <w:ind w:left="851" w:hanging="284"/>
        <w:contextualSpacing/>
        <w:jc w:val="both"/>
        <w:rPr>
          <w:rFonts w:ascii="Trebuchet MS" w:hAnsi="Trebuchet MS" w:cs="Arial"/>
          <w:b/>
          <w:i/>
        </w:rPr>
      </w:pPr>
      <w:r>
        <w:rPr>
          <w:rFonts w:ascii="Trebuchet MS" w:hAnsi="Trebuchet MS" w:cs="Arial"/>
        </w:rPr>
        <w:t>prawo do przenoszenia danych osobowych, o którym mowa w art. 20 RODO;</w:t>
      </w:r>
    </w:p>
    <w:p>
      <w:pPr>
        <w:numPr>
          <w:ilvl w:val="0"/>
          <w:numId w:val="46"/>
        </w:numPr>
        <w:spacing w:line="288" w:lineRule="auto"/>
        <w:ind w:left="851" w:hanging="284"/>
        <w:contextualSpacing/>
        <w:jc w:val="both"/>
        <w:rPr>
          <w:rFonts w:ascii="Trebuchet MS" w:hAnsi="Trebuchet MS" w:cs="Arial"/>
          <w:b/>
          <w:i/>
        </w:rPr>
      </w:pPr>
      <w:r>
        <w:rPr>
          <w:rFonts w:ascii="Trebuchet MS" w:hAnsi="Trebuchet MS" w:cs="Arial"/>
          <w:b/>
        </w:rPr>
        <w:t>na podstawie art. 21 RODO prawo sprzeciwu, wobec przetwarzania danych osobowych, gdyż podstawą prawną przetwarzania Pani/Pana danych osobowych jest art. 6 ust. 1 lit. c RODO.</w:t>
      </w:r>
    </w:p>
    <w:p>
      <w:pPr>
        <w:spacing w:line="276" w:lineRule="auto"/>
        <w:jc w:val="both"/>
        <w:rPr>
          <w:rFonts w:ascii="Trebuchet MS" w:hAnsi="Trebuchet MS" w:cs="Arial"/>
          <w:i/>
          <w:sz w:val="16"/>
          <w:szCs w:val="16"/>
        </w:rPr>
      </w:pPr>
    </w:p>
    <w:sectPr>
      <w:headerReference r:id="rId4" w:type="first"/>
      <w:headerReference r:id="rId3" w:type="default"/>
      <w:footerReference r:id="rId5" w:type="default"/>
      <w:footerReference r:id="rId6" w:type="even"/>
      <w:pgSz w:w="11907" w:h="16840"/>
      <w:pgMar w:top="1418" w:right="1247" w:bottom="1418" w:left="1276" w:header="709" w:footer="709" w:gutter="0"/>
      <w:cols w:equalWidth="0" w:num="1">
        <w:col w:w="924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EE"/>
    <w:family w:val="roman"/>
    <w:pitch w:val="default"/>
    <w:sig w:usb0="E00006FF" w:usb1="420024FF" w:usb2="02000000" w:usb3="00000000" w:csb0="2000019F" w:csb1="00000000"/>
  </w:font>
  <w:font w:name="Tahoma">
    <w:panose1 w:val="020B0604030504040204"/>
    <w:charset w:val="EE"/>
    <w:family w:val="swiss"/>
    <w:pitch w:val="default"/>
    <w:sig w:usb0="E1002EFF" w:usb1="C000605B" w:usb2="00000029" w:usb3="00000000" w:csb0="200101FF" w:csb1="20280000"/>
  </w:font>
  <w:font w:name="Arial Unicode MS">
    <w:altName w:val="Arial"/>
    <w:panose1 w:val="020B0604020202020204"/>
    <w:charset w:val="EE"/>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Tms Rmn">
    <w:altName w:val="Segoe Print"/>
    <w:panose1 w:val="02020603040505020304"/>
    <w:charset w:val="EE"/>
    <w:family w:val="roman"/>
    <w:pitch w:val="default"/>
    <w:sig w:usb0="00000000" w:usb1="00000000" w:usb2="00000000" w:usb3="00000000" w:csb0="00000000" w:csb1="00000000"/>
  </w:font>
  <w:font w:name="Lucida Sans Unicode">
    <w:panose1 w:val="020B0602030504020204"/>
    <w:charset w:val="EE"/>
    <w:family w:val="swiss"/>
    <w:pitch w:val="default"/>
    <w:sig w:usb0="80001AFF" w:usb1="0000396B" w:usb2="00000000" w:usb3="00000000" w:csb0="200000BF" w:csb1="D7F70000"/>
  </w:font>
  <w:font w:name="Trebuchet MS">
    <w:panose1 w:val="020B0603020202020204"/>
    <w:charset w:val="EE"/>
    <w:family w:val="swiss"/>
    <w:pitch w:val="default"/>
    <w:sig w:usb0="00000687" w:usb1="00000000" w:usb2="00000000" w:usb3="00000000" w:csb0="2000009F" w:csb1="00000000"/>
  </w:font>
  <w:font w:name="Times-Roman">
    <w:altName w:val="Times New Roman"/>
    <w:panose1 w:val="00000000000000000000"/>
    <w:charset w:val="00"/>
    <w:family w:val="auto"/>
    <w:pitch w:val="default"/>
    <w:sig w:usb0="00000000" w:usb1="00000000" w:usb2="00000000" w:usb3="00000000" w:csb0="00000001" w:csb1="00000000"/>
  </w:font>
  <w:font w:name="TimesNewRoman">
    <w:altName w:val="Times New Roman"/>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page" w:x="10546" w:y="1"/>
      <w:rPr>
        <w:rStyle w:val="34"/>
        <w:rFonts w:ascii="Arial" w:hAnsi="Arial" w:cs="Arial"/>
      </w:rPr>
    </w:pPr>
    <w:r>
      <w:rPr>
        <w:rStyle w:val="34"/>
        <w:rFonts w:ascii="Arial" w:hAnsi="Arial" w:cs="Arial"/>
      </w:rPr>
      <w:fldChar w:fldCharType="begin"/>
    </w:r>
    <w:r>
      <w:rPr>
        <w:rStyle w:val="34"/>
        <w:rFonts w:ascii="Arial" w:hAnsi="Arial" w:cs="Arial"/>
      </w:rPr>
      <w:instrText xml:space="preserve">PAGE  </w:instrText>
    </w:r>
    <w:r>
      <w:rPr>
        <w:rStyle w:val="34"/>
        <w:rFonts w:ascii="Arial" w:hAnsi="Arial" w:cs="Arial"/>
      </w:rPr>
      <w:fldChar w:fldCharType="separate"/>
    </w:r>
    <w:r>
      <w:rPr>
        <w:rStyle w:val="34"/>
        <w:rFonts w:ascii="Arial" w:hAnsi="Arial" w:cs="Arial"/>
      </w:rPr>
      <w:t>27</w:t>
    </w:r>
    <w:r>
      <w:rPr>
        <w:rStyle w:val="34"/>
        <w:rFonts w:ascii="Arial" w:hAnsi="Arial" w:cs="Arial"/>
      </w:rPr>
      <w:fldChar w:fldCharType="end"/>
    </w:r>
  </w:p>
  <w:p>
    <w:pPr>
      <w:pStyle w:val="27"/>
      <w:ind w:right="360"/>
      <w:rPr>
        <w:rFonts w:ascii="Trebuchet MS" w:hAnsi="Trebuchet M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right" w:y="1"/>
      <w:rPr>
        <w:rStyle w:val="34"/>
      </w:rPr>
    </w:pPr>
    <w:r>
      <w:rPr>
        <w:rStyle w:val="34"/>
      </w:rPr>
      <w:fldChar w:fldCharType="begin"/>
    </w:r>
    <w:r>
      <w:rPr>
        <w:rStyle w:val="34"/>
      </w:rPr>
      <w:instrText xml:space="preserve">PAGE  </w:instrText>
    </w:r>
    <w:r>
      <w:rPr>
        <w:rStyle w:val="34"/>
      </w:rPr>
      <w:fldChar w:fldCharType="end"/>
    </w:r>
  </w:p>
  <w:p>
    <w:pPr>
      <w:pStyle w:val="2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10456" w:type="dxa"/>
      <w:tblInd w:w="55" w:type="dxa"/>
      <w:tblLayout w:type="fixed"/>
      <w:tblCellMar>
        <w:top w:w="55" w:type="dxa"/>
        <w:left w:w="55" w:type="dxa"/>
        <w:bottom w:w="55" w:type="dxa"/>
        <w:right w:w="55" w:type="dxa"/>
      </w:tblCellMar>
    </w:tblPr>
    <w:tblGrid>
      <w:gridCol w:w="10456"/>
    </w:tblGrid>
    <w:tr>
      <w:tblPrEx>
        <w:tblCellMar>
          <w:top w:w="55" w:type="dxa"/>
          <w:left w:w="55" w:type="dxa"/>
          <w:bottom w:w="55" w:type="dxa"/>
          <w:right w:w="55" w:type="dxa"/>
        </w:tblCellMar>
      </w:tblPrEx>
      <w:trPr>
        <w:trHeight w:val="245" w:hRule="atLeast"/>
      </w:trPr>
      <w:tc>
        <w:tcPr>
          <w:tcW w:w="10456" w:type="dxa"/>
          <w:shd w:val="clear" w:color="auto" w:fill="auto"/>
        </w:tcPr>
        <w:p>
          <w:pPr>
            <w:snapToGrid w:val="0"/>
            <w:rPr>
              <w:rFonts w:ascii="Tahoma" w:hAnsi="Tahoma" w:cs="Tahoma"/>
              <w:sz w:val="16"/>
              <w:szCs w:val="16"/>
            </w:rPr>
          </w:pPr>
        </w:p>
      </w:tc>
    </w:tr>
  </w:tbl>
  <w:p>
    <w:pPr>
      <w:pStyle w:val="30"/>
      <w:rPr>
        <w:rFonts w:ascii="Arial" w:hAnsi="Arial"/>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ascii="Arial" w:hAnsi="Arial"/>
        <w:sz w:val="14"/>
        <w:szCs w:val="14"/>
      </w:rPr>
    </w:pPr>
    <w:r>
      <w:rPr>
        <w:rFonts w:ascii="Arial" w:hAnsi="Arial"/>
        <w:sz w:val="14"/>
        <w:szCs w:val="14"/>
      </w:rPr>
      <w:t>SIWZ: przetarg nieograniczony o wartości równej lub powyżej 5.150.000 euro</w:t>
    </w:r>
  </w:p>
  <w:p>
    <w:pPr>
      <w:pStyle w:val="30"/>
      <w:rPr>
        <w:rFonts w:ascii="Arial" w:hAnsi="Arial"/>
        <w:sz w:val="14"/>
        <w:szCs w:val="14"/>
      </w:rPr>
    </w:pPr>
    <w:r>
      <w:rPr>
        <w:rFonts w:ascii="Arial" w:hAnsi="Arial"/>
        <w:sz w:val="14"/>
        <w:szCs w:val="14"/>
      </w:rPr>
      <w:t>nr sprawy: AP.341 -  ......./…</w:t>
    </w:r>
  </w:p>
  <w:p>
    <w:pPr>
      <w:pStyle w:val="30"/>
      <w:rPr>
        <w:sz w:val="16"/>
        <w:szCs w:val="16"/>
        <w:u w:val="single"/>
      </w:rPr>
    </w:pPr>
    <w:r>
      <w:rPr>
        <w:rFonts w:ascii="Arial" w:hAnsi="Arial"/>
        <w:sz w:val="16"/>
        <w:szCs w:val="16"/>
        <w:u w:val="single"/>
      </w:rPr>
      <w:tab/>
    </w:r>
    <w:r>
      <w:rPr>
        <w:rFonts w:ascii="Arial" w:hAnsi="Arial"/>
        <w:sz w:val="16"/>
        <w:szCs w:val="16"/>
        <w:u w:val="single"/>
      </w:rPr>
      <w:tab/>
    </w:r>
    <w:r>
      <w:rPr>
        <w:sz w:val="16"/>
        <w:szCs w:val="16"/>
        <w:u w:val="single"/>
      </w:rPr>
      <w:tab/>
    </w:r>
    <w:r>
      <w:rPr>
        <w:sz w:val="16"/>
        <w:szCs w:val="16"/>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32"/>
      <w:lvlText w:val=""/>
      <w:lvlJc w:val="left"/>
      <w:pPr>
        <w:tabs>
          <w:tab w:val="left" w:pos="360"/>
        </w:tabs>
        <w:ind w:left="360" w:hanging="360"/>
      </w:pPr>
      <w:rPr>
        <w:rFonts w:hint="default" w:ascii="Symbol" w:hAnsi="Symbol"/>
      </w:rPr>
    </w:lvl>
  </w:abstractNum>
  <w:abstractNum w:abstractNumId="1">
    <w:nsid w:val="00000007"/>
    <w:multiLevelType w:val="multilevel"/>
    <w:tmpl w:val="00000007"/>
    <w:lvl w:ilvl="0" w:tentative="0">
      <w:start w:val="1"/>
      <w:numFmt w:val="bullet"/>
      <w:pStyle w:val="75"/>
      <w:lvlText w:val=""/>
      <w:lvlJc w:val="left"/>
      <w:pPr>
        <w:tabs>
          <w:tab w:val="left" w:pos="1077"/>
        </w:tabs>
        <w:ind w:left="1077" w:hanging="360"/>
      </w:pPr>
      <w:rPr>
        <w:rFonts w:ascii="Wingdings" w:hAnsi="Wingdings" w:cs="Times New Roman"/>
        <w:color w:val="000000"/>
      </w:rPr>
    </w:lvl>
    <w:lvl w:ilvl="1" w:tentative="0">
      <w:start w:val="1"/>
      <w:numFmt w:val="bullet"/>
      <w:lvlText w:val="o"/>
      <w:lvlJc w:val="left"/>
      <w:pPr>
        <w:tabs>
          <w:tab w:val="left" w:pos="786"/>
        </w:tabs>
        <w:ind w:left="786" w:hanging="360"/>
      </w:pPr>
      <w:rPr>
        <w:rFonts w:ascii="Courier New" w:hAnsi="Courier New" w:cs="Courier New"/>
      </w:rPr>
    </w:lvl>
    <w:lvl w:ilvl="2" w:tentative="0">
      <w:start w:val="1"/>
      <w:numFmt w:val="bullet"/>
      <w:lvlText w:val=""/>
      <w:lvlJc w:val="left"/>
      <w:pPr>
        <w:tabs>
          <w:tab w:val="left" w:pos="2517"/>
        </w:tabs>
        <w:ind w:left="2517" w:hanging="360"/>
      </w:pPr>
      <w:rPr>
        <w:rFonts w:ascii="Wingdings" w:hAnsi="Wingdings" w:cs="Times New Roman"/>
        <w:color w:val="000000"/>
      </w:rPr>
    </w:lvl>
    <w:lvl w:ilvl="3" w:tentative="0">
      <w:start w:val="1"/>
      <w:numFmt w:val="bullet"/>
      <w:lvlText w:val=""/>
      <w:lvlJc w:val="left"/>
      <w:pPr>
        <w:tabs>
          <w:tab w:val="left" w:pos="3060"/>
        </w:tabs>
        <w:ind w:left="3060" w:hanging="360"/>
      </w:pPr>
      <w:rPr>
        <w:rFonts w:ascii="Symbol" w:hAnsi="Symbol" w:cs="Symbol"/>
      </w:rPr>
    </w:lvl>
    <w:lvl w:ilvl="4" w:tentative="0">
      <w:start w:val="1"/>
      <w:numFmt w:val="bullet"/>
      <w:lvlText w:val="o"/>
      <w:lvlJc w:val="left"/>
      <w:pPr>
        <w:tabs>
          <w:tab w:val="left" w:pos="3957"/>
        </w:tabs>
        <w:ind w:left="3957" w:hanging="360"/>
      </w:pPr>
      <w:rPr>
        <w:rFonts w:ascii="Courier New" w:hAnsi="Courier New" w:cs="Courier New"/>
      </w:rPr>
    </w:lvl>
    <w:lvl w:ilvl="5" w:tentative="0">
      <w:start w:val="1"/>
      <w:numFmt w:val="bullet"/>
      <w:lvlText w:val=""/>
      <w:lvlJc w:val="left"/>
      <w:pPr>
        <w:tabs>
          <w:tab w:val="left" w:pos="4677"/>
        </w:tabs>
        <w:ind w:left="4677" w:hanging="360"/>
      </w:pPr>
      <w:rPr>
        <w:rFonts w:ascii="Wingdings" w:hAnsi="Wingdings" w:cs="Times New Roman"/>
        <w:color w:val="000000"/>
      </w:rPr>
    </w:lvl>
    <w:lvl w:ilvl="6" w:tentative="0">
      <w:start w:val="1"/>
      <w:numFmt w:val="bullet"/>
      <w:lvlText w:val=""/>
      <w:lvlJc w:val="left"/>
      <w:pPr>
        <w:tabs>
          <w:tab w:val="left" w:pos="5397"/>
        </w:tabs>
        <w:ind w:left="5397" w:hanging="360"/>
      </w:pPr>
      <w:rPr>
        <w:rFonts w:ascii="Symbol" w:hAnsi="Symbol" w:cs="Symbol"/>
      </w:rPr>
    </w:lvl>
    <w:lvl w:ilvl="7" w:tentative="0">
      <w:start w:val="1"/>
      <w:numFmt w:val="bullet"/>
      <w:lvlText w:val="o"/>
      <w:lvlJc w:val="left"/>
      <w:pPr>
        <w:tabs>
          <w:tab w:val="left" w:pos="6117"/>
        </w:tabs>
        <w:ind w:left="6117" w:hanging="360"/>
      </w:pPr>
      <w:rPr>
        <w:rFonts w:ascii="Courier New" w:hAnsi="Courier New" w:cs="Courier New"/>
      </w:rPr>
    </w:lvl>
    <w:lvl w:ilvl="8" w:tentative="0">
      <w:start w:val="1"/>
      <w:numFmt w:val="bullet"/>
      <w:lvlText w:val=""/>
      <w:lvlJc w:val="left"/>
      <w:pPr>
        <w:tabs>
          <w:tab w:val="left" w:pos="6837"/>
        </w:tabs>
        <w:ind w:left="6837" w:hanging="360"/>
      </w:pPr>
      <w:rPr>
        <w:rFonts w:ascii="Wingdings" w:hAnsi="Wingdings" w:cs="Times New Roman"/>
        <w:color w:val="000000"/>
      </w:rPr>
    </w:lvl>
  </w:abstractNum>
  <w:abstractNum w:abstractNumId="2">
    <w:nsid w:val="0000001C"/>
    <w:multiLevelType w:val="multilevel"/>
    <w:tmpl w:val="0000001C"/>
    <w:lvl w:ilvl="0" w:tentative="0">
      <w:start w:val="3"/>
      <w:numFmt w:val="decimal"/>
      <w:lvlText w:val="%1."/>
      <w:lvlJc w:val="left"/>
      <w:pPr>
        <w:tabs>
          <w:tab w:val="left" w:pos="720"/>
        </w:tabs>
        <w:ind w:left="720" w:hanging="360"/>
      </w:pPr>
      <w:rPr>
        <w:rFonts w:hint="default"/>
      </w:rPr>
    </w:lvl>
    <w:lvl w:ilvl="1" w:tentative="0">
      <w:start w:val="1"/>
      <w:numFmt w:val="decimal"/>
      <w:lvlText w:val="%1.%2."/>
      <w:lvlJc w:val="left"/>
      <w:pPr>
        <w:tabs>
          <w:tab w:val="left" w:pos="720"/>
        </w:tabs>
        <w:ind w:left="720" w:hanging="360"/>
      </w:pPr>
      <w:rPr>
        <w:rFonts w:hint="default"/>
      </w:rPr>
    </w:lvl>
    <w:lvl w:ilvl="2" w:tentative="0">
      <w:start w:val="1"/>
      <w:numFmt w:val="decimal"/>
      <w:lvlText w:val="%1.%2.%3."/>
      <w:lvlJc w:val="left"/>
      <w:pPr>
        <w:tabs>
          <w:tab w:val="left" w:pos="1080"/>
        </w:tabs>
        <w:ind w:left="1080" w:hanging="720"/>
      </w:pPr>
      <w:rPr>
        <w:rFonts w:hint="default"/>
      </w:rPr>
    </w:lvl>
    <w:lvl w:ilvl="3" w:tentative="0">
      <w:start w:val="1"/>
      <w:numFmt w:val="decimal"/>
      <w:lvlText w:val="%1.%2.%3.%4."/>
      <w:lvlJc w:val="left"/>
      <w:pPr>
        <w:tabs>
          <w:tab w:val="left" w:pos="1080"/>
        </w:tabs>
        <w:ind w:left="1080" w:hanging="720"/>
      </w:pPr>
      <w:rPr>
        <w:rFonts w:hint="default"/>
      </w:rPr>
    </w:lvl>
    <w:lvl w:ilvl="4" w:tentative="0">
      <w:start w:val="1"/>
      <w:numFmt w:val="decimal"/>
      <w:lvlText w:val="%1.%2.%3.%4.%5."/>
      <w:lvlJc w:val="left"/>
      <w:pPr>
        <w:tabs>
          <w:tab w:val="left" w:pos="1440"/>
        </w:tabs>
        <w:ind w:left="1440" w:hanging="1080"/>
      </w:pPr>
      <w:rPr>
        <w:rFonts w:hint="default"/>
      </w:rPr>
    </w:lvl>
    <w:lvl w:ilvl="5" w:tentative="0">
      <w:start w:val="1"/>
      <w:numFmt w:val="decimal"/>
      <w:lvlText w:val="%1.%2.%3.%4.%5.%6."/>
      <w:lvlJc w:val="left"/>
      <w:pPr>
        <w:tabs>
          <w:tab w:val="left" w:pos="1440"/>
        </w:tabs>
        <w:ind w:left="1440" w:hanging="1080"/>
      </w:pPr>
      <w:rPr>
        <w:rFonts w:hint="default"/>
      </w:rPr>
    </w:lvl>
    <w:lvl w:ilvl="6" w:tentative="0">
      <w:start w:val="1"/>
      <w:numFmt w:val="decimal"/>
      <w:lvlText w:val="%1.%2.%3.%4.%5.%6.%7."/>
      <w:lvlJc w:val="left"/>
      <w:pPr>
        <w:tabs>
          <w:tab w:val="left" w:pos="1800"/>
        </w:tabs>
        <w:ind w:left="1800" w:hanging="1440"/>
      </w:pPr>
      <w:rPr>
        <w:rFonts w:hint="default"/>
      </w:rPr>
    </w:lvl>
    <w:lvl w:ilvl="7" w:tentative="0">
      <w:start w:val="1"/>
      <w:numFmt w:val="decimal"/>
      <w:lvlText w:val="%1.%2.%3.%4.%5.%6.%7.%8."/>
      <w:lvlJc w:val="left"/>
      <w:pPr>
        <w:tabs>
          <w:tab w:val="left" w:pos="1800"/>
        </w:tabs>
        <w:ind w:left="1800" w:hanging="1440"/>
      </w:pPr>
      <w:rPr>
        <w:rFonts w:hint="default"/>
      </w:rPr>
    </w:lvl>
    <w:lvl w:ilvl="8" w:tentative="0">
      <w:start w:val="1"/>
      <w:numFmt w:val="decimal"/>
      <w:lvlText w:val="%1.%2.%3.%4.%5.%6.%7.%8.%9."/>
      <w:lvlJc w:val="left"/>
      <w:pPr>
        <w:tabs>
          <w:tab w:val="left" w:pos="2160"/>
        </w:tabs>
        <w:ind w:left="2160" w:hanging="1800"/>
      </w:pPr>
      <w:rPr>
        <w:rFonts w:hint="default"/>
      </w:rPr>
    </w:lvl>
  </w:abstractNum>
  <w:abstractNum w:abstractNumId="3">
    <w:nsid w:val="092C123D"/>
    <w:multiLevelType w:val="multilevel"/>
    <w:tmpl w:val="092C123D"/>
    <w:lvl w:ilvl="0" w:tentative="0">
      <w:start w:val="1"/>
      <w:numFmt w:val="decimal"/>
      <w:lvlText w:val="%1."/>
      <w:lvlJc w:val="left"/>
      <w:pPr>
        <w:ind w:left="3621" w:hanging="360"/>
      </w:pPr>
      <w:rPr>
        <w:rFonts w:hint="default"/>
      </w:rPr>
    </w:lvl>
    <w:lvl w:ilvl="1" w:tentative="0">
      <w:start w:val="1"/>
      <w:numFmt w:val="decimal"/>
      <w:isLgl/>
      <w:lvlText w:val="%1.%2."/>
      <w:lvlJc w:val="left"/>
      <w:pPr>
        <w:ind w:left="786" w:hanging="360"/>
      </w:pPr>
      <w:rPr>
        <w:rFonts w:hint="default"/>
      </w:rPr>
    </w:lvl>
    <w:lvl w:ilvl="2" w:tentative="0">
      <w:start w:val="1"/>
      <w:numFmt w:val="decimal"/>
      <w:isLgl/>
      <w:lvlText w:val="%1.%2.%3."/>
      <w:lvlJc w:val="left"/>
      <w:pPr>
        <w:ind w:left="1212" w:hanging="720"/>
      </w:pPr>
      <w:rPr>
        <w:rFonts w:hint="default"/>
      </w:rPr>
    </w:lvl>
    <w:lvl w:ilvl="3" w:tentative="0">
      <w:start w:val="1"/>
      <w:numFmt w:val="decimal"/>
      <w:isLgl/>
      <w:lvlText w:val="%1.%2.%3.%4."/>
      <w:lvlJc w:val="left"/>
      <w:pPr>
        <w:ind w:left="1278" w:hanging="720"/>
      </w:pPr>
      <w:rPr>
        <w:rFonts w:hint="default"/>
      </w:rPr>
    </w:lvl>
    <w:lvl w:ilvl="4" w:tentative="0">
      <w:start w:val="1"/>
      <w:numFmt w:val="decimal"/>
      <w:isLgl/>
      <w:lvlText w:val="%1.%2.%3.%4.%5."/>
      <w:lvlJc w:val="left"/>
      <w:pPr>
        <w:ind w:left="1704" w:hanging="1080"/>
      </w:pPr>
      <w:rPr>
        <w:rFonts w:hint="default"/>
      </w:rPr>
    </w:lvl>
    <w:lvl w:ilvl="5" w:tentative="0">
      <w:start w:val="1"/>
      <w:numFmt w:val="decimal"/>
      <w:isLgl/>
      <w:lvlText w:val="%1.%2.%3.%4.%5.%6."/>
      <w:lvlJc w:val="left"/>
      <w:pPr>
        <w:ind w:left="1770" w:hanging="1080"/>
      </w:pPr>
      <w:rPr>
        <w:rFonts w:hint="default"/>
      </w:rPr>
    </w:lvl>
    <w:lvl w:ilvl="6" w:tentative="0">
      <w:start w:val="1"/>
      <w:numFmt w:val="decimal"/>
      <w:isLgl/>
      <w:lvlText w:val="%1.%2.%3.%4.%5.%6.%7."/>
      <w:lvlJc w:val="left"/>
      <w:pPr>
        <w:ind w:left="2196" w:hanging="1440"/>
      </w:pPr>
      <w:rPr>
        <w:rFonts w:hint="default"/>
      </w:rPr>
    </w:lvl>
    <w:lvl w:ilvl="7" w:tentative="0">
      <w:start w:val="1"/>
      <w:numFmt w:val="decimal"/>
      <w:isLgl/>
      <w:lvlText w:val="%1.%2.%3.%4.%5.%6.%7.%8."/>
      <w:lvlJc w:val="left"/>
      <w:pPr>
        <w:ind w:left="2262" w:hanging="1440"/>
      </w:pPr>
      <w:rPr>
        <w:rFonts w:hint="default"/>
      </w:rPr>
    </w:lvl>
    <w:lvl w:ilvl="8" w:tentative="0">
      <w:start w:val="1"/>
      <w:numFmt w:val="decimal"/>
      <w:isLgl/>
      <w:lvlText w:val="%1.%2.%3.%4.%5.%6.%7.%8.%9."/>
      <w:lvlJc w:val="left"/>
      <w:pPr>
        <w:ind w:left="2688" w:hanging="1800"/>
      </w:pPr>
      <w:rPr>
        <w:rFonts w:hint="default"/>
      </w:rPr>
    </w:lvl>
  </w:abstractNum>
  <w:abstractNum w:abstractNumId="4">
    <w:nsid w:val="09B80403"/>
    <w:multiLevelType w:val="multilevel"/>
    <w:tmpl w:val="09B80403"/>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0C5A77E7"/>
    <w:multiLevelType w:val="multilevel"/>
    <w:tmpl w:val="0C5A77E7"/>
    <w:lvl w:ilvl="0" w:tentative="0">
      <w:start w:val="1"/>
      <w:numFmt w:val="decimal"/>
      <w:lvlText w:val="%1."/>
      <w:lvlJc w:val="left"/>
      <w:pPr>
        <w:tabs>
          <w:tab w:val="left" w:pos="567"/>
        </w:tabs>
        <w:ind w:left="567" w:hanging="567"/>
      </w:pPr>
      <w:rPr>
        <w:rFonts w:hint="default"/>
        <w:color w:val="auto"/>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6">
    <w:nsid w:val="15520EB5"/>
    <w:multiLevelType w:val="multilevel"/>
    <w:tmpl w:val="15520EB5"/>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cs="Times New Roman"/>
      </w:rPr>
    </w:lvl>
    <w:lvl w:ilvl="2" w:tentative="0">
      <w:start w:val="1"/>
      <w:numFmt w:val="decimal"/>
      <w:isLgl/>
      <w:lvlText w:val="%1.%2.%3."/>
      <w:lvlJc w:val="left"/>
      <w:pPr>
        <w:ind w:left="1080" w:hanging="720"/>
      </w:pPr>
      <w:rPr>
        <w:rFonts w:hint="default" w:cs="Times New Roman"/>
      </w:rPr>
    </w:lvl>
    <w:lvl w:ilvl="3" w:tentative="0">
      <w:start w:val="1"/>
      <w:numFmt w:val="decimal"/>
      <w:isLgl/>
      <w:lvlText w:val="%1.%2.%3.%4."/>
      <w:lvlJc w:val="left"/>
      <w:pPr>
        <w:ind w:left="1080" w:hanging="720"/>
      </w:pPr>
      <w:rPr>
        <w:rFonts w:hint="default" w:cs="Times New Roman"/>
      </w:rPr>
    </w:lvl>
    <w:lvl w:ilvl="4" w:tentative="0">
      <w:start w:val="1"/>
      <w:numFmt w:val="decimal"/>
      <w:isLgl/>
      <w:lvlText w:val="%1.%2.%3.%4.%5."/>
      <w:lvlJc w:val="left"/>
      <w:pPr>
        <w:ind w:left="1440" w:hanging="1080"/>
      </w:pPr>
      <w:rPr>
        <w:rFonts w:hint="default" w:cs="Times New Roman"/>
      </w:rPr>
    </w:lvl>
    <w:lvl w:ilvl="5" w:tentative="0">
      <w:start w:val="1"/>
      <w:numFmt w:val="decimal"/>
      <w:isLgl/>
      <w:lvlText w:val="%1.%2.%3.%4.%5.%6."/>
      <w:lvlJc w:val="left"/>
      <w:pPr>
        <w:ind w:left="1440" w:hanging="1080"/>
      </w:pPr>
      <w:rPr>
        <w:rFonts w:hint="default" w:cs="Times New Roman"/>
      </w:rPr>
    </w:lvl>
    <w:lvl w:ilvl="6" w:tentative="0">
      <w:start w:val="1"/>
      <w:numFmt w:val="decimal"/>
      <w:isLgl/>
      <w:lvlText w:val="%1.%2.%3.%4.%5.%6.%7."/>
      <w:lvlJc w:val="left"/>
      <w:pPr>
        <w:ind w:left="1800" w:hanging="1440"/>
      </w:pPr>
      <w:rPr>
        <w:rFonts w:hint="default" w:cs="Times New Roman"/>
      </w:rPr>
    </w:lvl>
    <w:lvl w:ilvl="7" w:tentative="0">
      <w:start w:val="1"/>
      <w:numFmt w:val="decimal"/>
      <w:isLgl/>
      <w:lvlText w:val="%1.%2.%3.%4.%5.%6.%7.%8."/>
      <w:lvlJc w:val="left"/>
      <w:pPr>
        <w:ind w:left="1800" w:hanging="1440"/>
      </w:pPr>
      <w:rPr>
        <w:rFonts w:hint="default" w:cs="Times New Roman"/>
      </w:rPr>
    </w:lvl>
    <w:lvl w:ilvl="8" w:tentative="0">
      <w:start w:val="1"/>
      <w:numFmt w:val="decimal"/>
      <w:isLgl/>
      <w:lvlText w:val="%1.%2.%3.%4.%5.%6.%7.%8.%9."/>
      <w:lvlJc w:val="left"/>
      <w:pPr>
        <w:ind w:left="2160" w:hanging="1800"/>
      </w:pPr>
      <w:rPr>
        <w:rFonts w:hint="default" w:cs="Times New Roman"/>
      </w:rPr>
    </w:lvl>
  </w:abstractNum>
  <w:abstractNum w:abstractNumId="7">
    <w:nsid w:val="159A7867"/>
    <w:multiLevelType w:val="multilevel"/>
    <w:tmpl w:val="159A7867"/>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7E90A27"/>
    <w:multiLevelType w:val="multilevel"/>
    <w:tmpl w:val="17E90A27"/>
    <w:lvl w:ilvl="0" w:tentative="0">
      <w:start w:val="1"/>
      <w:numFmt w:val="decimal"/>
      <w:lvlText w:val="%1)"/>
      <w:lvlJc w:val="left"/>
      <w:pPr>
        <w:ind w:left="1428" w:hanging="360"/>
      </w:p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abstractNum w:abstractNumId="9">
    <w:nsid w:val="194D571F"/>
    <w:multiLevelType w:val="multilevel"/>
    <w:tmpl w:val="194D571F"/>
    <w:lvl w:ilvl="0" w:tentative="0">
      <w:start w:val="1"/>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upperLetter"/>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10">
    <w:nsid w:val="1D993E05"/>
    <w:multiLevelType w:val="multilevel"/>
    <w:tmpl w:val="1D993E05"/>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1">
    <w:nsid w:val="21D63BB9"/>
    <w:multiLevelType w:val="multilevel"/>
    <w:tmpl w:val="21D63BB9"/>
    <w:lvl w:ilvl="0" w:tentative="0">
      <w:start w:val="5"/>
      <w:numFmt w:val="lowerLetter"/>
      <w:lvlText w:val="%1)"/>
      <w:lvlJc w:val="left"/>
      <w:pPr>
        <w:tabs>
          <w:tab w:val="left" w:pos="1701"/>
        </w:tabs>
        <w:ind w:left="1588" w:hanging="397"/>
      </w:pPr>
      <w:rPr>
        <w:rFonts w:hint="default"/>
      </w:rPr>
    </w:lvl>
    <w:lvl w:ilvl="1" w:tentative="0">
      <w:start w:val="1"/>
      <w:numFmt w:val="decimal"/>
      <w:lvlText w:val="%2."/>
      <w:lvlJc w:val="left"/>
      <w:pPr>
        <w:tabs>
          <w:tab w:val="left" w:pos="567"/>
        </w:tabs>
        <w:ind w:left="567" w:hanging="567"/>
      </w:pPr>
      <w:rPr>
        <w:rFonts w:hint="default"/>
      </w:rPr>
    </w:lvl>
    <w:lvl w:ilvl="2" w:tentative="0">
      <w:start w:val="1"/>
      <w:numFmt w:val="decimal"/>
      <w:lvlText w:val="%3)"/>
      <w:lvlJc w:val="left"/>
      <w:pPr>
        <w:ind w:left="2340" w:hanging="360"/>
      </w:pPr>
      <w:rPr>
        <w:rFonts w:hint="default"/>
        <w:b w:val="0"/>
      </w:rPr>
    </w:lvl>
    <w:lvl w:ilvl="3" w:tentative="0">
      <w:start w:val="1"/>
      <w:numFmt w:val="upperRoman"/>
      <w:lvlText w:val="%4."/>
      <w:lvlJc w:val="left"/>
      <w:pPr>
        <w:ind w:left="3240" w:hanging="720"/>
      </w:pPr>
      <w:rPr>
        <w:rFonts w:hint="default"/>
      </w:rPr>
    </w:lvl>
    <w:lvl w:ilvl="4" w:tentative="0">
      <w:start w:val="2"/>
      <w:numFmt w:val="decimal"/>
      <w:lvlText w:val="%5"/>
      <w:lvlJc w:val="left"/>
      <w:pPr>
        <w:ind w:left="3600" w:hanging="360"/>
      </w:pPr>
      <w:rPr>
        <w:rFonts w:hint="default"/>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225961E4"/>
    <w:multiLevelType w:val="multilevel"/>
    <w:tmpl w:val="225961E4"/>
    <w:lvl w:ilvl="0" w:tentative="0">
      <w:start w:val="1"/>
      <w:numFmt w:val="decimal"/>
      <w:lvlText w:val="%1."/>
      <w:lvlJc w:val="left"/>
      <w:pPr>
        <w:ind w:left="1070" w:hanging="360"/>
      </w:pPr>
    </w:lvl>
    <w:lvl w:ilvl="1" w:tentative="0">
      <w:start w:val="1"/>
      <w:numFmt w:val="upperLetter"/>
      <w:lvlText w:val="%2."/>
      <w:lvlJc w:val="left"/>
      <w:pPr>
        <w:ind w:left="1790" w:hanging="360"/>
      </w:pPr>
      <w:rPr>
        <w:rFonts w:hint="default"/>
      </w:rPr>
    </w:lvl>
    <w:lvl w:ilvl="2" w:tentative="0">
      <w:start w:val="1"/>
      <w:numFmt w:val="lowerRoman"/>
      <w:lvlText w:val="%3."/>
      <w:lvlJc w:val="right"/>
      <w:pPr>
        <w:ind w:left="2510" w:hanging="180"/>
      </w:pPr>
    </w:lvl>
    <w:lvl w:ilvl="3" w:tentative="0">
      <w:start w:val="1"/>
      <w:numFmt w:val="decimal"/>
      <w:lvlText w:val="%4."/>
      <w:lvlJc w:val="left"/>
      <w:pPr>
        <w:ind w:left="3230" w:hanging="360"/>
      </w:pPr>
    </w:lvl>
    <w:lvl w:ilvl="4" w:tentative="0">
      <w:start w:val="1"/>
      <w:numFmt w:val="lowerLetter"/>
      <w:lvlText w:val="%5."/>
      <w:lvlJc w:val="left"/>
      <w:pPr>
        <w:ind w:left="3950" w:hanging="360"/>
      </w:pPr>
    </w:lvl>
    <w:lvl w:ilvl="5" w:tentative="0">
      <w:start w:val="1"/>
      <w:numFmt w:val="lowerRoman"/>
      <w:lvlText w:val="%6."/>
      <w:lvlJc w:val="right"/>
      <w:pPr>
        <w:ind w:left="4670" w:hanging="180"/>
      </w:pPr>
    </w:lvl>
    <w:lvl w:ilvl="6" w:tentative="0">
      <w:start w:val="1"/>
      <w:numFmt w:val="decimal"/>
      <w:lvlText w:val="%7."/>
      <w:lvlJc w:val="left"/>
      <w:pPr>
        <w:ind w:left="5390" w:hanging="360"/>
      </w:pPr>
    </w:lvl>
    <w:lvl w:ilvl="7" w:tentative="0">
      <w:start w:val="1"/>
      <w:numFmt w:val="lowerLetter"/>
      <w:lvlText w:val="%8."/>
      <w:lvlJc w:val="left"/>
      <w:pPr>
        <w:ind w:left="6110" w:hanging="360"/>
      </w:pPr>
    </w:lvl>
    <w:lvl w:ilvl="8" w:tentative="0">
      <w:start w:val="1"/>
      <w:numFmt w:val="lowerRoman"/>
      <w:lvlText w:val="%9."/>
      <w:lvlJc w:val="right"/>
      <w:pPr>
        <w:ind w:left="6830" w:hanging="180"/>
      </w:pPr>
    </w:lvl>
  </w:abstractNum>
  <w:abstractNum w:abstractNumId="13">
    <w:nsid w:val="22E44180"/>
    <w:multiLevelType w:val="multilevel"/>
    <w:tmpl w:val="22E44180"/>
    <w:lvl w:ilvl="0" w:tentative="0">
      <w:start w:val="1"/>
      <w:numFmt w:val="decimal"/>
      <w:pStyle w:val="107"/>
      <w:lvlText w:val="%1."/>
      <w:lvlJc w:val="left"/>
      <w:pPr>
        <w:tabs>
          <w:tab w:val="left" w:pos="850"/>
        </w:tabs>
        <w:ind w:left="850" w:hanging="850"/>
      </w:pPr>
    </w:lvl>
    <w:lvl w:ilvl="1" w:tentative="0">
      <w:start w:val="1"/>
      <w:numFmt w:val="decimal"/>
      <w:pStyle w:val="108"/>
      <w:lvlText w:val="%1.%2."/>
      <w:lvlJc w:val="left"/>
      <w:pPr>
        <w:tabs>
          <w:tab w:val="left" w:pos="850"/>
        </w:tabs>
        <w:ind w:left="850" w:hanging="850"/>
      </w:pPr>
    </w:lvl>
    <w:lvl w:ilvl="2" w:tentative="0">
      <w:start w:val="1"/>
      <w:numFmt w:val="decimal"/>
      <w:pStyle w:val="109"/>
      <w:lvlText w:val="%1.%2.%3."/>
      <w:lvlJc w:val="left"/>
      <w:pPr>
        <w:tabs>
          <w:tab w:val="left" w:pos="850"/>
        </w:tabs>
        <w:ind w:left="850" w:hanging="850"/>
      </w:pPr>
    </w:lvl>
    <w:lvl w:ilvl="3" w:tentative="0">
      <w:start w:val="1"/>
      <w:numFmt w:val="decimal"/>
      <w:pStyle w:val="110"/>
      <w:lvlText w:val="%1.%2.%3.%4."/>
      <w:lvlJc w:val="left"/>
      <w:pPr>
        <w:tabs>
          <w:tab w:val="left" w:pos="850"/>
        </w:tabs>
        <w:ind w:left="850" w:hanging="85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4">
    <w:nsid w:val="269B5401"/>
    <w:multiLevelType w:val="multilevel"/>
    <w:tmpl w:val="269B5401"/>
    <w:lvl w:ilvl="0" w:tentative="0">
      <w:start w:val="1"/>
      <w:numFmt w:val="bullet"/>
      <w:lvlText w:val=""/>
      <w:lvlJc w:val="left"/>
      <w:pPr>
        <w:ind w:left="720" w:hanging="360"/>
      </w:pPr>
      <w:rPr>
        <w:rFonts w:hint="default" w:ascii="Symbol" w:hAnsi="Symbol"/>
        <w:color w:val="auto"/>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D166C07"/>
    <w:multiLevelType w:val="multilevel"/>
    <w:tmpl w:val="2D166C07"/>
    <w:lvl w:ilvl="0" w:tentative="0">
      <w:start w:val="4"/>
      <w:numFmt w:val="decimal"/>
      <w:lvlText w:val="%1."/>
      <w:lvlJc w:val="left"/>
      <w:pPr>
        <w:tabs>
          <w:tab w:val="left" w:pos="567"/>
        </w:tabs>
        <w:ind w:left="567" w:hanging="567"/>
      </w:pPr>
      <w:rPr>
        <w:rFonts w:hint="default"/>
      </w:rPr>
    </w:lvl>
    <w:lvl w:ilvl="1" w:tentative="0">
      <w:start w:val="2"/>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16">
    <w:nsid w:val="31303817"/>
    <w:multiLevelType w:val="multilevel"/>
    <w:tmpl w:val="31303817"/>
    <w:lvl w:ilvl="0" w:tentative="0">
      <w:start w:val="1"/>
      <w:numFmt w:val="decimal"/>
      <w:lvlText w:val="%1."/>
      <w:lvlJc w:val="left"/>
      <w:pPr>
        <w:tabs>
          <w:tab w:val="left" w:pos="567"/>
        </w:tabs>
        <w:ind w:left="567" w:hanging="567"/>
      </w:pPr>
      <w:rPr>
        <w:rFonts w:hint="default"/>
      </w:rPr>
    </w:lvl>
    <w:lvl w:ilvl="1" w:tentative="0">
      <w:start w:val="22"/>
      <w:numFmt w:val="upperRoman"/>
      <w:lvlText w:val="%2."/>
      <w:lvlJc w:val="left"/>
      <w:pPr>
        <w:tabs>
          <w:tab w:val="left" w:pos="2280"/>
        </w:tabs>
        <w:ind w:left="2280" w:hanging="72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330638AE"/>
    <w:multiLevelType w:val="multilevel"/>
    <w:tmpl w:val="330638AE"/>
    <w:lvl w:ilvl="0" w:tentative="0">
      <w:start w:val="1"/>
      <w:numFmt w:val="bullet"/>
      <w:lvlText w:val=""/>
      <w:lvlJc w:val="left"/>
      <w:pPr>
        <w:ind w:left="1146" w:hanging="360"/>
      </w:pPr>
      <w:rPr>
        <w:rFonts w:hint="default" w:ascii="Symbol" w:hAnsi="Symbol"/>
        <w:color w:val="auto"/>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18">
    <w:nsid w:val="348E7C0D"/>
    <w:multiLevelType w:val="multilevel"/>
    <w:tmpl w:val="348E7C0D"/>
    <w:lvl w:ilvl="0" w:tentative="0">
      <w:start w:val="11"/>
      <w:numFmt w:val="decimal"/>
      <w:lvlText w:val="%1."/>
      <w:lvlJc w:val="left"/>
      <w:pPr>
        <w:ind w:left="540" w:hanging="540"/>
      </w:pPr>
      <w:rPr>
        <w:rFonts w:hint="default"/>
      </w:rPr>
    </w:lvl>
    <w:lvl w:ilvl="1" w:tentative="0">
      <w:start w:val="1"/>
      <w:numFmt w:val="decimal"/>
      <w:lvlText w:val="%1.%2."/>
      <w:lvlJc w:val="left"/>
      <w:pPr>
        <w:ind w:left="540" w:hanging="540"/>
      </w:pPr>
      <w:rPr>
        <w:rFonts w:hint="default"/>
        <w:b w:val="0"/>
        <w:strike w:val="0"/>
      </w:rPr>
    </w:lvl>
    <w:lvl w:ilvl="2" w:tentative="0">
      <w:start w:val="1"/>
      <w:numFmt w:val="decimal"/>
      <w:pStyle w:val="89"/>
      <w:lvlText w:val="%1.%2.%3."/>
      <w:lvlJc w:val="left"/>
      <w:pPr>
        <w:ind w:left="720" w:hanging="720"/>
      </w:pPr>
      <w:rPr>
        <w:rFonts w:hint="default"/>
        <w:b w:val="0"/>
        <w:strike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9">
    <w:nsid w:val="367F7465"/>
    <w:multiLevelType w:val="multilevel"/>
    <w:tmpl w:val="367F7465"/>
    <w:lvl w:ilvl="0" w:tentative="0">
      <w:start w:val="1"/>
      <w:numFmt w:val="decimal"/>
      <w:lvlText w:val="%1."/>
      <w:lvlJc w:val="left"/>
      <w:pPr>
        <w:ind w:left="786" w:hanging="360"/>
      </w:pPr>
      <w:rPr>
        <w:rFonts w:hint="default"/>
      </w:rPr>
    </w:lvl>
    <w:lvl w:ilvl="1" w:tentative="0">
      <w:start w:val="1"/>
      <w:numFmt w:val="decimal"/>
      <w:isLgl/>
      <w:lvlText w:val="%1.%2."/>
      <w:lvlJc w:val="left"/>
      <w:pPr>
        <w:ind w:left="786" w:hanging="360"/>
      </w:pPr>
      <w:rPr>
        <w:rFonts w:hint="default"/>
      </w:rPr>
    </w:lvl>
    <w:lvl w:ilvl="2" w:tentative="0">
      <w:start w:val="1"/>
      <w:numFmt w:val="decimal"/>
      <w:isLgl/>
      <w:lvlText w:val="%1.%2.%3."/>
      <w:lvlJc w:val="left"/>
      <w:pPr>
        <w:ind w:left="1146" w:hanging="720"/>
      </w:pPr>
      <w:rPr>
        <w:rFonts w:hint="default"/>
      </w:rPr>
    </w:lvl>
    <w:lvl w:ilvl="3" w:tentative="0">
      <w:start w:val="1"/>
      <w:numFmt w:val="decimal"/>
      <w:isLgl/>
      <w:lvlText w:val="%1.%2.%3.%4."/>
      <w:lvlJc w:val="left"/>
      <w:pPr>
        <w:ind w:left="1146" w:hanging="720"/>
      </w:pPr>
      <w:rPr>
        <w:rFonts w:hint="default"/>
      </w:rPr>
    </w:lvl>
    <w:lvl w:ilvl="4" w:tentative="0">
      <w:start w:val="1"/>
      <w:numFmt w:val="decimal"/>
      <w:isLgl/>
      <w:lvlText w:val="%1.%2.%3.%4.%5."/>
      <w:lvlJc w:val="left"/>
      <w:pPr>
        <w:ind w:left="1506" w:hanging="1080"/>
      </w:pPr>
      <w:rPr>
        <w:rFonts w:hint="default"/>
      </w:rPr>
    </w:lvl>
    <w:lvl w:ilvl="5" w:tentative="0">
      <w:start w:val="1"/>
      <w:numFmt w:val="decimal"/>
      <w:isLgl/>
      <w:lvlText w:val="%1.%2.%3.%4.%5.%6."/>
      <w:lvlJc w:val="left"/>
      <w:pPr>
        <w:ind w:left="1506" w:hanging="1080"/>
      </w:pPr>
      <w:rPr>
        <w:rFonts w:hint="default"/>
      </w:rPr>
    </w:lvl>
    <w:lvl w:ilvl="6" w:tentative="0">
      <w:start w:val="1"/>
      <w:numFmt w:val="decimal"/>
      <w:isLgl/>
      <w:lvlText w:val="%1.%2.%3.%4.%5.%6.%7."/>
      <w:lvlJc w:val="left"/>
      <w:pPr>
        <w:ind w:left="1866" w:hanging="1440"/>
      </w:pPr>
      <w:rPr>
        <w:rFonts w:hint="default"/>
      </w:rPr>
    </w:lvl>
    <w:lvl w:ilvl="7" w:tentative="0">
      <w:start w:val="1"/>
      <w:numFmt w:val="decimal"/>
      <w:isLgl/>
      <w:lvlText w:val="%1.%2.%3.%4.%5.%6.%7.%8."/>
      <w:lvlJc w:val="left"/>
      <w:pPr>
        <w:ind w:left="1866" w:hanging="1440"/>
      </w:pPr>
      <w:rPr>
        <w:rFonts w:hint="default"/>
      </w:rPr>
    </w:lvl>
    <w:lvl w:ilvl="8" w:tentative="0">
      <w:start w:val="1"/>
      <w:numFmt w:val="decimal"/>
      <w:isLgl/>
      <w:lvlText w:val="%1.%2.%3.%4.%5.%6.%7.%8.%9."/>
      <w:lvlJc w:val="left"/>
      <w:pPr>
        <w:ind w:left="2226" w:hanging="1800"/>
      </w:pPr>
      <w:rPr>
        <w:rFonts w:hint="default"/>
      </w:rPr>
    </w:lvl>
  </w:abstractNum>
  <w:abstractNum w:abstractNumId="20">
    <w:nsid w:val="3BA2721D"/>
    <w:multiLevelType w:val="multilevel"/>
    <w:tmpl w:val="3BA2721D"/>
    <w:lvl w:ilvl="0" w:tentative="0">
      <w:start w:val="7"/>
      <w:numFmt w:val="decimal"/>
      <w:lvlText w:val="%1."/>
      <w:lvlJc w:val="left"/>
      <w:pPr>
        <w:ind w:left="360" w:hanging="360"/>
      </w:pPr>
      <w:rPr>
        <w:rFonts w:hint="default"/>
        <w:u w:val="none"/>
      </w:rPr>
    </w:lvl>
    <w:lvl w:ilvl="1" w:tentative="0">
      <w:start w:val="1"/>
      <w:numFmt w:val="decimal"/>
      <w:lvlText w:val="%1.%2."/>
      <w:lvlJc w:val="left"/>
      <w:pPr>
        <w:ind w:left="360" w:hanging="360"/>
      </w:pPr>
      <w:rPr>
        <w:rFonts w:hint="default"/>
        <w:u w:val="none"/>
      </w:rPr>
    </w:lvl>
    <w:lvl w:ilvl="2" w:tentative="0">
      <w:start w:val="1"/>
      <w:numFmt w:val="decimal"/>
      <w:lvlText w:val="%1.%2.%3."/>
      <w:lvlJc w:val="left"/>
      <w:pPr>
        <w:ind w:left="720" w:hanging="720"/>
      </w:pPr>
      <w:rPr>
        <w:rFonts w:hint="default"/>
        <w:u w:val="none"/>
      </w:rPr>
    </w:lvl>
    <w:lvl w:ilvl="3" w:tentative="0">
      <w:start w:val="1"/>
      <w:numFmt w:val="decimal"/>
      <w:lvlText w:val="%1.%2.%3.%4."/>
      <w:lvlJc w:val="left"/>
      <w:pPr>
        <w:ind w:left="720" w:hanging="720"/>
      </w:pPr>
      <w:rPr>
        <w:rFonts w:hint="default"/>
        <w:u w:val="none"/>
      </w:rPr>
    </w:lvl>
    <w:lvl w:ilvl="4" w:tentative="0">
      <w:start w:val="1"/>
      <w:numFmt w:val="decimal"/>
      <w:lvlText w:val="%1.%2.%3.%4.%5."/>
      <w:lvlJc w:val="left"/>
      <w:pPr>
        <w:ind w:left="1080" w:hanging="1080"/>
      </w:pPr>
      <w:rPr>
        <w:rFonts w:hint="default"/>
        <w:u w:val="none"/>
      </w:rPr>
    </w:lvl>
    <w:lvl w:ilvl="5" w:tentative="0">
      <w:start w:val="1"/>
      <w:numFmt w:val="decimal"/>
      <w:lvlText w:val="%1.%2.%3.%4.%5.%6."/>
      <w:lvlJc w:val="left"/>
      <w:pPr>
        <w:ind w:left="1080" w:hanging="1080"/>
      </w:pPr>
      <w:rPr>
        <w:rFonts w:hint="default"/>
        <w:u w:val="none"/>
      </w:rPr>
    </w:lvl>
    <w:lvl w:ilvl="6" w:tentative="0">
      <w:start w:val="1"/>
      <w:numFmt w:val="decimal"/>
      <w:lvlText w:val="%1.%2.%3.%4.%5.%6.%7."/>
      <w:lvlJc w:val="left"/>
      <w:pPr>
        <w:ind w:left="1440" w:hanging="1440"/>
      </w:pPr>
      <w:rPr>
        <w:rFonts w:hint="default"/>
        <w:u w:val="none"/>
      </w:rPr>
    </w:lvl>
    <w:lvl w:ilvl="7" w:tentative="0">
      <w:start w:val="1"/>
      <w:numFmt w:val="decimal"/>
      <w:lvlText w:val="%1.%2.%3.%4.%5.%6.%7.%8."/>
      <w:lvlJc w:val="left"/>
      <w:pPr>
        <w:ind w:left="1440" w:hanging="1440"/>
      </w:pPr>
      <w:rPr>
        <w:rFonts w:hint="default"/>
        <w:u w:val="none"/>
      </w:rPr>
    </w:lvl>
    <w:lvl w:ilvl="8" w:tentative="0">
      <w:start w:val="1"/>
      <w:numFmt w:val="decimal"/>
      <w:lvlText w:val="%1.%2.%3.%4.%5.%6.%7.%8.%9."/>
      <w:lvlJc w:val="left"/>
      <w:pPr>
        <w:ind w:left="1800" w:hanging="1800"/>
      </w:pPr>
      <w:rPr>
        <w:rFonts w:hint="default"/>
        <w:u w:val="none"/>
      </w:rPr>
    </w:lvl>
  </w:abstractNum>
  <w:abstractNum w:abstractNumId="21">
    <w:nsid w:val="42713452"/>
    <w:multiLevelType w:val="singleLevel"/>
    <w:tmpl w:val="42713452"/>
    <w:lvl w:ilvl="0" w:tentative="0">
      <w:start w:val="1"/>
      <w:numFmt w:val="bullet"/>
      <w:pStyle w:val="106"/>
      <w:lvlText w:val="–"/>
      <w:lvlJc w:val="left"/>
      <w:pPr>
        <w:tabs>
          <w:tab w:val="left" w:pos="1417"/>
        </w:tabs>
        <w:ind w:left="1417" w:hanging="567"/>
      </w:pPr>
    </w:lvl>
  </w:abstractNum>
  <w:abstractNum w:abstractNumId="22">
    <w:nsid w:val="43420B90"/>
    <w:multiLevelType w:val="multilevel"/>
    <w:tmpl w:val="43420B90"/>
    <w:lvl w:ilvl="0" w:tentative="0">
      <w:start w:val="1"/>
      <w:numFmt w:val="decimal"/>
      <w:lvlText w:val="%1."/>
      <w:lvlJc w:val="left"/>
      <w:pPr>
        <w:tabs>
          <w:tab w:val="left" w:pos="720"/>
        </w:tabs>
        <w:ind w:left="720" w:hanging="360"/>
      </w:pPr>
      <w:rPr>
        <w:rFonts w:hint="default"/>
        <w:b w:val="0"/>
      </w:rPr>
    </w:lvl>
    <w:lvl w:ilvl="1" w:tentative="0">
      <w:start w:val="1"/>
      <w:numFmt w:val="decimal"/>
      <w:isLgl/>
      <w:lvlText w:val="%1.%2."/>
      <w:lvlJc w:val="left"/>
      <w:pPr>
        <w:tabs>
          <w:tab w:val="left" w:pos="720"/>
        </w:tabs>
        <w:ind w:left="720" w:hanging="360"/>
      </w:pPr>
      <w:rPr>
        <w:rFonts w:hint="default"/>
        <w:sz w:val="20"/>
      </w:rPr>
    </w:lvl>
    <w:lvl w:ilvl="2" w:tentative="0">
      <w:start w:val="1"/>
      <w:numFmt w:val="decimal"/>
      <w:isLgl/>
      <w:lvlText w:val="%1.%2.%3."/>
      <w:lvlJc w:val="left"/>
      <w:pPr>
        <w:tabs>
          <w:tab w:val="left" w:pos="1080"/>
        </w:tabs>
        <w:ind w:left="1080" w:hanging="720"/>
      </w:pPr>
      <w:rPr>
        <w:rFonts w:hint="default"/>
        <w:sz w:val="20"/>
      </w:rPr>
    </w:lvl>
    <w:lvl w:ilvl="3" w:tentative="0">
      <w:start w:val="1"/>
      <w:numFmt w:val="decimal"/>
      <w:isLgl/>
      <w:lvlText w:val="%1.%2.%3.%4."/>
      <w:lvlJc w:val="left"/>
      <w:pPr>
        <w:tabs>
          <w:tab w:val="left" w:pos="1080"/>
        </w:tabs>
        <w:ind w:left="1080" w:hanging="720"/>
      </w:pPr>
      <w:rPr>
        <w:rFonts w:hint="default"/>
        <w:sz w:val="20"/>
      </w:rPr>
    </w:lvl>
    <w:lvl w:ilvl="4" w:tentative="0">
      <w:start w:val="1"/>
      <w:numFmt w:val="decimal"/>
      <w:isLgl/>
      <w:lvlText w:val="%1.%2.%3.%4.%5."/>
      <w:lvlJc w:val="left"/>
      <w:pPr>
        <w:tabs>
          <w:tab w:val="left" w:pos="1080"/>
        </w:tabs>
        <w:ind w:left="1080" w:hanging="720"/>
      </w:pPr>
      <w:rPr>
        <w:rFonts w:hint="default"/>
        <w:sz w:val="20"/>
      </w:rPr>
    </w:lvl>
    <w:lvl w:ilvl="5" w:tentative="0">
      <w:start w:val="1"/>
      <w:numFmt w:val="decimal"/>
      <w:isLgl/>
      <w:lvlText w:val="%1.%2.%3.%4.%5.%6."/>
      <w:lvlJc w:val="left"/>
      <w:pPr>
        <w:tabs>
          <w:tab w:val="left" w:pos="1440"/>
        </w:tabs>
        <w:ind w:left="1440" w:hanging="1080"/>
      </w:pPr>
      <w:rPr>
        <w:rFonts w:hint="default"/>
        <w:sz w:val="20"/>
      </w:rPr>
    </w:lvl>
    <w:lvl w:ilvl="6" w:tentative="0">
      <w:start w:val="1"/>
      <w:numFmt w:val="decimal"/>
      <w:isLgl/>
      <w:lvlText w:val="%1.%2.%3.%4.%5.%6.%7."/>
      <w:lvlJc w:val="left"/>
      <w:pPr>
        <w:tabs>
          <w:tab w:val="left" w:pos="1440"/>
        </w:tabs>
        <w:ind w:left="1440" w:hanging="1080"/>
      </w:pPr>
      <w:rPr>
        <w:rFonts w:hint="default"/>
        <w:sz w:val="20"/>
      </w:rPr>
    </w:lvl>
    <w:lvl w:ilvl="7" w:tentative="0">
      <w:start w:val="1"/>
      <w:numFmt w:val="decimal"/>
      <w:isLgl/>
      <w:lvlText w:val="%1.%2.%3.%4.%5.%6.%7.%8."/>
      <w:lvlJc w:val="left"/>
      <w:pPr>
        <w:tabs>
          <w:tab w:val="left" w:pos="1440"/>
        </w:tabs>
        <w:ind w:left="1440" w:hanging="1080"/>
      </w:pPr>
      <w:rPr>
        <w:rFonts w:hint="default"/>
        <w:sz w:val="20"/>
      </w:rPr>
    </w:lvl>
    <w:lvl w:ilvl="8" w:tentative="0">
      <w:start w:val="1"/>
      <w:numFmt w:val="decimal"/>
      <w:isLgl/>
      <w:lvlText w:val="%1.%2.%3.%4.%5.%6.%7.%8.%9."/>
      <w:lvlJc w:val="left"/>
      <w:pPr>
        <w:tabs>
          <w:tab w:val="left" w:pos="1800"/>
        </w:tabs>
        <w:ind w:left="1800" w:hanging="1440"/>
      </w:pPr>
      <w:rPr>
        <w:rFonts w:hint="default"/>
        <w:sz w:val="20"/>
      </w:rPr>
    </w:lvl>
  </w:abstractNum>
  <w:abstractNum w:abstractNumId="23">
    <w:nsid w:val="43AF62AC"/>
    <w:multiLevelType w:val="multilevel"/>
    <w:tmpl w:val="43AF62AC"/>
    <w:lvl w:ilvl="0" w:tentative="0">
      <w:start w:val="1"/>
      <w:numFmt w:val="decimal"/>
      <w:lvlText w:val="%1."/>
      <w:lvlJc w:val="left"/>
      <w:pPr>
        <w:ind w:left="720" w:hanging="360"/>
      </w:pPr>
      <w:rPr>
        <w:rFonts w:hint="default"/>
      </w:rPr>
    </w:lvl>
    <w:lvl w:ilvl="1" w:tentative="0">
      <w:start w:val="1"/>
      <w:numFmt w:val="lowerLetter"/>
      <w:lvlText w:val="%2."/>
      <w:lvlJc w:val="left"/>
      <w:pPr>
        <w:ind w:left="644"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4A630E8F"/>
    <w:multiLevelType w:val="multilevel"/>
    <w:tmpl w:val="4A630E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C0D4873"/>
    <w:multiLevelType w:val="multilevel"/>
    <w:tmpl w:val="4C0D4873"/>
    <w:lvl w:ilvl="0" w:tentative="0">
      <w:start w:val="1"/>
      <w:numFmt w:val="decimal"/>
      <w:lvlText w:val="%1."/>
      <w:lvlJc w:val="left"/>
      <w:pPr>
        <w:tabs>
          <w:tab w:val="left" w:pos="417"/>
        </w:tabs>
        <w:ind w:left="417" w:hanging="360"/>
      </w:pPr>
      <w:rPr>
        <w:rFonts w:hint="default"/>
      </w:rPr>
    </w:lvl>
    <w:lvl w:ilvl="1" w:tentative="0">
      <w:start w:val="1"/>
      <w:numFmt w:val="decimal"/>
      <w:lvlText w:val="%2."/>
      <w:lvlJc w:val="left"/>
      <w:pPr>
        <w:tabs>
          <w:tab w:val="left" w:pos="510"/>
        </w:tabs>
        <w:ind w:left="397" w:hanging="397"/>
      </w:pPr>
      <w:rPr>
        <w:rFonts w:ascii="Trebuchet MS" w:hAnsi="Trebuchet MS" w:eastAsia="Times New Roman" w:cs="Arial"/>
        <w:b w:val="0"/>
      </w:rPr>
    </w:lvl>
    <w:lvl w:ilvl="2" w:tentative="0">
      <w:start w:val="1"/>
      <w:numFmt w:val="lowerRoman"/>
      <w:lvlText w:val="%3."/>
      <w:lvlJc w:val="right"/>
      <w:pPr>
        <w:tabs>
          <w:tab w:val="left" w:pos="2160"/>
        </w:tabs>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6">
    <w:nsid w:val="51822333"/>
    <w:multiLevelType w:val="multilevel"/>
    <w:tmpl w:val="51822333"/>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27">
    <w:nsid w:val="56F83C25"/>
    <w:multiLevelType w:val="multilevel"/>
    <w:tmpl w:val="56F83C25"/>
    <w:lvl w:ilvl="0" w:tentative="0">
      <w:start w:val="1"/>
      <w:numFmt w:val="bullet"/>
      <w:pStyle w:val="72"/>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8">
    <w:nsid w:val="57EC472D"/>
    <w:multiLevelType w:val="multilevel"/>
    <w:tmpl w:val="57EC472D"/>
    <w:lvl w:ilvl="0" w:tentative="0">
      <w:start w:val="1"/>
      <w:numFmt w:val="decimal"/>
      <w:lvlText w:val="%1."/>
      <w:lvlJc w:val="left"/>
      <w:pPr>
        <w:ind w:left="720" w:hanging="360"/>
      </w:pPr>
      <w:rPr>
        <w:rFonts w:hint="default"/>
      </w:rPr>
    </w:lvl>
    <w:lvl w:ilvl="1" w:tentative="0">
      <w:start w:val="1"/>
      <w:numFmt w:val="decimal"/>
      <w:isLgl/>
      <w:lvlText w:val="%1.%2."/>
      <w:lvlJc w:val="left"/>
      <w:pPr>
        <w:ind w:left="1146" w:hanging="720"/>
      </w:pPr>
      <w:rPr>
        <w:rFonts w:hint="default"/>
      </w:rPr>
    </w:lvl>
    <w:lvl w:ilvl="2" w:tentative="0">
      <w:start w:val="1"/>
      <w:numFmt w:val="decimal"/>
      <w:isLgl/>
      <w:lvlText w:val="%1.%2.%3."/>
      <w:lvlJc w:val="left"/>
      <w:pPr>
        <w:ind w:left="1997"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29">
    <w:nsid w:val="5C5A40FE"/>
    <w:multiLevelType w:val="multilevel"/>
    <w:tmpl w:val="5C5A40FE"/>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30">
    <w:nsid w:val="5CA31A15"/>
    <w:multiLevelType w:val="singleLevel"/>
    <w:tmpl w:val="5CA31A15"/>
    <w:lvl w:ilvl="0" w:tentative="0">
      <w:start w:val="1"/>
      <w:numFmt w:val="bullet"/>
      <w:pStyle w:val="105"/>
      <w:lvlText w:val="–"/>
      <w:lvlJc w:val="left"/>
      <w:pPr>
        <w:tabs>
          <w:tab w:val="left" w:pos="850"/>
        </w:tabs>
        <w:ind w:left="850" w:hanging="850"/>
      </w:pPr>
    </w:lvl>
  </w:abstractNum>
  <w:abstractNum w:abstractNumId="31">
    <w:nsid w:val="5CD22CED"/>
    <w:multiLevelType w:val="multilevel"/>
    <w:tmpl w:val="5CD22CED"/>
    <w:lvl w:ilvl="0" w:tentative="0">
      <w:start w:val="1"/>
      <w:numFmt w:val="decimal"/>
      <w:lvlText w:val="%1)"/>
      <w:lvlJc w:val="left"/>
      <w:pPr>
        <w:ind w:left="927" w:hanging="360"/>
      </w:pPr>
      <w:rPr>
        <w:rFonts w:hint="default"/>
        <w:color w:val="000000"/>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32">
    <w:nsid w:val="5E787565"/>
    <w:multiLevelType w:val="multilevel"/>
    <w:tmpl w:val="5E787565"/>
    <w:lvl w:ilvl="0" w:tentative="0">
      <w:start w:val="1"/>
      <w:numFmt w:val="decimal"/>
      <w:lvlText w:val="%1."/>
      <w:lvlJc w:val="left"/>
      <w:pPr>
        <w:tabs>
          <w:tab w:val="left" w:pos="567"/>
        </w:tabs>
        <w:ind w:left="567" w:hanging="567"/>
      </w:pPr>
      <w:rPr>
        <w:rFonts w:hint="default"/>
        <w:b w:val="0"/>
      </w:rPr>
    </w:lvl>
    <w:lvl w:ilvl="1" w:tentative="0">
      <w:start w:val="1"/>
      <w:numFmt w:val="none"/>
      <w:lvlText w:val="2.1."/>
      <w:lvlJc w:val="left"/>
      <w:pPr>
        <w:tabs>
          <w:tab w:val="left" w:pos="567"/>
        </w:tabs>
        <w:ind w:left="567" w:hanging="567"/>
      </w:pPr>
      <w:rPr>
        <w:rFonts w:hint="default"/>
        <w:b w:val="0"/>
        <w:i w:val="0"/>
        <w:sz w:val="20"/>
        <w:szCs w:val="20"/>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720"/>
        </w:tabs>
        <w:ind w:left="720" w:hanging="72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080"/>
        </w:tabs>
        <w:ind w:left="1080" w:hanging="108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440"/>
        </w:tabs>
        <w:ind w:left="1440" w:hanging="144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33">
    <w:nsid w:val="63E8780E"/>
    <w:multiLevelType w:val="multilevel"/>
    <w:tmpl w:val="63E8780E"/>
    <w:lvl w:ilvl="0" w:tentative="0">
      <w:start w:val="5"/>
      <w:numFmt w:val="decimal"/>
      <w:lvlText w:val="%1."/>
      <w:lvlJc w:val="left"/>
      <w:pPr>
        <w:ind w:left="360" w:hanging="360"/>
      </w:pPr>
      <w:rPr>
        <w:rFonts w:hint="default" w:cs="Times New Roman"/>
      </w:rPr>
    </w:lvl>
    <w:lvl w:ilvl="1" w:tentative="0">
      <w:start w:val="1"/>
      <w:numFmt w:val="decimal"/>
      <w:lvlText w:val="%1.%2."/>
      <w:lvlJc w:val="left"/>
      <w:pPr>
        <w:ind w:left="360" w:hanging="360"/>
      </w:pPr>
      <w:rPr>
        <w:rFonts w:hint="default" w:cs="Times New Roman"/>
      </w:rPr>
    </w:lvl>
    <w:lvl w:ilvl="2" w:tentative="0">
      <w:start w:val="1"/>
      <w:numFmt w:val="decimal"/>
      <w:lvlText w:val="%1.%2.%3."/>
      <w:lvlJc w:val="left"/>
      <w:pPr>
        <w:ind w:left="720" w:hanging="720"/>
      </w:pPr>
      <w:rPr>
        <w:rFonts w:hint="default" w:cs="Times New Roman"/>
      </w:rPr>
    </w:lvl>
    <w:lvl w:ilvl="3" w:tentative="0">
      <w:start w:val="1"/>
      <w:numFmt w:val="decimal"/>
      <w:lvlText w:val="%1.%2.%3.%4."/>
      <w:lvlJc w:val="left"/>
      <w:pPr>
        <w:ind w:left="720" w:hanging="720"/>
      </w:pPr>
      <w:rPr>
        <w:rFonts w:hint="default" w:cs="Times New Roman"/>
      </w:rPr>
    </w:lvl>
    <w:lvl w:ilvl="4" w:tentative="0">
      <w:start w:val="1"/>
      <w:numFmt w:val="decimal"/>
      <w:lvlText w:val="%1.%2.%3.%4.%5."/>
      <w:lvlJc w:val="left"/>
      <w:pPr>
        <w:ind w:left="1080" w:hanging="1080"/>
      </w:pPr>
      <w:rPr>
        <w:rFonts w:hint="default" w:cs="Times New Roman"/>
      </w:rPr>
    </w:lvl>
    <w:lvl w:ilvl="5" w:tentative="0">
      <w:start w:val="1"/>
      <w:numFmt w:val="decimal"/>
      <w:lvlText w:val="%1.%2.%3.%4.%5.%6."/>
      <w:lvlJc w:val="left"/>
      <w:pPr>
        <w:ind w:left="1080" w:hanging="1080"/>
      </w:pPr>
      <w:rPr>
        <w:rFonts w:hint="default" w:cs="Times New Roman"/>
      </w:rPr>
    </w:lvl>
    <w:lvl w:ilvl="6" w:tentative="0">
      <w:start w:val="1"/>
      <w:numFmt w:val="decimal"/>
      <w:lvlText w:val="%1.%2.%3.%4.%5.%6.%7."/>
      <w:lvlJc w:val="left"/>
      <w:pPr>
        <w:ind w:left="1440" w:hanging="1440"/>
      </w:pPr>
      <w:rPr>
        <w:rFonts w:hint="default" w:cs="Times New Roman"/>
      </w:rPr>
    </w:lvl>
    <w:lvl w:ilvl="7" w:tentative="0">
      <w:start w:val="1"/>
      <w:numFmt w:val="decimal"/>
      <w:lvlText w:val="%1.%2.%3.%4.%5.%6.%7.%8."/>
      <w:lvlJc w:val="left"/>
      <w:pPr>
        <w:ind w:left="1440" w:hanging="1440"/>
      </w:pPr>
      <w:rPr>
        <w:rFonts w:hint="default" w:cs="Times New Roman"/>
      </w:rPr>
    </w:lvl>
    <w:lvl w:ilvl="8" w:tentative="0">
      <w:start w:val="1"/>
      <w:numFmt w:val="decimal"/>
      <w:lvlText w:val="%1.%2.%3.%4.%5.%6.%7.%8.%9."/>
      <w:lvlJc w:val="left"/>
      <w:pPr>
        <w:ind w:left="1800" w:hanging="1800"/>
      </w:pPr>
      <w:rPr>
        <w:rFonts w:hint="default" w:cs="Times New Roman"/>
      </w:rPr>
    </w:lvl>
  </w:abstractNum>
  <w:abstractNum w:abstractNumId="34">
    <w:nsid w:val="64794B6D"/>
    <w:multiLevelType w:val="singleLevel"/>
    <w:tmpl w:val="64794B6D"/>
    <w:lvl w:ilvl="0" w:tentative="0">
      <w:start w:val="5"/>
      <w:numFmt w:val="bullet"/>
      <w:lvlText w:val="-"/>
      <w:lvlJc w:val="left"/>
      <w:pPr>
        <w:tabs>
          <w:tab w:val="left" w:pos="502"/>
        </w:tabs>
        <w:ind w:left="502" w:hanging="360"/>
      </w:pPr>
      <w:rPr>
        <w:rFonts w:hint="default"/>
      </w:rPr>
    </w:lvl>
  </w:abstractNum>
  <w:abstractNum w:abstractNumId="35">
    <w:nsid w:val="67782C5E"/>
    <w:multiLevelType w:val="multilevel"/>
    <w:tmpl w:val="67782C5E"/>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6">
    <w:nsid w:val="69720516"/>
    <w:multiLevelType w:val="multilevel"/>
    <w:tmpl w:val="69720516"/>
    <w:lvl w:ilvl="0" w:tentative="0">
      <w:start w:val="1"/>
      <w:numFmt w:val="bullet"/>
      <w:pStyle w:val="84"/>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7">
    <w:nsid w:val="6C001215"/>
    <w:multiLevelType w:val="multilevel"/>
    <w:tmpl w:val="6C001215"/>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38">
    <w:nsid w:val="6C415421"/>
    <w:multiLevelType w:val="multilevel"/>
    <w:tmpl w:val="6C415421"/>
    <w:lvl w:ilvl="0" w:tentative="0">
      <w:start w:val="1"/>
      <w:numFmt w:val="decimal"/>
      <w:lvlText w:val="%1."/>
      <w:lvlJc w:val="left"/>
      <w:pPr>
        <w:ind w:left="720" w:hanging="360"/>
      </w:pPr>
      <w:rPr>
        <w:rFonts w:hint="default"/>
      </w:rPr>
    </w:lvl>
    <w:lvl w:ilvl="1" w:tentative="0">
      <w:start w:val="1"/>
      <w:numFmt w:val="lowerLetter"/>
      <w:lvlText w:val="%2)"/>
      <w:lvlJc w:val="left"/>
      <w:pPr>
        <w:ind w:left="720" w:hanging="360"/>
      </w:pPr>
      <w:rPr>
        <w:rFonts w:hint="default"/>
        <w:b/>
        <w:sz w:val="20"/>
        <w:szCs w:val="20"/>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39">
    <w:nsid w:val="6C900F77"/>
    <w:multiLevelType w:val="multilevel"/>
    <w:tmpl w:val="6C900F77"/>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465"/>
        </w:tabs>
        <w:ind w:left="465" w:hanging="465"/>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40">
    <w:nsid w:val="744C6B2B"/>
    <w:multiLevelType w:val="multilevel"/>
    <w:tmpl w:val="744C6B2B"/>
    <w:lvl w:ilvl="0" w:tentative="0">
      <w:start w:val="1"/>
      <w:numFmt w:val="bullet"/>
      <w:pStyle w:val="70"/>
      <w:lvlText w:val=""/>
      <w:lvlJc w:val="left"/>
      <w:pPr>
        <w:tabs>
          <w:tab w:val="left" w:pos="360"/>
        </w:tabs>
        <w:ind w:left="360" w:hanging="360"/>
      </w:pPr>
      <w:rPr>
        <w:rFonts w:hint="default" w:ascii="Symbol" w:hAnsi="Symbol"/>
        <w:color w:val="auto"/>
        <w:sz w:val="18"/>
        <w:szCs w:val="18"/>
      </w:rPr>
    </w:lvl>
    <w:lvl w:ilvl="1" w:tentative="0">
      <w:start w:val="1"/>
      <w:numFmt w:val="bullet"/>
      <w:lvlText w:val=""/>
      <w:lvlJc w:val="left"/>
      <w:pPr>
        <w:tabs>
          <w:tab w:val="left" w:pos="1298"/>
        </w:tabs>
        <w:ind w:left="1298" w:hanging="360"/>
      </w:pPr>
      <w:rPr>
        <w:rFonts w:hint="default" w:ascii="Wingdings" w:hAnsi="Wingdings"/>
      </w:rPr>
    </w:lvl>
    <w:lvl w:ilvl="2" w:tentative="0">
      <w:start w:val="1"/>
      <w:numFmt w:val="bullet"/>
      <w:lvlText w:val=""/>
      <w:lvlJc w:val="left"/>
      <w:pPr>
        <w:tabs>
          <w:tab w:val="left" w:pos="2018"/>
        </w:tabs>
        <w:ind w:left="2018" w:hanging="360"/>
      </w:pPr>
      <w:rPr>
        <w:rFonts w:hint="default" w:ascii="Symbol" w:hAnsi="Symbol"/>
        <w:color w:val="000000"/>
      </w:rPr>
    </w:lvl>
    <w:lvl w:ilvl="3" w:tentative="0">
      <w:start w:val="1"/>
      <w:numFmt w:val="bullet"/>
      <w:lvlText w:val=""/>
      <w:lvlJc w:val="left"/>
      <w:pPr>
        <w:tabs>
          <w:tab w:val="left" w:pos="2738"/>
        </w:tabs>
        <w:ind w:left="2738" w:hanging="360"/>
      </w:pPr>
      <w:rPr>
        <w:rFonts w:hint="default" w:ascii="Symbol" w:hAnsi="Symbol"/>
      </w:rPr>
    </w:lvl>
    <w:lvl w:ilvl="4" w:tentative="0">
      <w:start w:val="1"/>
      <w:numFmt w:val="bullet"/>
      <w:lvlText w:val="o"/>
      <w:lvlJc w:val="left"/>
      <w:pPr>
        <w:tabs>
          <w:tab w:val="left" w:pos="3458"/>
        </w:tabs>
        <w:ind w:left="3458" w:hanging="360"/>
      </w:pPr>
      <w:rPr>
        <w:rFonts w:hint="default" w:ascii="Courier New" w:hAnsi="Courier New" w:cs="Courier New"/>
      </w:rPr>
    </w:lvl>
    <w:lvl w:ilvl="5" w:tentative="0">
      <w:start w:val="1"/>
      <w:numFmt w:val="bullet"/>
      <w:lvlText w:val=""/>
      <w:lvlJc w:val="left"/>
      <w:pPr>
        <w:tabs>
          <w:tab w:val="left" w:pos="4178"/>
        </w:tabs>
        <w:ind w:left="4178" w:hanging="360"/>
      </w:pPr>
      <w:rPr>
        <w:rFonts w:hint="default" w:ascii="Wingdings" w:hAnsi="Wingdings"/>
      </w:rPr>
    </w:lvl>
    <w:lvl w:ilvl="6" w:tentative="0">
      <w:start w:val="1"/>
      <w:numFmt w:val="bullet"/>
      <w:lvlText w:val=""/>
      <w:lvlJc w:val="left"/>
      <w:pPr>
        <w:tabs>
          <w:tab w:val="left" w:pos="4898"/>
        </w:tabs>
        <w:ind w:left="4898" w:hanging="360"/>
      </w:pPr>
      <w:rPr>
        <w:rFonts w:hint="default" w:ascii="Symbol" w:hAnsi="Symbol"/>
      </w:rPr>
    </w:lvl>
    <w:lvl w:ilvl="7" w:tentative="0">
      <w:start w:val="1"/>
      <w:numFmt w:val="bullet"/>
      <w:lvlText w:val="o"/>
      <w:lvlJc w:val="left"/>
      <w:pPr>
        <w:tabs>
          <w:tab w:val="left" w:pos="5618"/>
        </w:tabs>
        <w:ind w:left="5618" w:hanging="360"/>
      </w:pPr>
      <w:rPr>
        <w:rFonts w:hint="default" w:ascii="Courier New" w:hAnsi="Courier New" w:cs="Courier New"/>
      </w:rPr>
    </w:lvl>
    <w:lvl w:ilvl="8" w:tentative="0">
      <w:start w:val="1"/>
      <w:numFmt w:val="bullet"/>
      <w:lvlText w:val=""/>
      <w:lvlJc w:val="left"/>
      <w:pPr>
        <w:tabs>
          <w:tab w:val="left" w:pos="6338"/>
        </w:tabs>
        <w:ind w:left="6338" w:hanging="360"/>
      </w:pPr>
      <w:rPr>
        <w:rFonts w:hint="default" w:ascii="Wingdings" w:hAnsi="Wingdings"/>
      </w:rPr>
    </w:lvl>
  </w:abstractNum>
  <w:abstractNum w:abstractNumId="41">
    <w:nsid w:val="765F6630"/>
    <w:multiLevelType w:val="multilevel"/>
    <w:tmpl w:val="765F6630"/>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42">
    <w:nsid w:val="79B155D5"/>
    <w:multiLevelType w:val="multilevel"/>
    <w:tmpl w:val="79B155D5"/>
    <w:lvl w:ilvl="0" w:tentative="0">
      <w:start w:val="1"/>
      <w:numFmt w:val="decimal"/>
      <w:lvlText w:val="%1."/>
      <w:lvlJc w:val="left"/>
      <w:pPr>
        <w:ind w:left="720" w:hanging="360"/>
      </w:pPr>
      <w:rPr>
        <w:rFonts w:hint="default"/>
      </w:rPr>
    </w:lvl>
    <w:lvl w:ilvl="1" w:tentative="0">
      <w:start w:val="1"/>
      <w:numFmt w:val="decimal"/>
      <w:isLgl/>
      <w:lvlText w:val="%1.%2"/>
      <w:lvlJc w:val="left"/>
      <w:pPr>
        <w:ind w:left="927" w:hanging="360"/>
      </w:pPr>
      <w:rPr>
        <w:rFonts w:hint="default"/>
      </w:rPr>
    </w:lvl>
    <w:lvl w:ilvl="2" w:tentative="0">
      <w:start w:val="1"/>
      <w:numFmt w:val="decimal"/>
      <w:isLgl/>
      <w:lvlText w:val="%1.%2.%3"/>
      <w:lvlJc w:val="left"/>
      <w:pPr>
        <w:ind w:left="1494" w:hanging="720"/>
      </w:pPr>
      <w:rPr>
        <w:rFonts w:hint="default"/>
      </w:rPr>
    </w:lvl>
    <w:lvl w:ilvl="3" w:tentative="0">
      <w:start w:val="1"/>
      <w:numFmt w:val="decimal"/>
      <w:isLgl/>
      <w:lvlText w:val="%1.%2.%3.%4"/>
      <w:lvlJc w:val="left"/>
      <w:pPr>
        <w:ind w:left="1701" w:hanging="720"/>
      </w:pPr>
      <w:rPr>
        <w:rFonts w:hint="default"/>
      </w:rPr>
    </w:lvl>
    <w:lvl w:ilvl="4" w:tentative="0">
      <w:start w:val="1"/>
      <w:numFmt w:val="decimal"/>
      <w:isLgl/>
      <w:lvlText w:val="%1.%2.%3.%4.%5"/>
      <w:lvlJc w:val="left"/>
      <w:pPr>
        <w:ind w:left="2268" w:hanging="1080"/>
      </w:pPr>
      <w:rPr>
        <w:rFonts w:hint="default"/>
      </w:rPr>
    </w:lvl>
    <w:lvl w:ilvl="5" w:tentative="0">
      <w:start w:val="1"/>
      <w:numFmt w:val="decimal"/>
      <w:isLgl/>
      <w:lvlText w:val="%1.%2.%3.%4.%5.%6"/>
      <w:lvlJc w:val="left"/>
      <w:pPr>
        <w:ind w:left="2475" w:hanging="1080"/>
      </w:pPr>
      <w:rPr>
        <w:rFonts w:hint="default"/>
      </w:rPr>
    </w:lvl>
    <w:lvl w:ilvl="6" w:tentative="0">
      <w:start w:val="1"/>
      <w:numFmt w:val="decimal"/>
      <w:isLgl/>
      <w:lvlText w:val="%1.%2.%3.%4.%5.%6.%7"/>
      <w:lvlJc w:val="left"/>
      <w:pPr>
        <w:ind w:left="3042" w:hanging="1440"/>
      </w:pPr>
      <w:rPr>
        <w:rFonts w:hint="default"/>
      </w:rPr>
    </w:lvl>
    <w:lvl w:ilvl="7" w:tentative="0">
      <w:start w:val="1"/>
      <w:numFmt w:val="decimal"/>
      <w:isLgl/>
      <w:lvlText w:val="%1.%2.%3.%4.%5.%6.%7.%8"/>
      <w:lvlJc w:val="left"/>
      <w:pPr>
        <w:ind w:left="3249" w:hanging="1440"/>
      </w:pPr>
      <w:rPr>
        <w:rFonts w:hint="default"/>
      </w:rPr>
    </w:lvl>
    <w:lvl w:ilvl="8" w:tentative="0">
      <w:start w:val="1"/>
      <w:numFmt w:val="decimal"/>
      <w:isLgl/>
      <w:lvlText w:val="%1.%2.%3.%4.%5.%6.%7.%8.%9"/>
      <w:lvlJc w:val="left"/>
      <w:pPr>
        <w:ind w:left="3816" w:hanging="1800"/>
      </w:pPr>
      <w:rPr>
        <w:rFonts w:hint="default"/>
      </w:rPr>
    </w:lvl>
  </w:abstractNum>
  <w:abstractNum w:abstractNumId="43">
    <w:nsid w:val="7DC11A0A"/>
    <w:multiLevelType w:val="multilevel"/>
    <w:tmpl w:val="7DC11A0A"/>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891"/>
        </w:tabs>
        <w:ind w:left="891" w:hanging="465"/>
      </w:pPr>
      <w:rPr>
        <w:rFonts w:hint="default"/>
        <w:b w:val="0"/>
        <w:bCs w:val="0"/>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num w:numId="1">
    <w:abstractNumId w:val="0"/>
  </w:num>
  <w:num w:numId="2">
    <w:abstractNumId w:val="40"/>
  </w:num>
  <w:num w:numId="3">
    <w:abstractNumId w:val="27"/>
  </w:num>
  <w:num w:numId="4">
    <w:abstractNumId w:val="1"/>
  </w:num>
  <w:num w:numId="5">
    <w:abstractNumId w:val="36"/>
  </w:num>
  <w:num w:numId="6">
    <w:abstractNumId w:val="18"/>
  </w:num>
  <w:num w:numId="7">
    <w:abstractNumId w:val="30"/>
    <w:lvlOverride w:ilvl="0">
      <w:startOverride w:val="1"/>
    </w:lvlOverride>
  </w:num>
  <w:num w:numId="8">
    <w:abstractNumId w:val="21"/>
    <w:lvlOverride w:ilvl="0">
      <w:startOverride w:val="1"/>
    </w:lvlOverride>
  </w:num>
  <w:num w:numId="9">
    <w:abstractNumId w:val="13"/>
  </w:num>
  <w:num w:numId="10">
    <w:abstractNumId w:val="7"/>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9"/>
  </w:num>
  <w:num w:numId="14">
    <w:abstractNumId w:val="12"/>
  </w:num>
  <w:num w:numId="15">
    <w:abstractNumId w:val="9"/>
  </w:num>
  <w:num w:numId="16">
    <w:abstractNumId w:val="32"/>
  </w:num>
  <w:num w:numId="17">
    <w:abstractNumId w:val="34"/>
  </w:num>
  <w:num w:numId="18">
    <w:abstractNumId w:val="31"/>
  </w:num>
  <w:num w:numId="1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37"/>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15"/>
  </w:num>
  <w:num w:numId="25">
    <w:abstractNumId w:val="35"/>
  </w:num>
  <w:num w:numId="26">
    <w:abstractNumId w:val="20"/>
  </w:num>
  <w:num w:numId="27">
    <w:abstractNumId w:val="25"/>
  </w:num>
  <w:num w:numId="28">
    <w:abstractNumId w:val="33"/>
  </w:num>
  <w:num w:numId="29">
    <w:abstractNumId w:val="23"/>
  </w:num>
  <w:num w:numId="30">
    <w:abstractNumId w:val="2"/>
  </w:num>
  <w:num w:numId="31">
    <w:abstractNumId w:val="28"/>
  </w:num>
  <w:num w:numId="32">
    <w:abstractNumId w:val="4"/>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16"/>
  </w:num>
  <w:num w:numId="36">
    <w:abstractNumId w:val="5"/>
  </w:num>
  <w:num w:numId="37">
    <w:abstractNumId w:val="41"/>
  </w:num>
  <w:num w:numId="38">
    <w:abstractNumId w:val="39"/>
  </w:num>
  <w:num w:numId="39">
    <w:abstractNumId w:val="38"/>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22"/>
  </w:num>
  <w:num w:numId="43">
    <w:abstractNumId w:val="24"/>
  </w:num>
  <w:num w:numId="44">
    <w:abstractNumId w:val="14"/>
  </w:num>
  <w:num w:numId="45">
    <w:abstractNumId w:val="10"/>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characterSpacingControl w:val="doNotCompress"/>
  <w:compat>
    <w:compatSetting w:name="compatibilityMode" w:uri="http://schemas.microsoft.com/office/word" w:val="12"/>
  </w:compat>
  <w:rsids>
    <w:rsidRoot w:val="00A16332"/>
    <w:rsid w:val="0000056C"/>
    <w:rsid w:val="0000076D"/>
    <w:rsid w:val="0000079E"/>
    <w:rsid w:val="00000E4C"/>
    <w:rsid w:val="000011A0"/>
    <w:rsid w:val="00001B8A"/>
    <w:rsid w:val="00002298"/>
    <w:rsid w:val="00002F22"/>
    <w:rsid w:val="00003041"/>
    <w:rsid w:val="00003754"/>
    <w:rsid w:val="00003C56"/>
    <w:rsid w:val="00003CBE"/>
    <w:rsid w:val="00004CF8"/>
    <w:rsid w:val="00005691"/>
    <w:rsid w:val="00005B35"/>
    <w:rsid w:val="000060F3"/>
    <w:rsid w:val="00006AE7"/>
    <w:rsid w:val="00007A71"/>
    <w:rsid w:val="0001044E"/>
    <w:rsid w:val="00010793"/>
    <w:rsid w:val="00010813"/>
    <w:rsid w:val="00011665"/>
    <w:rsid w:val="00011A44"/>
    <w:rsid w:val="000120B5"/>
    <w:rsid w:val="000122C9"/>
    <w:rsid w:val="00012EDA"/>
    <w:rsid w:val="000136A2"/>
    <w:rsid w:val="000140AE"/>
    <w:rsid w:val="0001432B"/>
    <w:rsid w:val="000143A2"/>
    <w:rsid w:val="00014B06"/>
    <w:rsid w:val="000156A5"/>
    <w:rsid w:val="0001645B"/>
    <w:rsid w:val="00017339"/>
    <w:rsid w:val="000179BE"/>
    <w:rsid w:val="00017C25"/>
    <w:rsid w:val="00017D4D"/>
    <w:rsid w:val="00021386"/>
    <w:rsid w:val="00023D10"/>
    <w:rsid w:val="000240D6"/>
    <w:rsid w:val="000241F1"/>
    <w:rsid w:val="0002459F"/>
    <w:rsid w:val="00024B5B"/>
    <w:rsid w:val="00024E9B"/>
    <w:rsid w:val="000250F2"/>
    <w:rsid w:val="00027154"/>
    <w:rsid w:val="00027404"/>
    <w:rsid w:val="00027566"/>
    <w:rsid w:val="00027C2E"/>
    <w:rsid w:val="00027C91"/>
    <w:rsid w:val="00027F57"/>
    <w:rsid w:val="000315C1"/>
    <w:rsid w:val="00031BFA"/>
    <w:rsid w:val="0003304F"/>
    <w:rsid w:val="000334AA"/>
    <w:rsid w:val="00034647"/>
    <w:rsid w:val="000347EB"/>
    <w:rsid w:val="00034910"/>
    <w:rsid w:val="00034B78"/>
    <w:rsid w:val="000353E8"/>
    <w:rsid w:val="000353F6"/>
    <w:rsid w:val="00035449"/>
    <w:rsid w:val="00035FFE"/>
    <w:rsid w:val="00036023"/>
    <w:rsid w:val="00036D63"/>
    <w:rsid w:val="00036F9C"/>
    <w:rsid w:val="000373B8"/>
    <w:rsid w:val="000377FE"/>
    <w:rsid w:val="00037AC0"/>
    <w:rsid w:val="000414E0"/>
    <w:rsid w:val="00041C41"/>
    <w:rsid w:val="00042AF0"/>
    <w:rsid w:val="00042D49"/>
    <w:rsid w:val="00042DCF"/>
    <w:rsid w:val="0004409E"/>
    <w:rsid w:val="0004455F"/>
    <w:rsid w:val="000458D4"/>
    <w:rsid w:val="00046819"/>
    <w:rsid w:val="00047113"/>
    <w:rsid w:val="0004764B"/>
    <w:rsid w:val="0005003C"/>
    <w:rsid w:val="00050242"/>
    <w:rsid w:val="000505E8"/>
    <w:rsid w:val="00050BD0"/>
    <w:rsid w:val="0005178D"/>
    <w:rsid w:val="0005225F"/>
    <w:rsid w:val="000529FF"/>
    <w:rsid w:val="00053D93"/>
    <w:rsid w:val="000549E7"/>
    <w:rsid w:val="00055381"/>
    <w:rsid w:val="00055A26"/>
    <w:rsid w:val="000569BD"/>
    <w:rsid w:val="00056FE7"/>
    <w:rsid w:val="0005763F"/>
    <w:rsid w:val="000607F7"/>
    <w:rsid w:val="00060D07"/>
    <w:rsid w:val="0006114A"/>
    <w:rsid w:val="0006227A"/>
    <w:rsid w:val="00062CF5"/>
    <w:rsid w:val="00063822"/>
    <w:rsid w:val="00063A92"/>
    <w:rsid w:val="00064269"/>
    <w:rsid w:val="000645EA"/>
    <w:rsid w:val="00064F4F"/>
    <w:rsid w:val="00065D44"/>
    <w:rsid w:val="00066113"/>
    <w:rsid w:val="0007023D"/>
    <w:rsid w:val="000713BB"/>
    <w:rsid w:val="00071A28"/>
    <w:rsid w:val="0007362E"/>
    <w:rsid w:val="00075341"/>
    <w:rsid w:val="000756B1"/>
    <w:rsid w:val="00075C1E"/>
    <w:rsid w:val="00075D98"/>
    <w:rsid w:val="00076A46"/>
    <w:rsid w:val="00076A95"/>
    <w:rsid w:val="0007722B"/>
    <w:rsid w:val="0007723A"/>
    <w:rsid w:val="00077516"/>
    <w:rsid w:val="000775FF"/>
    <w:rsid w:val="00077A80"/>
    <w:rsid w:val="00077CD2"/>
    <w:rsid w:val="00077E62"/>
    <w:rsid w:val="00080066"/>
    <w:rsid w:val="0008068B"/>
    <w:rsid w:val="000813A2"/>
    <w:rsid w:val="000816CA"/>
    <w:rsid w:val="0008362E"/>
    <w:rsid w:val="00083925"/>
    <w:rsid w:val="000839CC"/>
    <w:rsid w:val="00083D90"/>
    <w:rsid w:val="00084646"/>
    <w:rsid w:val="0008525C"/>
    <w:rsid w:val="00085DD3"/>
    <w:rsid w:val="00085DF8"/>
    <w:rsid w:val="0008615A"/>
    <w:rsid w:val="00086162"/>
    <w:rsid w:val="000861FF"/>
    <w:rsid w:val="0008658B"/>
    <w:rsid w:val="00086FFA"/>
    <w:rsid w:val="00087C8C"/>
    <w:rsid w:val="00090BC0"/>
    <w:rsid w:val="00091105"/>
    <w:rsid w:val="00091477"/>
    <w:rsid w:val="00091F63"/>
    <w:rsid w:val="00092EDF"/>
    <w:rsid w:val="00093BCC"/>
    <w:rsid w:val="00094482"/>
    <w:rsid w:val="000949B3"/>
    <w:rsid w:val="00094D89"/>
    <w:rsid w:val="000952D1"/>
    <w:rsid w:val="000952E7"/>
    <w:rsid w:val="000958E9"/>
    <w:rsid w:val="00095B9A"/>
    <w:rsid w:val="00096248"/>
    <w:rsid w:val="000963AC"/>
    <w:rsid w:val="00096C32"/>
    <w:rsid w:val="000A0726"/>
    <w:rsid w:val="000A07E1"/>
    <w:rsid w:val="000A088B"/>
    <w:rsid w:val="000A11F1"/>
    <w:rsid w:val="000A1C01"/>
    <w:rsid w:val="000A1D81"/>
    <w:rsid w:val="000A21DF"/>
    <w:rsid w:val="000A2A07"/>
    <w:rsid w:val="000A305D"/>
    <w:rsid w:val="000A3B9F"/>
    <w:rsid w:val="000A3E71"/>
    <w:rsid w:val="000A5A0E"/>
    <w:rsid w:val="000A5E73"/>
    <w:rsid w:val="000A5F7A"/>
    <w:rsid w:val="000A626E"/>
    <w:rsid w:val="000A65FF"/>
    <w:rsid w:val="000A687C"/>
    <w:rsid w:val="000A697E"/>
    <w:rsid w:val="000A6D31"/>
    <w:rsid w:val="000B0152"/>
    <w:rsid w:val="000B09E1"/>
    <w:rsid w:val="000B0C12"/>
    <w:rsid w:val="000B1921"/>
    <w:rsid w:val="000B1BE8"/>
    <w:rsid w:val="000B1C3F"/>
    <w:rsid w:val="000B2442"/>
    <w:rsid w:val="000B244B"/>
    <w:rsid w:val="000B2AB0"/>
    <w:rsid w:val="000B2EFD"/>
    <w:rsid w:val="000B61C4"/>
    <w:rsid w:val="000B6C82"/>
    <w:rsid w:val="000B7A78"/>
    <w:rsid w:val="000C04C8"/>
    <w:rsid w:val="000C0874"/>
    <w:rsid w:val="000C0DF6"/>
    <w:rsid w:val="000C0F14"/>
    <w:rsid w:val="000C10A5"/>
    <w:rsid w:val="000C1238"/>
    <w:rsid w:val="000C12FF"/>
    <w:rsid w:val="000C1C5E"/>
    <w:rsid w:val="000C22D2"/>
    <w:rsid w:val="000C22E2"/>
    <w:rsid w:val="000C2428"/>
    <w:rsid w:val="000C35F7"/>
    <w:rsid w:val="000C415E"/>
    <w:rsid w:val="000C4B23"/>
    <w:rsid w:val="000C4E82"/>
    <w:rsid w:val="000C5557"/>
    <w:rsid w:val="000C56D2"/>
    <w:rsid w:val="000C5984"/>
    <w:rsid w:val="000C5DA3"/>
    <w:rsid w:val="000C661E"/>
    <w:rsid w:val="000C7101"/>
    <w:rsid w:val="000C788C"/>
    <w:rsid w:val="000C7C41"/>
    <w:rsid w:val="000D0109"/>
    <w:rsid w:val="000D0527"/>
    <w:rsid w:val="000D1268"/>
    <w:rsid w:val="000D15D3"/>
    <w:rsid w:val="000D23BC"/>
    <w:rsid w:val="000D2577"/>
    <w:rsid w:val="000D2768"/>
    <w:rsid w:val="000D2933"/>
    <w:rsid w:val="000D2C45"/>
    <w:rsid w:val="000D2DA4"/>
    <w:rsid w:val="000D4DD2"/>
    <w:rsid w:val="000D4F7E"/>
    <w:rsid w:val="000D54A4"/>
    <w:rsid w:val="000D5CD8"/>
    <w:rsid w:val="000D607E"/>
    <w:rsid w:val="000D6323"/>
    <w:rsid w:val="000D679F"/>
    <w:rsid w:val="000D6869"/>
    <w:rsid w:val="000D6A53"/>
    <w:rsid w:val="000D6AE6"/>
    <w:rsid w:val="000D7184"/>
    <w:rsid w:val="000D7BD4"/>
    <w:rsid w:val="000E084A"/>
    <w:rsid w:val="000E0AF5"/>
    <w:rsid w:val="000E137F"/>
    <w:rsid w:val="000E240B"/>
    <w:rsid w:val="000E33E4"/>
    <w:rsid w:val="000E343F"/>
    <w:rsid w:val="000E3803"/>
    <w:rsid w:val="000E39E8"/>
    <w:rsid w:val="000E3EF8"/>
    <w:rsid w:val="000E4630"/>
    <w:rsid w:val="000E4A59"/>
    <w:rsid w:val="000E5084"/>
    <w:rsid w:val="000E50E3"/>
    <w:rsid w:val="000E5323"/>
    <w:rsid w:val="000E5709"/>
    <w:rsid w:val="000E6188"/>
    <w:rsid w:val="000E6847"/>
    <w:rsid w:val="000E68E1"/>
    <w:rsid w:val="000E6A8D"/>
    <w:rsid w:val="000E7508"/>
    <w:rsid w:val="000E7741"/>
    <w:rsid w:val="000F0570"/>
    <w:rsid w:val="000F0612"/>
    <w:rsid w:val="000F1435"/>
    <w:rsid w:val="000F1ECF"/>
    <w:rsid w:val="000F26C4"/>
    <w:rsid w:val="000F270D"/>
    <w:rsid w:val="000F27F1"/>
    <w:rsid w:val="000F41CB"/>
    <w:rsid w:val="000F43E1"/>
    <w:rsid w:val="000F4934"/>
    <w:rsid w:val="000F4FF0"/>
    <w:rsid w:val="000F5468"/>
    <w:rsid w:val="000F5653"/>
    <w:rsid w:val="000F5716"/>
    <w:rsid w:val="000F6258"/>
    <w:rsid w:val="000F667F"/>
    <w:rsid w:val="000F66CF"/>
    <w:rsid w:val="000F694E"/>
    <w:rsid w:val="000F695E"/>
    <w:rsid w:val="000F791A"/>
    <w:rsid w:val="000F7DA5"/>
    <w:rsid w:val="001002C0"/>
    <w:rsid w:val="00100C8A"/>
    <w:rsid w:val="00101460"/>
    <w:rsid w:val="001016FD"/>
    <w:rsid w:val="00102F57"/>
    <w:rsid w:val="0010323B"/>
    <w:rsid w:val="00103EDB"/>
    <w:rsid w:val="0010470C"/>
    <w:rsid w:val="00104746"/>
    <w:rsid w:val="00105086"/>
    <w:rsid w:val="0010526D"/>
    <w:rsid w:val="001052A3"/>
    <w:rsid w:val="001053CC"/>
    <w:rsid w:val="00105AA9"/>
    <w:rsid w:val="00106DEE"/>
    <w:rsid w:val="00107134"/>
    <w:rsid w:val="00107AB9"/>
    <w:rsid w:val="00107D40"/>
    <w:rsid w:val="0011083F"/>
    <w:rsid w:val="00110A40"/>
    <w:rsid w:val="00110EA9"/>
    <w:rsid w:val="0011183B"/>
    <w:rsid w:val="00111998"/>
    <w:rsid w:val="00111A14"/>
    <w:rsid w:val="0011213A"/>
    <w:rsid w:val="00112191"/>
    <w:rsid w:val="00112958"/>
    <w:rsid w:val="00112B2C"/>
    <w:rsid w:val="001139FD"/>
    <w:rsid w:val="0011451F"/>
    <w:rsid w:val="0011506B"/>
    <w:rsid w:val="0011573B"/>
    <w:rsid w:val="001168EF"/>
    <w:rsid w:val="00116A9D"/>
    <w:rsid w:val="00116C4B"/>
    <w:rsid w:val="00117D44"/>
    <w:rsid w:val="00117F40"/>
    <w:rsid w:val="001205B9"/>
    <w:rsid w:val="00120C84"/>
    <w:rsid w:val="0012100A"/>
    <w:rsid w:val="00121546"/>
    <w:rsid w:val="00121AEF"/>
    <w:rsid w:val="00122554"/>
    <w:rsid w:val="00122762"/>
    <w:rsid w:val="00122B87"/>
    <w:rsid w:val="00122E3B"/>
    <w:rsid w:val="00123A60"/>
    <w:rsid w:val="00123DDF"/>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20FE"/>
    <w:rsid w:val="001322B3"/>
    <w:rsid w:val="001324A4"/>
    <w:rsid w:val="00133C21"/>
    <w:rsid w:val="00133F16"/>
    <w:rsid w:val="00133FE4"/>
    <w:rsid w:val="00135936"/>
    <w:rsid w:val="001364CC"/>
    <w:rsid w:val="001402D5"/>
    <w:rsid w:val="00142572"/>
    <w:rsid w:val="0014271B"/>
    <w:rsid w:val="00143414"/>
    <w:rsid w:val="00143755"/>
    <w:rsid w:val="00143A7B"/>
    <w:rsid w:val="00143D2A"/>
    <w:rsid w:val="0014464A"/>
    <w:rsid w:val="00144D20"/>
    <w:rsid w:val="00145019"/>
    <w:rsid w:val="001459EA"/>
    <w:rsid w:val="00145A1A"/>
    <w:rsid w:val="00145E37"/>
    <w:rsid w:val="001460EE"/>
    <w:rsid w:val="0014657F"/>
    <w:rsid w:val="0014703D"/>
    <w:rsid w:val="00150E6B"/>
    <w:rsid w:val="00150F29"/>
    <w:rsid w:val="00152127"/>
    <w:rsid w:val="00152350"/>
    <w:rsid w:val="00152E81"/>
    <w:rsid w:val="00152EE7"/>
    <w:rsid w:val="00153109"/>
    <w:rsid w:val="00153FFD"/>
    <w:rsid w:val="00154BC8"/>
    <w:rsid w:val="00154DE2"/>
    <w:rsid w:val="00155940"/>
    <w:rsid w:val="001561F3"/>
    <w:rsid w:val="0015635D"/>
    <w:rsid w:val="0015644E"/>
    <w:rsid w:val="00156A38"/>
    <w:rsid w:val="00156CDD"/>
    <w:rsid w:val="00156E1C"/>
    <w:rsid w:val="0015706B"/>
    <w:rsid w:val="0015726E"/>
    <w:rsid w:val="00157363"/>
    <w:rsid w:val="00157808"/>
    <w:rsid w:val="00160909"/>
    <w:rsid w:val="00161223"/>
    <w:rsid w:val="00161574"/>
    <w:rsid w:val="0016230A"/>
    <w:rsid w:val="001629BE"/>
    <w:rsid w:val="00162DE6"/>
    <w:rsid w:val="001636D9"/>
    <w:rsid w:val="00163EDC"/>
    <w:rsid w:val="00164943"/>
    <w:rsid w:val="00164AED"/>
    <w:rsid w:val="00164E76"/>
    <w:rsid w:val="0016510D"/>
    <w:rsid w:val="00165488"/>
    <w:rsid w:val="001657F0"/>
    <w:rsid w:val="00165E49"/>
    <w:rsid w:val="0016612E"/>
    <w:rsid w:val="00166349"/>
    <w:rsid w:val="001669B4"/>
    <w:rsid w:val="00166C41"/>
    <w:rsid w:val="00166D79"/>
    <w:rsid w:val="00167088"/>
    <w:rsid w:val="001701C8"/>
    <w:rsid w:val="0017078B"/>
    <w:rsid w:val="0017087C"/>
    <w:rsid w:val="00170F77"/>
    <w:rsid w:val="00172542"/>
    <w:rsid w:val="0017355E"/>
    <w:rsid w:val="001736F2"/>
    <w:rsid w:val="0017390A"/>
    <w:rsid w:val="00173E0A"/>
    <w:rsid w:val="00174AE0"/>
    <w:rsid w:val="001751B4"/>
    <w:rsid w:val="001754D6"/>
    <w:rsid w:val="00175FE6"/>
    <w:rsid w:val="001761C2"/>
    <w:rsid w:val="00176800"/>
    <w:rsid w:val="00177184"/>
    <w:rsid w:val="001773DA"/>
    <w:rsid w:val="00177633"/>
    <w:rsid w:val="001777A0"/>
    <w:rsid w:val="001804FC"/>
    <w:rsid w:val="00181C1E"/>
    <w:rsid w:val="0018270E"/>
    <w:rsid w:val="001833E0"/>
    <w:rsid w:val="00183D74"/>
    <w:rsid w:val="00183DEF"/>
    <w:rsid w:val="001857EB"/>
    <w:rsid w:val="00185D09"/>
    <w:rsid w:val="00185E3F"/>
    <w:rsid w:val="0018680D"/>
    <w:rsid w:val="00186889"/>
    <w:rsid w:val="0018691E"/>
    <w:rsid w:val="00186B18"/>
    <w:rsid w:val="00186E21"/>
    <w:rsid w:val="00187301"/>
    <w:rsid w:val="00187A34"/>
    <w:rsid w:val="00187B95"/>
    <w:rsid w:val="00187FF4"/>
    <w:rsid w:val="001901E2"/>
    <w:rsid w:val="00190AF5"/>
    <w:rsid w:val="001920CC"/>
    <w:rsid w:val="0019211F"/>
    <w:rsid w:val="0019213F"/>
    <w:rsid w:val="00192239"/>
    <w:rsid w:val="00193758"/>
    <w:rsid w:val="00193856"/>
    <w:rsid w:val="00193995"/>
    <w:rsid w:val="0019483D"/>
    <w:rsid w:val="00194AA4"/>
    <w:rsid w:val="001958C8"/>
    <w:rsid w:val="00195FCB"/>
    <w:rsid w:val="00196015"/>
    <w:rsid w:val="00196298"/>
    <w:rsid w:val="001963A7"/>
    <w:rsid w:val="00196ADA"/>
    <w:rsid w:val="00196D33"/>
    <w:rsid w:val="00196E2F"/>
    <w:rsid w:val="00197DD7"/>
    <w:rsid w:val="001A030B"/>
    <w:rsid w:val="001A0454"/>
    <w:rsid w:val="001A09C2"/>
    <w:rsid w:val="001A0F3D"/>
    <w:rsid w:val="001A1004"/>
    <w:rsid w:val="001A1615"/>
    <w:rsid w:val="001A2094"/>
    <w:rsid w:val="001A235D"/>
    <w:rsid w:val="001A2A61"/>
    <w:rsid w:val="001A3321"/>
    <w:rsid w:val="001A3AAC"/>
    <w:rsid w:val="001A426A"/>
    <w:rsid w:val="001A4C25"/>
    <w:rsid w:val="001A65D9"/>
    <w:rsid w:val="001A68B8"/>
    <w:rsid w:val="001A6C84"/>
    <w:rsid w:val="001A7611"/>
    <w:rsid w:val="001A7835"/>
    <w:rsid w:val="001B096E"/>
    <w:rsid w:val="001B0F66"/>
    <w:rsid w:val="001B1792"/>
    <w:rsid w:val="001B181A"/>
    <w:rsid w:val="001B1D3C"/>
    <w:rsid w:val="001B1DB0"/>
    <w:rsid w:val="001B2268"/>
    <w:rsid w:val="001B260A"/>
    <w:rsid w:val="001B287A"/>
    <w:rsid w:val="001B296E"/>
    <w:rsid w:val="001B2D7E"/>
    <w:rsid w:val="001B36DF"/>
    <w:rsid w:val="001B37C3"/>
    <w:rsid w:val="001B3A5C"/>
    <w:rsid w:val="001B3F81"/>
    <w:rsid w:val="001B53B9"/>
    <w:rsid w:val="001B5DCA"/>
    <w:rsid w:val="001B5DEC"/>
    <w:rsid w:val="001B6074"/>
    <w:rsid w:val="001B62AC"/>
    <w:rsid w:val="001B65C6"/>
    <w:rsid w:val="001B66A5"/>
    <w:rsid w:val="001B7B62"/>
    <w:rsid w:val="001C0735"/>
    <w:rsid w:val="001C1F91"/>
    <w:rsid w:val="001C2330"/>
    <w:rsid w:val="001C2A6F"/>
    <w:rsid w:val="001C2F92"/>
    <w:rsid w:val="001C2FDE"/>
    <w:rsid w:val="001C308D"/>
    <w:rsid w:val="001C4190"/>
    <w:rsid w:val="001C41E7"/>
    <w:rsid w:val="001C49DD"/>
    <w:rsid w:val="001C4CC9"/>
    <w:rsid w:val="001C4D15"/>
    <w:rsid w:val="001C5172"/>
    <w:rsid w:val="001C55DD"/>
    <w:rsid w:val="001C5829"/>
    <w:rsid w:val="001C5EB4"/>
    <w:rsid w:val="001C6553"/>
    <w:rsid w:val="001C6747"/>
    <w:rsid w:val="001C6A5D"/>
    <w:rsid w:val="001C6EA3"/>
    <w:rsid w:val="001C70B6"/>
    <w:rsid w:val="001C7471"/>
    <w:rsid w:val="001C7CBD"/>
    <w:rsid w:val="001C7FD0"/>
    <w:rsid w:val="001D1A3C"/>
    <w:rsid w:val="001D2680"/>
    <w:rsid w:val="001D3025"/>
    <w:rsid w:val="001D3084"/>
    <w:rsid w:val="001D3BC9"/>
    <w:rsid w:val="001D439B"/>
    <w:rsid w:val="001D5E61"/>
    <w:rsid w:val="001D5FDE"/>
    <w:rsid w:val="001D65B1"/>
    <w:rsid w:val="001D66D8"/>
    <w:rsid w:val="001D6B87"/>
    <w:rsid w:val="001D7040"/>
    <w:rsid w:val="001D72FA"/>
    <w:rsid w:val="001E09FD"/>
    <w:rsid w:val="001E0B73"/>
    <w:rsid w:val="001E1DFE"/>
    <w:rsid w:val="001E28F5"/>
    <w:rsid w:val="001E29AB"/>
    <w:rsid w:val="001E2C28"/>
    <w:rsid w:val="001E3D6D"/>
    <w:rsid w:val="001E3F6E"/>
    <w:rsid w:val="001E4E45"/>
    <w:rsid w:val="001E5474"/>
    <w:rsid w:val="001E5E97"/>
    <w:rsid w:val="001E7219"/>
    <w:rsid w:val="001E7AAE"/>
    <w:rsid w:val="001E7C2C"/>
    <w:rsid w:val="001F0402"/>
    <w:rsid w:val="001F09C1"/>
    <w:rsid w:val="001F0F97"/>
    <w:rsid w:val="001F1893"/>
    <w:rsid w:val="001F1996"/>
    <w:rsid w:val="001F30B6"/>
    <w:rsid w:val="001F35FA"/>
    <w:rsid w:val="001F3BFF"/>
    <w:rsid w:val="001F3CDC"/>
    <w:rsid w:val="001F4164"/>
    <w:rsid w:val="001F4DF6"/>
    <w:rsid w:val="001F5427"/>
    <w:rsid w:val="001F610F"/>
    <w:rsid w:val="001F62ED"/>
    <w:rsid w:val="001F775A"/>
    <w:rsid w:val="001F77B1"/>
    <w:rsid w:val="001F79B6"/>
    <w:rsid w:val="00200066"/>
    <w:rsid w:val="00200234"/>
    <w:rsid w:val="00201144"/>
    <w:rsid w:val="00201A26"/>
    <w:rsid w:val="00201B92"/>
    <w:rsid w:val="00201BF6"/>
    <w:rsid w:val="00201E7D"/>
    <w:rsid w:val="002020E5"/>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CE0"/>
    <w:rsid w:val="00205D84"/>
    <w:rsid w:val="00205F4D"/>
    <w:rsid w:val="0020666C"/>
    <w:rsid w:val="00206FEA"/>
    <w:rsid w:val="00207212"/>
    <w:rsid w:val="0021064B"/>
    <w:rsid w:val="00210A89"/>
    <w:rsid w:val="00211765"/>
    <w:rsid w:val="002118D4"/>
    <w:rsid w:val="00211F1B"/>
    <w:rsid w:val="00212008"/>
    <w:rsid w:val="00212B71"/>
    <w:rsid w:val="002132E9"/>
    <w:rsid w:val="0021381F"/>
    <w:rsid w:val="0021400B"/>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5F2"/>
    <w:rsid w:val="00220945"/>
    <w:rsid w:val="0022183B"/>
    <w:rsid w:val="002218E8"/>
    <w:rsid w:val="00221B84"/>
    <w:rsid w:val="0022210C"/>
    <w:rsid w:val="0022216D"/>
    <w:rsid w:val="00222590"/>
    <w:rsid w:val="00222ABA"/>
    <w:rsid w:val="0022397F"/>
    <w:rsid w:val="00223DB2"/>
    <w:rsid w:val="00224263"/>
    <w:rsid w:val="00224AF1"/>
    <w:rsid w:val="00225C92"/>
    <w:rsid w:val="00226DA3"/>
    <w:rsid w:val="00226F9B"/>
    <w:rsid w:val="00227378"/>
    <w:rsid w:val="00227796"/>
    <w:rsid w:val="002277A4"/>
    <w:rsid w:val="00230041"/>
    <w:rsid w:val="00230352"/>
    <w:rsid w:val="00231196"/>
    <w:rsid w:val="0023171E"/>
    <w:rsid w:val="00231AC4"/>
    <w:rsid w:val="00231F62"/>
    <w:rsid w:val="00232561"/>
    <w:rsid w:val="00232AE0"/>
    <w:rsid w:val="00233271"/>
    <w:rsid w:val="00233296"/>
    <w:rsid w:val="002334C8"/>
    <w:rsid w:val="002337D1"/>
    <w:rsid w:val="00233AF7"/>
    <w:rsid w:val="00233D5B"/>
    <w:rsid w:val="0023424A"/>
    <w:rsid w:val="00234C42"/>
    <w:rsid w:val="00235ADD"/>
    <w:rsid w:val="00235F10"/>
    <w:rsid w:val="00236169"/>
    <w:rsid w:val="002365EC"/>
    <w:rsid w:val="0024109B"/>
    <w:rsid w:val="002416DC"/>
    <w:rsid w:val="002419EC"/>
    <w:rsid w:val="00241AC1"/>
    <w:rsid w:val="002421E4"/>
    <w:rsid w:val="0024287A"/>
    <w:rsid w:val="0024365A"/>
    <w:rsid w:val="00243956"/>
    <w:rsid w:val="00244368"/>
    <w:rsid w:val="002453B7"/>
    <w:rsid w:val="0024541B"/>
    <w:rsid w:val="002459FF"/>
    <w:rsid w:val="00246927"/>
    <w:rsid w:val="00246E4E"/>
    <w:rsid w:val="00246EA2"/>
    <w:rsid w:val="00246F8F"/>
    <w:rsid w:val="00246FB5"/>
    <w:rsid w:val="00250BD1"/>
    <w:rsid w:val="00250C70"/>
    <w:rsid w:val="00251C34"/>
    <w:rsid w:val="002526BC"/>
    <w:rsid w:val="00253254"/>
    <w:rsid w:val="00253CAB"/>
    <w:rsid w:val="00254CED"/>
    <w:rsid w:val="002552B9"/>
    <w:rsid w:val="00256297"/>
    <w:rsid w:val="002567CF"/>
    <w:rsid w:val="00256ADC"/>
    <w:rsid w:val="0025713A"/>
    <w:rsid w:val="00257667"/>
    <w:rsid w:val="00257BF2"/>
    <w:rsid w:val="002603FF"/>
    <w:rsid w:val="00260BC0"/>
    <w:rsid w:val="002616C7"/>
    <w:rsid w:val="00261707"/>
    <w:rsid w:val="002621C7"/>
    <w:rsid w:val="0026375B"/>
    <w:rsid w:val="0026398D"/>
    <w:rsid w:val="00264036"/>
    <w:rsid w:val="0026418C"/>
    <w:rsid w:val="00264F9B"/>
    <w:rsid w:val="002650CB"/>
    <w:rsid w:val="00265121"/>
    <w:rsid w:val="002653C6"/>
    <w:rsid w:val="002658AA"/>
    <w:rsid w:val="00266856"/>
    <w:rsid w:val="00266D83"/>
    <w:rsid w:val="002707DA"/>
    <w:rsid w:val="00271198"/>
    <w:rsid w:val="0027178A"/>
    <w:rsid w:val="002726C7"/>
    <w:rsid w:val="00272F5A"/>
    <w:rsid w:val="00273323"/>
    <w:rsid w:val="00273425"/>
    <w:rsid w:val="00273890"/>
    <w:rsid w:val="00273979"/>
    <w:rsid w:val="00274872"/>
    <w:rsid w:val="00274A01"/>
    <w:rsid w:val="00274DC7"/>
    <w:rsid w:val="00277FCA"/>
    <w:rsid w:val="00280275"/>
    <w:rsid w:val="00280371"/>
    <w:rsid w:val="00280550"/>
    <w:rsid w:val="00280A91"/>
    <w:rsid w:val="00281747"/>
    <w:rsid w:val="00281805"/>
    <w:rsid w:val="00281CD2"/>
    <w:rsid w:val="002823DE"/>
    <w:rsid w:val="002826E9"/>
    <w:rsid w:val="00282BB4"/>
    <w:rsid w:val="00282F78"/>
    <w:rsid w:val="00283C8C"/>
    <w:rsid w:val="0028411B"/>
    <w:rsid w:val="00284417"/>
    <w:rsid w:val="002847F2"/>
    <w:rsid w:val="00285157"/>
    <w:rsid w:val="0028553D"/>
    <w:rsid w:val="00285832"/>
    <w:rsid w:val="00286409"/>
    <w:rsid w:val="002876FE"/>
    <w:rsid w:val="00287AB6"/>
    <w:rsid w:val="002905D1"/>
    <w:rsid w:val="00291036"/>
    <w:rsid w:val="002919E4"/>
    <w:rsid w:val="00292036"/>
    <w:rsid w:val="002923FA"/>
    <w:rsid w:val="00292634"/>
    <w:rsid w:val="00293AB7"/>
    <w:rsid w:val="00294939"/>
    <w:rsid w:val="00294FCC"/>
    <w:rsid w:val="00295C93"/>
    <w:rsid w:val="00296C45"/>
    <w:rsid w:val="00296C4E"/>
    <w:rsid w:val="002971EF"/>
    <w:rsid w:val="002972D5"/>
    <w:rsid w:val="00297DD2"/>
    <w:rsid w:val="002A029A"/>
    <w:rsid w:val="002A0372"/>
    <w:rsid w:val="002A073A"/>
    <w:rsid w:val="002A0AF0"/>
    <w:rsid w:val="002A0BC9"/>
    <w:rsid w:val="002A1660"/>
    <w:rsid w:val="002A26EB"/>
    <w:rsid w:val="002A2709"/>
    <w:rsid w:val="002A412F"/>
    <w:rsid w:val="002A558E"/>
    <w:rsid w:val="002A62DB"/>
    <w:rsid w:val="002A6D7C"/>
    <w:rsid w:val="002B08E2"/>
    <w:rsid w:val="002B1DCC"/>
    <w:rsid w:val="002B237A"/>
    <w:rsid w:val="002B2F9C"/>
    <w:rsid w:val="002B3806"/>
    <w:rsid w:val="002B3F15"/>
    <w:rsid w:val="002B4152"/>
    <w:rsid w:val="002B429A"/>
    <w:rsid w:val="002B453A"/>
    <w:rsid w:val="002B4ABF"/>
    <w:rsid w:val="002B55C2"/>
    <w:rsid w:val="002B579D"/>
    <w:rsid w:val="002B58D8"/>
    <w:rsid w:val="002B5AE4"/>
    <w:rsid w:val="002B5F67"/>
    <w:rsid w:val="002B6043"/>
    <w:rsid w:val="002B7397"/>
    <w:rsid w:val="002B7F00"/>
    <w:rsid w:val="002C0C60"/>
    <w:rsid w:val="002C0EFB"/>
    <w:rsid w:val="002C10C2"/>
    <w:rsid w:val="002C17A9"/>
    <w:rsid w:val="002C297C"/>
    <w:rsid w:val="002C3C8A"/>
    <w:rsid w:val="002C4FEF"/>
    <w:rsid w:val="002C5445"/>
    <w:rsid w:val="002C555A"/>
    <w:rsid w:val="002C5677"/>
    <w:rsid w:val="002C5768"/>
    <w:rsid w:val="002C5A1B"/>
    <w:rsid w:val="002C5F7F"/>
    <w:rsid w:val="002C636E"/>
    <w:rsid w:val="002C6F52"/>
    <w:rsid w:val="002C72A7"/>
    <w:rsid w:val="002C73A5"/>
    <w:rsid w:val="002D0692"/>
    <w:rsid w:val="002D1243"/>
    <w:rsid w:val="002D1BC5"/>
    <w:rsid w:val="002D1FF8"/>
    <w:rsid w:val="002D220F"/>
    <w:rsid w:val="002D2968"/>
    <w:rsid w:val="002D2DA0"/>
    <w:rsid w:val="002D3834"/>
    <w:rsid w:val="002D3D32"/>
    <w:rsid w:val="002D4419"/>
    <w:rsid w:val="002D51AB"/>
    <w:rsid w:val="002D5369"/>
    <w:rsid w:val="002D56E4"/>
    <w:rsid w:val="002D602E"/>
    <w:rsid w:val="002D6870"/>
    <w:rsid w:val="002D68A3"/>
    <w:rsid w:val="002D69CD"/>
    <w:rsid w:val="002D6C41"/>
    <w:rsid w:val="002D7346"/>
    <w:rsid w:val="002D75F6"/>
    <w:rsid w:val="002D7663"/>
    <w:rsid w:val="002D76BC"/>
    <w:rsid w:val="002D7AA9"/>
    <w:rsid w:val="002D7ABE"/>
    <w:rsid w:val="002E004C"/>
    <w:rsid w:val="002E0244"/>
    <w:rsid w:val="002E057D"/>
    <w:rsid w:val="002E0DE9"/>
    <w:rsid w:val="002E15E7"/>
    <w:rsid w:val="002E1CB6"/>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10DF"/>
    <w:rsid w:val="002F121E"/>
    <w:rsid w:val="002F18AE"/>
    <w:rsid w:val="002F19E3"/>
    <w:rsid w:val="002F1F10"/>
    <w:rsid w:val="002F33E3"/>
    <w:rsid w:val="002F3B3C"/>
    <w:rsid w:val="002F3D0A"/>
    <w:rsid w:val="002F4038"/>
    <w:rsid w:val="002F4164"/>
    <w:rsid w:val="002F4BA8"/>
    <w:rsid w:val="002F648A"/>
    <w:rsid w:val="002F685F"/>
    <w:rsid w:val="002F6F30"/>
    <w:rsid w:val="002F6FA1"/>
    <w:rsid w:val="002F76D9"/>
    <w:rsid w:val="003000F4"/>
    <w:rsid w:val="0030015E"/>
    <w:rsid w:val="003001E2"/>
    <w:rsid w:val="0030037A"/>
    <w:rsid w:val="003003E2"/>
    <w:rsid w:val="00301D2A"/>
    <w:rsid w:val="00301EC3"/>
    <w:rsid w:val="00302D01"/>
    <w:rsid w:val="00302FDF"/>
    <w:rsid w:val="00303A68"/>
    <w:rsid w:val="00304D95"/>
    <w:rsid w:val="0030511F"/>
    <w:rsid w:val="003053F4"/>
    <w:rsid w:val="00305E89"/>
    <w:rsid w:val="003067C7"/>
    <w:rsid w:val="00306C73"/>
    <w:rsid w:val="003114AF"/>
    <w:rsid w:val="003117CE"/>
    <w:rsid w:val="00311D03"/>
    <w:rsid w:val="0031217C"/>
    <w:rsid w:val="00312608"/>
    <w:rsid w:val="00312762"/>
    <w:rsid w:val="00312939"/>
    <w:rsid w:val="00312941"/>
    <w:rsid w:val="00312D70"/>
    <w:rsid w:val="00313C06"/>
    <w:rsid w:val="0031420A"/>
    <w:rsid w:val="003144A5"/>
    <w:rsid w:val="003149E8"/>
    <w:rsid w:val="00314F36"/>
    <w:rsid w:val="00315016"/>
    <w:rsid w:val="00315A5D"/>
    <w:rsid w:val="00316769"/>
    <w:rsid w:val="003169BB"/>
    <w:rsid w:val="0031703F"/>
    <w:rsid w:val="0031735C"/>
    <w:rsid w:val="0031757B"/>
    <w:rsid w:val="00317909"/>
    <w:rsid w:val="00321AF1"/>
    <w:rsid w:val="003227EF"/>
    <w:rsid w:val="0032294C"/>
    <w:rsid w:val="0032298D"/>
    <w:rsid w:val="003238BB"/>
    <w:rsid w:val="003240A0"/>
    <w:rsid w:val="00325135"/>
    <w:rsid w:val="00325DC9"/>
    <w:rsid w:val="00325DD9"/>
    <w:rsid w:val="003263F0"/>
    <w:rsid w:val="00326BEF"/>
    <w:rsid w:val="00326C76"/>
    <w:rsid w:val="0033074D"/>
    <w:rsid w:val="0033108A"/>
    <w:rsid w:val="00332E69"/>
    <w:rsid w:val="00333417"/>
    <w:rsid w:val="00333513"/>
    <w:rsid w:val="00333563"/>
    <w:rsid w:val="00333DDC"/>
    <w:rsid w:val="00334805"/>
    <w:rsid w:val="00336392"/>
    <w:rsid w:val="003369D5"/>
    <w:rsid w:val="00336B63"/>
    <w:rsid w:val="003372CC"/>
    <w:rsid w:val="003377F0"/>
    <w:rsid w:val="00337ED9"/>
    <w:rsid w:val="0034057A"/>
    <w:rsid w:val="00340654"/>
    <w:rsid w:val="0034066D"/>
    <w:rsid w:val="00340FA9"/>
    <w:rsid w:val="00341D3C"/>
    <w:rsid w:val="00341D83"/>
    <w:rsid w:val="003437DD"/>
    <w:rsid w:val="00343BAD"/>
    <w:rsid w:val="00344B58"/>
    <w:rsid w:val="00344D23"/>
    <w:rsid w:val="0034686F"/>
    <w:rsid w:val="00346F2A"/>
    <w:rsid w:val="003473EF"/>
    <w:rsid w:val="003474BE"/>
    <w:rsid w:val="00347A1B"/>
    <w:rsid w:val="0035069B"/>
    <w:rsid w:val="0035085E"/>
    <w:rsid w:val="00351D88"/>
    <w:rsid w:val="0035252F"/>
    <w:rsid w:val="003529CB"/>
    <w:rsid w:val="00352E51"/>
    <w:rsid w:val="0035305D"/>
    <w:rsid w:val="003530B8"/>
    <w:rsid w:val="00353654"/>
    <w:rsid w:val="0035370A"/>
    <w:rsid w:val="00353954"/>
    <w:rsid w:val="00353AFC"/>
    <w:rsid w:val="00353FB7"/>
    <w:rsid w:val="00355856"/>
    <w:rsid w:val="00355A83"/>
    <w:rsid w:val="003564FD"/>
    <w:rsid w:val="00356A2C"/>
    <w:rsid w:val="00356EEB"/>
    <w:rsid w:val="0035785A"/>
    <w:rsid w:val="00357973"/>
    <w:rsid w:val="00357C36"/>
    <w:rsid w:val="00357F64"/>
    <w:rsid w:val="00360102"/>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6A58"/>
    <w:rsid w:val="00366ABE"/>
    <w:rsid w:val="00367433"/>
    <w:rsid w:val="00367509"/>
    <w:rsid w:val="00367A35"/>
    <w:rsid w:val="003702F7"/>
    <w:rsid w:val="00370495"/>
    <w:rsid w:val="003707E2"/>
    <w:rsid w:val="00370FBA"/>
    <w:rsid w:val="00371413"/>
    <w:rsid w:val="003728AC"/>
    <w:rsid w:val="00372ADC"/>
    <w:rsid w:val="00372C6B"/>
    <w:rsid w:val="0037350E"/>
    <w:rsid w:val="00373FE5"/>
    <w:rsid w:val="00374475"/>
    <w:rsid w:val="0037466E"/>
    <w:rsid w:val="003754FE"/>
    <w:rsid w:val="00375695"/>
    <w:rsid w:val="00375763"/>
    <w:rsid w:val="00375768"/>
    <w:rsid w:val="003757F1"/>
    <w:rsid w:val="0037618D"/>
    <w:rsid w:val="00376729"/>
    <w:rsid w:val="00376793"/>
    <w:rsid w:val="00376906"/>
    <w:rsid w:val="00376D87"/>
    <w:rsid w:val="00377613"/>
    <w:rsid w:val="00377AAB"/>
    <w:rsid w:val="00380A8B"/>
    <w:rsid w:val="00380D66"/>
    <w:rsid w:val="003812AA"/>
    <w:rsid w:val="003812B7"/>
    <w:rsid w:val="0038231E"/>
    <w:rsid w:val="00383B61"/>
    <w:rsid w:val="003842D8"/>
    <w:rsid w:val="00384302"/>
    <w:rsid w:val="0038468D"/>
    <w:rsid w:val="003849E0"/>
    <w:rsid w:val="00384B82"/>
    <w:rsid w:val="00384C53"/>
    <w:rsid w:val="0038559C"/>
    <w:rsid w:val="00385DB3"/>
    <w:rsid w:val="003862EF"/>
    <w:rsid w:val="00387457"/>
    <w:rsid w:val="0038792D"/>
    <w:rsid w:val="00390ADE"/>
    <w:rsid w:val="003912B9"/>
    <w:rsid w:val="0039256C"/>
    <w:rsid w:val="00392B08"/>
    <w:rsid w:val="00392B28"/>
    <w:rsid w:val="00392F19"/>
    <w:rsid w:val="003951AD"/>
    <w:rsid w:val="003955CB"/>
    <w:rsid w:val="00395C43"/>
    <w:rsid w:val="00395CB7"/>
    <w:rsid w:val="00396046"/>
    <w:rsid w:val="003A0723"/>
    <w:rsid w:val="003A1265"/>
    <w:rsid w:val="003A1403"/>
    <w:rsid w:val="003A23EF"/>
    <w:rsid w:val="003A2626"/>
    <w:rsid w:val="003A3019"/>
    <w:rsid w:val="003A32FD"/>
    <w:rsid w:val="003A564A"/>
    <w:rsid w:val="003A5713"/>
    <w:rsid w:val="003A61DF"/>
    <w:rsid w:val="003A6855"/>
    <w:rsid w:val="003A731C"/>
    <w:rsid w:val="003A7A8C"/>
    <w:rsid w:val="003A7BB0"/>
    <w:rsid w:val="003A7EFE"/>
    <w:rsid w:val="003B008C"/>
    <w:rsid w:val="003B04D7"/>
    <w:rsid w:val="003B08C6"/>
    <w:rsid w:val="003B195A"/>
    <w:rsid w:val="003B21A1"/>
    <w:rsid w:val="003B3999"/>
    <w:rsid w:val="003B46E2"/>
    <w:rsid w:val="003B4F41"/>
    <w:rsid w:val="003B518D"/>
    <w:rsid w:val="003B51C3"/>
    <w:rsid w:val="003B53A2"/>
    <w:rsid w:val="003B550B"/>
    <w:rsid w:val="003B6D0E"/>
    <w:rsid w:val="003B767D"/>
    <w:rsid w:val="003B77B2"/>
    <w:rsid w:val="003B78BD"/>
    <w:rsid w:val="003C006A"/>
    <w:rsid w:val="003C0325"/>
    <w:rsid w:val="003C048E"/>
    <w:rsid w:val="003C08F2"/>
    <w:rsid w:val="003C13DF"/>
    <w:rsid w:val="003C15EA"/>
    <w:rsid w:val="003C1A19"/>
    <w:rsid w:val="003C1D72"/>
    <w:rsid w:val="003C20A5"/>
    <w:rsid w:val="003C349F"/>
    <w:rsid w:val="003C3775"/>
    <w:rsid w:val="003C4529"/>
    <w:rsid w:val="003C587C"/>
    <w:rsid w:val="003C5E89"/>
    <w:rsid w:val="003C5ECB"/>
    <w:rsid w:val="003C696F"/>
    <w:rsid w:val="003D0317"/>
    <w:rsid w:val="003D0980"/>
    <w:rsid w:val="003D0DC4"/>
    <w:rsid w:val="003D12D2"/>
    <w:rsid w:val="003D138D"/>
    <w:rsid w:val="003D140A"/>
    <w:rsid w:val="003D1B67"/>
    <w:rsid w:val="003D2B57"/>
    <w:rsid w:val="003D332C"/>
    <w:rsid w:val="003D33A3"/>
    <w:rsid w:val="003D35B7"/>
    <w:rsid w:val="003D4797"/>
    <w:rsid w:val="003D5439"/>
    <w:rsid w:val="003D591A"/>
    <w:rsid w:val="003D60E9"/>
    <w:rsid w:val="003D63AD"/>
    <w:rsid w:val="003D64D8"/>
    <w:rsid w:val="003D6982"/>
    <w:rsid w:val="003D6BCF"/>
    <w:rsid w:val="003D70E0"/>
    <w:rsid w:val="003D790F"/>
    <w:rsid w:val="003E049B"/>
    <w:rsid w:val="003E12A7"/>
    <w:rsid w:val="003E1A9D"/>
    <w:rsid w:val="003E1C07"/>
    <w:rsid w:val="003E1D43"/>
    <w:rsid w:val="003E1F23"/>
    <w:rsid w:val="003E3D30"/>
    <w:rsid w:val="003E4723"/>
    <w:rsid w:val="003E5029"/>
    <w:rsid w:val="003E5D57"/>
    <w:rsid w:val="003E5D74"/>
    <w:rsid w:val="003E5F9A"/>
    <w:rsid w:val="003E6347"/>
    <w:rsid w:val="003E63BE"/>
    <w:rsid w:val="003E6492"/>
    <w:rsid w:val="003E66AE"/>
    <w:rsid w:val="003E67F8"/>
    <w:rsid w:val="003E6E9C"/>
    <w:rsid w:val="003E74B8"/>
    <w:rsid w:val="003E75E2"/>
    <w:rsid w:val="003F057D"/>
    <w:rsid w:val="003F07E1"/>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C43"/>
    <w:rsid w:val="003F40B5"/>
    <w:rsid w:val="003F4482"/>
    <w:rsid w:val="003F5175"/>
    <w:rsid w:val="003F5403"/>
    <w:rsid w:val="003F585B"/>
    <w:rsid w:val="003F6354"/>
    <w:rsid w:val="003F65D9"/>
    <w:rsid w:val="003F6641"/>
    <w:rsid w:val="003F7BFB"/>
    <w:rsid w:val="00400050"/>
    <w:rsid w:val="004006E4"/>
    <w:rsid w:val="00400CA5"/>
    <w:rsid w:val="00402456"/>
    <w:rsid w:val="00402AEF"/>
    <w:rsid w:val="00402EAC"/>
    <w:rsid w:val="00403212"/>
    <w:rsid w:val="004035AA"/>
    <w:rsid w:val="00403CBE"/>
    <w:rsid w:val="00403E0E"/>
    <w:rsid w:val="00403FD2"/>
    <w:rsid w:val="004040D9"/>
    <w:rsid w:val="004057EE"/>
    <w:rsid w:val="00405F87"/>
    <w:rsid w:val="004063DA"/>
    <w:rsid w:val="004068B0"/>
    <w:rsid w:val="00406BB7"/>
    <w:rsid w:val="00406CBD"/>
    <w:rsid w:val="004072CB"/>
    <w:rsid w:val="00407C45"/>
    <w:rsid w:val="00407EBA"/>
    <w:rsid w:val="00407F1C"/>
    <w:rsid w:val="0041015C"/>
    <w:rsid w:val="004105AD"/>
    <w:rsid w:val="00410CC8"/>
    <w:rsid w:val="00410DFE"/>
    <w:rsid w:val="00410F84"/>
    <w:rsid w:val="0041133C"/>
    <w:rsid w:val="00411DF9"/>
    <w:rsid w:val="0041252D"/>
    <w:rsid w:val="00412623"/>
    <w:rsid w:val="0041326C"/>
    <w:rsid w:val="00414373"/>
    <w:rsid w:val="00414F25"/>
    <w:rsid w:val="004158FD"/>
    <w:rsid w:val="00415909"/>
    <w:rsid w:val="00415B47"/>
    <w:rsid w:val="00415F52"/>
    <w:rsid w:val="00415F57"/>
    <w:rsid w:val="00416478"/>
    <w:rsid w:val="004165DB"/>
    <w:rsid w:val="00416675"/>
    <w:rsid w:val="00417EBF"/>
    <w:rsid w:val="00420205"/>
    <w:rsid w:val="00420B66"/>
    <w:rsid w:val="0042208E"/>
    <w:rsid w:val="00422C87"/>
    <w:rsid w:val="00423470"/>
    <w:rsid w:val="004235F5"/>
    <w:rsid w:val="0042417D"/>
    <w:rsid w:val="00425A7B"/>
    <w:rsid w:val="00426110"/>
    <w:rsid w:val="00426512"/>
    <w:rsid w:val="0042684A"/>
    <w:rsid w:val="00427388"/>
    <w:rsid w:val="004276A7"/>
    <w:rsid w:val="00427D66"/>
    <w:rsid w:val="00430888"/>
    <w:rsid w:val="0043255E"/>
    <w:rsid w:val="00432C69"/>
    <w:rsid w:val="0043354D"/>
    <w:rsid w:val="004341D8"/>
    <w:rsid w:val="00434492"/>
    <w:rsid w:val="00434BA4"/>
    <w:rsid w:val="00435239"/>
    <w:rsid w:val="004360A4"/>
    <w:rsid w:val="00436909"/>
    <w:rsid w:val="00436BCF"/>
    <w:rsid w:val="00436FAA"/>
    <w:rsid w:val="00440115"/>
    <w:rsid w:val="00440598"/>
    <w:rsid w:val="00440968"/>
    <w:rsid w:val="00440A1A"/>
    <w:rsid w:val="00440B80"/>
    <w:rsid w:val="004411CF"/>
    <w:rsid w:val="0044133A"/>
    <w:rsid w:val="00441706"/>
    <w:rsid w:val="00442B5E"/>
    <w:rsid w:val="00442BD6"/>
    <w:rsid w:val="0044315F"/>
    <w:rsid w:val="0044398F"/>
    <w:rsid w:val="00444034"/>
    <w:rsid w:val="00444189"/>
    <w:rsid w:val="00444C81"/>
    <w:rsid w:val="00444DB2"/>
    <w:rsid w:val="0044648B"/>
    <w:rsid w:val="00447717"/>
    <w:rsid w:val="00447F77"/>
    <w:rsid w:val="004504AC"/>
    <w:rsid w:val="00450F58"/>
    <w:rsid w:val="0045101B"/>
    <w:rsid w:val="00451208"/>
    <w:rsid w:val="004519E9"/>
    <w:rsid w:val="00451D60"/>
    <w:rsid w:val="00451DED"/>
    <w:rsid w:val="004525A7"/>
    <w:rsid w:val="00452B06"/>
    <w:rsid w:val="004543FF"/>
    <w:rsid w:val="00454559"/>
    <w:rsid w:val="00454D58"/>
    <w:rsid w:val="004557C9"/>
    <w:rsid w:val="00456532"/>
    <w:rsid w:val="00456E72"/>
    <w:rsid w:val="00457C66"/>
    <w:rsid w:val="004600C3"/>
    <w:rsid w:val="00460668"/>
    <w:rsid w:val="00460905"/>
    <w:rsid w:val="00461256"/>
    <w:rsid w:val="004616E2"/>
    <w:rsid w:val="0046179A"/>
    <w:rsid w:val="00461B5F"/>
    <w:rsid w:val="00461BCF"/>
    <w:rsid w:val="00461F7A"/>
    <w:rsid w:val="00462C93"/>
    <w:rsid w:val="004630E5"/>
    <w:rsid w:val="00463E20"/>
    <w:rsid w:val="00463FC8"/>
    <w:rsid w:val="00464C6E"/>
    <w:rsid w:val="004655DA"/>
    <w:rsid w:val="00466F3C"/>
    <w:rsid w:val="0046701B"/>
    <w:rsid w:val="00467223"/>
    <w:rsid w:val="00467368"/>
    <w:rsid w:val="004677C5"/>
    <w:rsid w:val="00467A0B"/>
    <w:rsid w:val="00467A73"/>
    <w:rsid w:val="00467BA8"/>
    <w:rsid w:val="00470216"/>
    <w:rsid w:val="00470346"/>
    <w:rsid w:val="0047038D"/>
    <w:rsid w:val="00470486"/>
    <w:rsid w:val="004708E8"/>
    <w:rsid w:val="00471C26"/>
    <w:rsid w:val="004723C8"/>
    <w:rsid w:val="004735BE"/>
    <w:rsid w:val="004740F4"/>
    <w:rsid w:val="004748B8"/>
    <w:rsid w:val="0047539C"/>
    <w:rsid w:val="004753E2"/>
    <w:rsid w:val="004755EC"/>
    <w:rsid w:val="00476718"/>
    <w:rsid w:val="004767F1"/>
    <w:rsid w:val="004768CA"/>
    <w:rsid w:val="004769D5"/>
    <w:rsid w:val="00477D4B"/>
    <w:rsid w:val="004808F8"/>
    <w:rsid w:val="00480BBB"/>
    <w:rsid w:val="00480F7B"/>
    <w:rsid w:val="004818D9"/>
    <w:rsid w:val="004823DC"/>
    <w:rsid w:val="0048261E"/>
    <w:rsid w:val="00482995"/>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722"/>
    <w:rsid w:val="0048673A"/>
    <w:rsid w:val="004868BC"/>
    <w:rsid w:val="004870C5"/>
    <w:rsid w:val="004870DA"/>
    <w:rsid w:val="004871C8"/>
    <w:rsid w:val="00487EAE"/>
    <w:rsid w:val="00490E18"/>
    <w:rsid w:val="004911DE"/>
    <w:rsid w:val="0049166C"/>
    <w:rsid w:val="00491900"/>
    <w:rsid w:val="0049245B"/>
    <w:rsid w:val="0049305F"/>
    <w:rsid w:val="00493C8E"/>
    <w:rsid w:val="00494619"/>
    <w:rsid w:val="00494C38"/>
    <w:rsid w:val="00494E3D"/>
    <w:rsid w:val="00494F43"/>
    <w:rsid w:val="00494FE0"/>
    <w:rsid w:val="00495062"/>
    <w:rsid w:val="004956A7"/>
    <w:rsid w:val="00495828"/>
    <w:rsid w:val="00496098"/>
    <w:rsid w:val="0049613A"/>
    <w:rsid w:val="004968B8"/>
    <w:rsid w:val="00496958"/>
    <w:rsid w:val="00496995"/>
    <w:rsid w:val="004969FD"/>
    <w:rsid w:val="00497366"/>
    <w:rsid w:val="004976B2"/>
    <w:rsid w:val="004979E5"/>
    <w:rsid w:val="00497DDF"/>
    <w:rsid w:val="004A0164"/>
    <w:rsid w:val="004A1246"/>
    <w:rsid w:val="004A1678"/>
    <w:rsid w:val="004A1E2C"/>
    <w:rsid w:val="004A1F06"/>
    <w:rsid w:val="004A208B"/>
    <w:rsid w:val="004A287A"/>
    <w:rsid w:val="004A3224"/>
    <w:rsid w:val="004A3C63"/>
    <w:rsid w:val="004A40F9"/>
    <w:rsid w:val="004A51D4"/>
    <w:rsid w:val="004A574B"/>
    <w:rsid w:val="004A5D8A"/>
    <w:rsid w:val="004A6242"/>
    <w:rsid w:val="004A6483"/>
    <w:rsid w:val="004A66CE"/>
    <w:rsid w:val="004A6BF5"/>
    <w:rsid w:val="004B01FF"/>
    <w:rsid w:val="004B1855"/>
    <w:rsid w:val="004B186C"/>
    <w:rsid w:val="004B2430"/>
    <w:rsid w:val="004B2610"/>
    <w:rsid w:val="004B2A71"/>
    <w:rsid w:val="004B31D3"/>
    <w:rsid w:val="004B3233"/>
    <w:rsid w:val="004B3928"/>
    <w:rsid w:val="004B3D6E"/>
    <w:rsid w:val="004B49EE"/>
    <w:rsid w:val="004B52C6"/>
    <w:rsid w:val="004B5579"/>
    <w:rsid w:val="004B5C26"/>
    <w:rsid w:val="004B62A8"/>
    <w:rsid w:val="004B636D"/>
    <w:rsid w:val="004B646A"/>
    <w:rsid w:val="004B7248"/>
    <w:rsid w:val="004B74AF"/>
    <w:rsid w:val="004B74EA"/>
    <w:rsid w:val="004B761F"/>
    <w:rsid w:val="004B79ED"/>
    <w:rsid w:val="004C08FA"/>
    <w:rsid w:val="004C1013"/>
    <w:rsid w:val="004C15D2"/>
    <w:rsid w:val="004C2043"/>
    <w:rsid w:val="004C22C4"/>
    <w:rsid w:val="004C293B"/>
    <w:rsid w:val="004C31C4"/>
    <w:rsid w:val="004C3807"/>
    <w:rsid w:val="004C41E0"/>
    <w:rsid w:val="004C4441"/>
    <w:rsid w:val="004C4F04"/>
    <w:rsid w:val="004C566C"/>
    <w:rsid w:val="004C6004"/>
    <w:rsid w:val="004C636D"/>
    <w:rsid w:val="004C7AB1"/>
    <w:rsid w:val="004D0D72"/>
    <w:rsid w:val="004D14DA"/>
    <w:rsid w:val="004D15F0"/>
    <w:rsid w:val="004D1B61"/>
    <w:rsid w:val="004D21F9"/>
    <w:rsid w:val="004D23A1"/>
    <w:rsid w:val="004D24D3"/>
    <w:rsid w:val="004D25AF"/>
    <w:rsid w:val="004D2D26"/>
    <w:rsid w:val="004D2E91"/>
    <w:rsid w:val="004D4023"/>
    <w:rsid w:val="004D46A2"/>
    <w:rsid w:val="004D4F9E"/>
    <w:rsid w:val="004D58D1"/>
    <w:rsid w:val="004D76C9"/>
    <w:rsid w:val="004D7E28"/>
    <w:rsid w:val="004D7FA9"/>
    <w:rsid w:val="004E01D8"/>
    <w:rsid w:val="004E0390"/>
    <w:rsid w:val="004E311D"/>
    <w:rsid w:val="004E4397"/>
    <w:rsid w:val="004E4A6E"/>
    <w:rsid w:val="004E52B5"/>
    <w:rsid w:val="004E55CB"/>
    <w:rsid w:val="004E5F30"/>
    <w:rsid w:val="004E61E4"/>
    <w:rsid w:val="004E67CA"/>
    <w:rsid w:val="004E69AE"/>
    <w:rsid w:val="004E69D0"/>
    <w:rsid w:val="004E711B"/>
    <w:rsid w:val="004F0C2B"/>
    <w:rsid w:val="004F1B48"/>
    <w:rsid w:val="004F21A4"/>
    <w:rsid w:val="004F244E"/>
    <w:rsid w:val="004F2D26"/>
    <w:rsid w:val="004F3090"/>
    <w:rsid w:val="004F310B"/>
    <w:rsid w:val="004F3431"/>
    <w:rsid w:val="004F3719"/>
    <w:rsid w:val="004F3CF2"/>
    <w:rsid w:val="004F5DEF"/>
    <w:rsid w:val="004F5EBB"/>
    <w:rsid w:val="004F7440"/>
    <w:rsid w:val="00500594"/>
    <w:rsid w:val="00500856"/>
    <w:rsid w:val="0050137D"/>
    <w:rsid w:val="00501F8B"/>
    <w:rsid w:val="00501FCB"/>
    <w:rsid w:val="005028D7"/>
    <w:rsid w:val="00502F70"/>
    <w:rsid w:val="00503317"/>
    <w:rsid w:val="005037F0"/>
    <w:rsid w:val="00503C0D"/>
    <w:rsid w:val="00504D5B"/>
    <w:rsid w:val="00505EE4"/>
    <w:rsid w:val="005063F9"/>
    <w:rsid w:val="005064DB"/>
    <w:rsid w:val="00506570"/>
    <w:rsid w:val="00507375"/>
    <w:rsid w:val="00507685"/>
    <w:rsid w:val="0051029F"/>
    <w:rsid w:val="005105EB"/>
    <w:rsid w:val="00510AB5"/>
    <w:rsid w:val="0051122C"/>
    <w:rsid w:val="00511D63"/>
    <w:rsid w:val="00511E5B"/>
    <w:rsid w:val="00511F23"/>
    <w:rsid w:val="00511FD5"/>
    <w:rsid w:val="005130F0"/>
    <w:rsid w:val="005138BD"/>
    <w:rsid w:val="00513B2A"/>
    <w:rsid w:val="0051433F"/>
    <w:rsid w:val="00514699"/>
    <w:rsid w:val="00514AF7"/>
    <w:rsid w:val="00514C74"/>
    <w:rsid w:val="005150E6"/>
    <w:rsid w:val="00515227"/>
    <w:rsid w:val="00515D6C"/>
    <w:rsid w:val="005173A6"/>
    <w:rsid w:val="00517409"/>
    <w:rsid w:val="00520066"/>
    <w:rsid w:val="005206A4"/>
    <w:rsid w:val="005207EA"/>
    <w:rsid w:val="00520923"/>
    <w:rsid w:val="005235B9"/>
    <w:rsid w:val="00523A00"/>
    <w:rsid w:val="00523DAE"/>
    <w:rsid w:val="00524B47"/>
    <w:rsid w:val="005252B2"/>
    <w:rsid w:val="00525899"/>
    <w:rsid w:val="00525DA8"/>
    <w:rsid w:val="00525E04"/>
    <w:rsid w:val="005263A0"/>
    <w:rsid w:val="00526495"/>
    <w:rsid w:val="00526B26"/>
    <w:rsid w:val="0052731C"/>
    <w:rsid w:val="00527AD9"/>
    <w:rsid w:val="00530DEE"/>
    <w:rsid w:val="00530FAC"/>
    <w:rsid w:val="005324B1"/>
    <w:rsid w:val="00533FC1"/>
    <w:rsid w:val="00534269"/>
    <w:rsid w:val="00534271"/>
    <w:rsid w:val="005344FE"/>
    <w:rsid w:val="00534C10"/>
    <w:rsid w:val="005351DF"/>
    <w:rsid w:val="00535C00"/>
    <w:rsid w:val="00536261"/>
    <w:rsid w:val="0053647C"/>
    <w:rsid w:val="00536506"/>
    <w:rsid w:val="00536721"/>
    <w:rsid w:val="0054068C"/>
    <w:rsid w:val="00541998"/>
    <w:rsid w:val="00542077"/>
    <w:rsid w:val="005426CF"/>
    <w:rsid w:val="00542A72"/>
    <w:rsid w:val="005434D5"/>
    <w:rsid w:val="00543542"/>
    <w:rsid w:val="00543A74"/>
    <w:rsid w:val="00544485"/>
    <w:rsid w:val="005453E8"/>
    <w:rsid w:val="0054566A"/>
    <w:rsid w:val="0054579D"/>
    <w:rsid w:val="00545FF9"/>
    <w:rsid w:val="00546477"/>
    <w:rsid w:val="00546665"/>
    <w:rsid w:val="0054682B"/>
    <w:rsid w:val="00547CD9"/>
    <w:rsid w:val="0055047F"/>
    <w:rsid w:val="005507BF"/>
    <w:rsid w:val="00550897"/>
    <w:rsid w:val="00551B43"/>
    <w:rsid w:val="00552B3E"/>
    <w:rsid w:val="00553013"/>
    <w:rsid w:val="005531FE"/>
    <w:rsid w:val="00553FD4"/>
    <w:rsid w:val="00555284"/>
    <w:rsid w:val="005553A9"/>
    <w:rsid w:val="00555E12"/>
    <w:rsid w:val="00556555"/>
    <w:rsid w:val="00557F9F"/>
    <w:rsid w:val="00561511"/>
    <w:rsid w:val="00561E41"/>
    <w:rsid w:val="00561EE0"/>
    <w:rsid w:val="0056225A"/>
    <w:rsid w:val="00563104"/>
    <w:rsid w:val="00563699"/>
    <w:rsid w:val="00563744"/>
    <w:rsid w:val="0056465E"/>
    <w:rsid w:val="005647CA"/>
    <w:rsid w:val="005647E5"/>
    <w:rsid w:val="0056485B"/>
    <w:rsid w:val="00564A1B"/>
    <w:rsid w:val="00564AAF"/>
    <w:rsid w:val="0056595E"/>
    <w:rsid w:val="00565AA2"/>
    <w:rsid w:val="00565D19"/>
    <w:rsid w:val="00565F3D"/>
    <w:rsid w:val="00566B22"/>
    <w:rsid w:val="00566E1A"/>
    <w:rsid w:val="00567CA7"/>
    <w:rsid w:val="00567D53"/>
    <w:rsid w:val="00567FDC"/>
    <w:rsid w:val="00571329"/>
    <w:rsid w:val="00572166"/>
    <w:rsid w:val="0057265C"/>
    <w:rsid w:val="00572D54"/>
    <w:rsid w:val="00573768"/>
    <w:rsid w:val="00573885"/>
    <w:rsid w:val="00573897"/>
    <w:rsid w:val="00573DD8"/>
    <w:rsid w:val="00573F7C"/>
    <w:rsid w:val="00574141"/>
    <w:rsid w:val="00575504"/>
    <w:rsid w:val="0057578C"/>
    <w:rsid w:val="005774FD"/>
    <w:rsid w:val="00577571"/>
    <w:rsid w:val="00577B5D"/>
    <w:rsid w:val="0058033E"/>
    <w:rsid w:val="0058089A"/>
    <w:rsid w:val="00580C32"/>
    <w:rsid w:val="00580D96"/>
    <w:rsid w:val="00580DD8"/>
    <w:rsid w:val="00580E2C"/>
    <w:rsid w:val="00580F17"/>
    <w:rsid w:val="005816EE"/>
    <w:rsid w:val="00581B4B"/>
    <w:rsid w:val="00581D0A"/>
    <w:rsid w:val="00581DA3"/>
    <w:rsid w:val="00581F2F"/>
    <w:rsid w:val="00582281"/>
    <w:rsid w:val="005832A1"/>
    <w:rsid w:val="00583A7D"/>
    <w:rsid w:val="00584476"/>
    <w:rsid w:val="00584DDD"/>
    <w:rsid w:val="00585A43"/>
    <w:rsid w:val="00586734"/>
    <w:rsid w:val="0058707E"/>
    <w:rsid w:val="00587190"/>
    <w:rsid w:val="00587DD1"/>
    <w:rsid w:val="00590494"/>
    <w:rsid w:val="005912CB"/>
    <w:rsid w:val="005914E2"/>
    <w:rsid w:val="0059172A"/>
    <w:rsid w:val="00591F8F"/>
    <w:rsid w:val="00592711"/>
    <w:rsid w:val="00592BFB"/>
    <w:rsid w:val="00593483"/>
    <w:rsid w:val="00593BCE"/>
    <w:rsid w:val="005940FA"/>
    <w:rsid w:val="00594506"/>
    <w:rsid w:val="0059464D"/>
    <w:rsid w:val="00594660"/>
    <w:rsid w:val="005973AA"/>
    <w:rsid w:val="00597B01"/>
    <w:rsid w:val="005A0586"/>
    <w:rsid w:val="005A09DB"/>
    <w:rsid w:val="005A0BF4"/>
    <w:rsid w:val="005A1534"/>
    <w:rsid w:val="005A162E"/>
    <w:rsid w:val="005A172E"/>
    <w:rsid w:val="005A1E4F"/>
    <w:rsid w:val="005A1EE4"/>
    <w:rsid w:val="005A3573"/>
    <w:rsid w:val="005A3ADF"/>
    <w:rsid w:val="005A3DCD"/>
    <w:rsid w:val="005A42BC"/>
    <w:rsid w:val="005A48F1"/>
    <w:rsid w:val="005A565E"/>
    <w:rsid w:val="005A57E3"/>
    <w:rsid w:val="005A5945"/>
    <w:rsid w:val="005A6E1A"/>
    <w:rsid w:val="005A6FD7"/>
    <w:rsid w:val="005A781B"/>
    <w:rsid w:val="005B124B"/>
    <w:rsid w:val="005B12D4"/>
    <w:rsid w:val="005B1AED"/>
    <w:rsid w:val="005B1BAD"/>
    <w:rsid w:val="005B2745"/>
    <w:rsid w:val="005B2833"/>
    <w:rsid w:val="005B2A61"/>
    <w:rsid w:val="005B2CA6"/>
    <w:rsid w:val="005B313F"/>
    <w:rsid w:val="005B31EF"/>
    <w:rsid w:val="005B38A7"/>
    <w:rsid w:val="005B39C7"/>
    <w:rsid w:val="005B49B5"/>
    <w:rsid w:val="005B525B"/>
    <w:rsid w:val="005B546A"/>
    <w:rsid w:val="005B6974"/>
    <w:rsid w:val="005B6C8A"/>
    <w:rsid w:val="005C02F7"/>
    <w:rsid w:val="005C0B96"/>
    <w:rsid w:val="005C1F78"/>
    <w:rsid w:val="005C2F75"/>
    <w:rsid w:val="005C2F89"/>
    <w:rsid w:val="005C34D4"/>
    <w:rsid w:val="005C3783"/>
    <w:rsid w:val="005C4206"/>
    <w:rsid w:val="005C429A"/>
    <w:rsid w:val="005C42D5"/>
    <w:rsid w:val="005C47A2"/>
    <w:rsid w:val="005C4816"/>
    <w:rsid w:val="005C5972"/>
    <w:rsid w:val="005C5D45"/>
    <w:rsid w:val="005C5FDE"/>
    <w:rsid w:val="005D05E0"/>
    <w:rsid w:val="005D07D7"/>
    <w:rsid w:val="005D131F"/>
    <w:rsid w:val="005D1E63"/>
    <w:rsid w:val="005D2137"/>
    <w:rsid w:val="005D2831"/>
    <w:rsid w:val="005D389D"/>
    <w:rsid w:val="005D405F"/>
    <w:rsid w:val="005D40CA"/>
    <w:rsid w:val="005D430F"/>
    <w:rsid w:val="005D4F24"/>
    <w:rsid w:val="005D510D"/>
    <w:rsid w:val="005D5808"/>
    <w:rsid w:val="005D5DD7"/>
    <w:rsid w:val="005D64E5"/>
    <w:rsid w:val="005D6CAF"/>
    <w:rsid w:val="005D7780"/>
    <w:rsid w:val="005D7D79"/>
    <w:rsid w:val="005E052E"/>
    <w:rsid w:val="005E09A8"/>
    <w:rsid w:val="005E0C33"/>
    <w:rsid w:val="005E198C"/>
    <w:rsid w:val="005E2D3B"/>
    <w:rsid w:val="005E2EB8"/>
    <w:rsid w:val="005E34BF"/>
    <w:rsid w:val="005E56E6"/>
    <w:rsid w:val="005E7080"/>
    <w:rsid w:val="005E7EEC"/>
    <w:rsid w:val="005E7F94"/>
    <w:rsid w:val="005F018A"/>
    <w:rsid w:val="005F046D"/>
    <w:rsid w:val="005F0D5A"/>
    <w:rsid w:val="005F0FA7"/>
    <w:rsid w:val="005F1150"/>
    <w:rsid w:val="005F1C3A"/>
    <w:rsid w:val="005F1F84"/>
    <w:rsid w:val="005F2783"/>
    <w:rsid w:val="005F3949"/>
    <w:rsid w:val="005F3A19"/>
    <w:rsid w:val="005F4036"/>
    <w:rsid w:val="005F4580"/>
    <w:rsid w:val="005F54BB"/>
    <w:rsid w:val="005F600F"/>
    <w:rsid w:val="005F614B"/>
    <w:rsid w:val="005F6482"/>
    <w:rsid w:val="005F673C"/>
    <w:rsid w:val="005F6B18"/>
    <w:rsid w:val="005F7D0D"/>
    <w:rsid w:val="005F7F65"/>
    <w:rsid w:val="0060004D"/>
    <w:rsid w:val="006001D8"/>
    <w:rsid w:val="0060032B"/>
    <w:rsid w:val="0060096E"/>
    <w:rsid w:val="00600D50"/>
    <w:rsid w:val="00600F4E"/>
    <w:rsid w:val="00601523"/>
    <w:rsid w:val="0060174B"/>
    <w:rsid w:val="00602924"/>
    <w:rsid w:val="00602A88"/>
    <w:rsid w:val="00602F49"/>
    <w:rsid w:val="00602FE0"/>
    <w:rsid w:val="00603136"/>
    <w:rsid w:val="006032B1"/>
    <w:rsid w:val="006040B4"/>
    <w:rsid w:val="006050C3"/>
    <w:rsid w:val="006063E9"/>
    <w:rsid w:val="00607607"/>
    <w:rsid w:val="00607721"/>
    <w:rsid w:val="00607FC0"/>
    <w:rsid w:val="006111D7"/>
    <w:rsid w:val="0061159C"/>
    <w:rsid w:val="00611E52"/>
    <w:rsid w:val="006120BB"/>
    <w:rsid w:val="00612A23"/>
    <w:rsid w:val="00612F61"/>
    <w:rsid w:val="00613DA7"/>
    <w:rsid w:val="00613E0B"/>
    <w:rsid w:val="006144B8"/>
    <w:rsid w:val="0061528B"/>
    <w:rsid w:val="00615397"/>
    <w:rsid w:val="0061545B"/>
    <w:rsid w:val="00615501"/>
    <w:rsid w:val="0061593A"/>
    <w:rsid w:val="0061710A"/>
    <w:rsid w:val="006172A6"/>
    <w:rsid w:val="0061784D"/>
    <w:rsid w:val="00617B53"/>
    <w:rsid w:val="00617BDA"/>
    <w:rsid w:val="00617F50"/>
    <w:rsid w:val="00617F62"/>
    <w:rsid w:val="00620108"/>
    <w:rsid w:val="006203B4"/>
    <w:rsid w:val="00621411"/>
    <w:rsid w:val="006214C0"/>
    <w:rsid w:val="006219C0"/>
    <w:rsid w:val="00621D6E"/>
    <w:rsid w:val="0062296D"/>
    <w:rsid w:val="00622A08"/>
    <w:rsid w:val="006238C1"/>
    <w:rsid w:val="00623A6C"/>
    <w:rsid w:val="00623F6F"/>
    <w:rsid w:val="00624272"/>
    <w:rsid w:val="0062472C"/>
    <w:rsid w:val="00630488"/>
    <w:rsid w:val="0063122E"/>
    <w:rsid w:val="00631E21"/>
    <w:rsid w:val="00632033"/>
    <w:rsid w:val="00632107"/>
    <w:rsid w:val="0063268B"/>
    <w:rsid w:val="0063294A"/>
    <w:rsid w:val="006334FC"/>
    <w:rsid w:val="00633773"/>
    <w:rsid w:val="00633A6B"/>
    <w:rsid w:val="00634A68"/>
    <w:rsid w:val="00634BDB"/>
    <w:rsid w:val="006357F7"/>
    <w:rsid w:val="00635B90"/>
    <w:rsid w:val="00635DC3"/>
    <w:rsid w:val="00636003"/>
    <w:rsid w:val="006362F8"/>
    <w:rsid w:val="00636435"/>
    <w:rsid w:val="0063646E"/>
    <w:rsid w:val="00636512"/>
    <w:rsid w:val="00636588"/>
    <w:rsid w:val="00636B4B"/>
    <w:rsid w:val="00636CC3"/>
    <w:rsid w:val="00637106"/>
    <w:rsid w:val="006372D3"/>
    <w:rsid w:val="00637CEF"/>
    <w:rsid w:val="00637F45"/>
    <w:rsid w:val="0064002D"/>
    <w:rsid w:val="006400E9"/>
    <w:rsid w:val="0064036C"/>
    <w:rsid w:val="0064153A"/>
    <w:rsid w:val="00641F2B"/>
    <w:rsid w:val="00642361"/>
    <w:rsid w:val="00642E36"/>
    <w:rsid w:val="00642FD7"/>
    <w:rsid w:val="0064335E"/>
    <w:rsid w:val="0064400F"/>
    <w:rsid w:val="006440C0"/>
    <w:rsid w:val="00644415"/>
    <w:rsid w:val="0064499D"/>
    <w:rsid w:val="00645E3E"/>
    <w:rsid w:val="00646290"/>
    <w:rsid w:val="00646531"/>
    <w:rsid w:val="00646950"/>
    <w:rsid w:val="00646BFF"/>
    <w:rsid w:val="0064774E"/>
    <w:rsid w:val="00650231"/>
    <w:rsid w:val="00650B48"/>
    <w:rsid w:val="006519EE"/>
    <w:rsid w:val="00651B95"/>
    <w:rsid w:val="00652BBF"/>
    <w:rsid w:val="00653216"/>
    <w:rsid w:val="0065334D"/>
    <w:rsid w:val="00653BDF"/>
    <w:rsid w:val="006542B0"/>
    <w:rsid w:val="006543EC"/>
    <w:rsid w:val="00654411"/>
    <w:rsid w:val="00654CE8"/>
    <w:rsid w:val="0065543E"/>
    <w:rsid w:val="00655DBA"/>
    <w:rsid w:val="006567D5"/>
    <w:rsid w:val="00656AAF"/>
    <w:rsid w:val="0065723F"/>
    <w:rsid w:val="00657A33"/>
    <w:rsid w:val="00657DEE"/>
    <w:rsid w:val="00657E0A"/>
    <w:rsid w:val="006601B2"/>
    <w:rsid w:val="00662AF4"/>
    <w:rsid w:val="00662DB9"/>
    <w:rsid w:val="00663BA8"/>
    <w:rsid w:val="00664212"/>
    <w:rsid w:val="006645BC"/>
    <w:rsid w:val="00664AD3"/>
    <w:rsid w:val="00664EB8"/>
    <w:rsid w:val="00665755"/>
    <w:rsid w:val="00665C6B"/>
    <w:rsid w:val="00665F80"/>
    <w:rsid w:val="0066613F"/>
    <w:rsid w:val="0066614F"/>
    <w:rsid w:val="006662BF"/>
    <w:rsid w:val="00670994"/>
    <w:rsid w:val="00670EB9"/>
    <w:rsid w:val="006722B1"/>
    <w:rsid w:val="0067279A"/>
    <w:rsid w:val="00672BC6"/>
    <w:rsid w:val="0067387B"/>
    <w:rsid w:val="00675243"/>
    <w:rsid w:val="0067543A"/>
    <w:rsid w:val="006759DD"/>
    <w:rsid w:val="00676028"/>
    <w:rsid w:val="0067615C"/>
    <w:rsid w:val="006766BD"/>
    <w:rsid w:val="0067683A"/>
    <w:rsid w:val="006768DC"/>
    <w:rsid w:val="00676C2A"/>
    <w:rsid w:val="006770FC"/>
    <w:rsid w:val="00677341"/>
    <w:rsid w:val="00677591"/>
    <w:rsid w:val="00677A85"/>
    <w:rsid w:val="006818B3"/>
    <w:rsid w:val="006818C9"/>
    <w:rsid w:val="006821BC"/>
    <w:rsid w:val="00682A0D"/>
    <w:rsid w:val="00682DAC"/>
    <w:rsid w:val="00682FCD"/>
    <w:rsid w:val="00682FDF"/>
    <w:rsid w:val="006836BD"/>
    <w:rsid w:val="00683D08"/>
    <w:rsid w:val="00684128"/>
    <w:rsid w:val="00684B38"/>
    <w:rsid w:val="00685A25"/>
    <w:rsid w:val="00686005"/>
    <w:rsid w:val="006860CD"/>
    <w:rsid w:val="00686686"/>
    <w:rsid w:val="006867ED"/>
    <w:rsid w:val="00686868"/>
    <w:rsid w:val="00687C34"/>
    <w:rsid w:val="00687DD0"/>
    <w:rsid w:val="00692256"/>
    <w:rsid w:val="00692DA6"/>
    <w:rsid w:val="0069364C"/>
    <w:rsid w:val="00693913"/>
    <w:rsid w:val="00693946"/>
    <w:rsid w:val="0069397E"/>
    <w:rsid w:val="00694397"/>
    <w:rsid w:val="00694494"/>
    <w:rsid w:val="006959E8"/>
    <w:rsid w:val="00695C12"/>
    <w:rsid w:val="00695D30"/>
    <w:rsid w:val="00696131"/>
    <w:rsid w:val="006961C7"/>
    <w:rsid w:val="0069677F"/>
    <w:rsid w:val="00696F6D"/>
    <w:rsid w:val="006971C0"/>
    <w:rsid w:val="00697269"/>
    <w:rsid w:val="00697C65"/>
    <w:rsid w:val="006A011E"/>
    <w:rsid w:val="006A0654"/>
    <w:rsid w:val="006A0D84"/>
    <w:rsid w:val="006A0DF1"/>
    <w:rsid w:val="006A0F69"/>
    <w:rsid w:val="006A142B"/>
    <w:rsid w:val="006A192F"/>
    <w:rsid w:val="006A1AA0"/>
    <w:rsid w:val="006A3279"/>
    <w:rsid w:val="006A370E"/>
    <w:rsid w:val="006A3D50"/>
    <w:rsid w:val="006A4265"/>
    <w:rsid w:val="006A4444"/>
    <w:rsid w:val="006A47D7"/>
    <w:rsid w:val="006A4DFB"/>
    <w:rsid w:val="006A509B"/>
    <w:rsid w:val="006A53F4"/>
    <w:rsid w:val="006A58CD"/>
    <w:rsid w:val="006A66D8"/>
    <w:rsid w:val="006A6DCC"/>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CFA"/>
    <w:rsid w:val="006B5205"/>
    <w:rsid w:val="006B5232"/>
    <w:rsid w:val="006B557F"/>
    <w:rsid w:val="006B5C6F"/>
    <w:rsid w:val="006B61E2"/>
    <w:rsid w:val="006B6CC8"/>
    <w:rsid w:val="006B6E7D"/>
    <w:rsid w:val="006B76BC"/>
    <w:rsid w:val="006C1007"/>
    <w:rsid w:val="006C10AD"/>
    <w:rsid w:val="006C1F75"/>
    <w:rsid w:val="006C2716"/>
    <w:rsid w:val="006C36BD"/>
    <w:rsid w:val="006C3C6A"/>
    <w:rsid w:val="006C42DD"/>
    <w:rsid w:val="006C588B"/>
    <w:rsid w:val="006C5CAD"/>
    <w:rsid w:val="006C617B"/>
    <w:rsid w:val="006C6207"/>
    <w:rsid w:val="006C6D43"/>
    <w:rsid w:val="006C7168"/>
    <w:rsid w:val="006C727A"/>
    <w:rsid w:val="006C75FC"/>
    <w:rsid w:val="006C7811"/>
    <w:rsid w:val="006D0000"/>
    <w:rsid w:val="006D0898"/>
    <w:rsid w:val="006D0E78"/>
    <w:rsid w:val="006D127D"/>
    <w:rsid w:val="006D1615"/>
    <w:rsid w:val="006D1A18"/>
    <w:rsid w:val="006D1AC5"/>
    <w:rsid w:val="006D2108"/>
    <w:rsid w:val="006D2634"/>
    <w:rsid w:val="006D27E4"/>
    <w:rsid w:val="006D28B6"/>
    <w:rsid w:val="006D2F83"/>
    <w:rsid w:val="006D3273"/>
    <w:rsid w:val="006D3814"/>
    <w:rsid w:val="006D3AEB"/>
    <w:rsid w:val="006D495D"/>
    <w:rsid w:val="006D564F"/>
    <w:rsid w:val="006D57AD"/>
    <w:rsid w:val="006D5C03"/>
    <w:rsid w:val="006D5E89"/>
    <w:rsid w:val="006D6132"/>
    <w:rsid w:val="006D68EC"/>
    <w:rsid w:val="006E044D"/>
    <w:rsid w:val="006E06A0"/>
    <w:rsid w:val="006E1D1D"/>
    <w:rsid w:val="006E1FBD"/>
    <w:rsid w:val="006E2057"/>
    <w:rsid w:val="006E276F"/>
    <w:rsid w:val="006E2C67"/>
    <w:rsid w:val="006E370E"/>
    <w:rsid w:val="006E3911"/>
    <w:rsid w:val="006E3BEA"/>
    <w:rsid w:val="006E3DE5"/>
    <w:rsid w:val="006E3F2D"/>
    <w:rsid w:val="006E40FB"/>
    <w:rsid w:val="006E4183"/>
    <w:rsid w:val="006E48CE"/>
    <w:rsid w:val="006E5684"/>
    <w:rsid w:val="006E59E9"/>
    <w:rsid w:val="006E5A22"/>
    <w:rsid w:val="006E66F6"/>
    <w:rsid w:val="006E67D3"/>
    <w:rsid w:val="006E6D34"/>
    <w:rsid w:val="006E75BC"/>
    <w:rsid w:val="006E7BB1"/>
    <w:rsid w:val="006F050A"/>
    <w:rsid w:val="006F10D5"/>
    <w:rsid w:val="006F27A1"/>
    <w:rsid w:val="006F2E86"/>
    <w:rsid w:val="006F2F96"/>
    <w:rsid w:val="006F38F8"/>
    <w:rsid w:val="006F41B4"/>
    <w:rsid w:val="006F4AAC"/>
    <w:rsid w:val="006F5331"/>
    <w:rsid w:val="006F576D"/>
    <w:rsid w:val="006F5FFE"/>
    <w:rsid w:val="006F65B4"/>
    <w:rsid w:val="006F7C4D"/>
    <w:rsid w:val="006F7F72"/>
    <w:rsid w:val="007008F8"/>
    <w:rsid w:val="00700C5A"/>
    <w:rsid w:val="0070168F"/>
    <w:rsid w:val="0070229F"/>
    <w:rsid w:val="0070313D"/>
    <w:rsid w:val="007032E4"/>
    <w:rsid w:val="00703DA3"/>
    <w:rsid w:val="007044FC"/>
    <w:rsid w:val="00704512"/>
    <w:rsid w:val="00704571"/>
    <w:rsid w:val="00704B89"/>
    <w:rsid w:val="00705186"/>
    <w:rsid w:val="00706290"/>
    <w:rsid w:val="0070631B"/>
    <w:rsid w:val="0070647D"/>
    <w:rsid w:val="00706486"/>
    <w:rsid w:val="007065E6"/>
    <w:rsid w:val="007068D3"/>
    <w:rsid w:val="00706D3A"/>
    <w:rsid w:val="00706E07"/>
    <w:rsid w:val="00707D21"/>
    <w:rsid w:val="007103B5"/>
    <w:rsid w:val="0071081B"/>
    <w:rsid w:val="0071178D"/>
    <w:rsid w:val="00712E20"/>
    <w:rsid w:val="0071421D"/>
    <w:rsid w:val="0071463A"/>
    <w:rsid w:val="00715700"/>
    <w:rsid w:val="00716C32"/>
    <w:rsid w:val="00716E86"/>
    <w:rsid w:val="00717190"/>
    <w:rsid w:val="0071758B"/>
    <w:rsid w:val="007175AD"/>
    <w:rsid w:val="00717BDE"/>
    <w:rsid w:val="00717C04"/>
    <w:rsid w:val="00720191"/>
    <w:rsid w:val="0072086A"/>
    <w:rsid w:val="00720C95"/>
    <w:rsid w:val="00721036"/>
    <w:rsid w:val="00721577"/>
    <w:rsid w:val="0072232B"/>
    <w:rsid w:val="00723F69"/>
    <w:rsid w:val="00724B03"/>
    <w:rsid w:val="00724BBE"/>
    <w:rsid w:val="00724D88"/>
    <w:rsid w:val="00726DC3"/>
    <w:rsid w:val="00726F73"/>
    <w:rsid w:val="00727004"/>
    <w:rsid w:val="00727AAF"/>
    <w:rsid w:val="007301AE"/>
    <w:rsid w:val="0073030D"/>
    <w:rsid w:val="007305B2"/>
    <w:rsid w:val="0073063F"/>
    <w:rsid w:val="00730A1A"/>
    <w:rsid w:val="00731139"/>
    <w:rsid w:val="00732DD9"/>
    <w:rsid w:val="00733245"/>
    <w:rsid w:val="00733529"/>
    <w:rsid w:val="0073373B"/>
    <w:rsid w:val="0073454F"/>
    <w:rsid w:val="00734DE5"/>
    <w:rsid w:val="00735477"/>
    <w:rsid w:val="0073547D"/>
    <w:rsid w:val="00735ACA"/>
    <w:rsid w:val="00735B13"/>
    <w:rsid w:val="00736F64"/>
    <w:rsid w:val="0073733B"/>
    <w:rsid w:val="0073736B"/>
    <w:rsid w:val="007375BD"/>
    <w:rsid w:val="007377DA"/>
    <w:rsid w:val="00737A47"/>
    <w:rsid w:val="00737B48"/>
    <w:rsid w:val="00737E5C"/>
    <w:rsid w:val="007400D7"/>
    <w:rsid w:val="00740386"/>
    <w:rsid w:val="007406A7"/>
    <w:rsid w:val="00741BBF"/>
    <w:rsid w:val="00742ACD"/>
    <w:rsid w:val="00744734"/>
    <w:rsid w:val="00745413"/>
    <w:rsid w:val="00745B80"/>
    <w:rsid w:val="00745C90"/>
    <w:rsid w:val="007460AD"/>
    <w:rsid w:val="00746B28"/>
    <w:rsid w:val="00747ECF"/>
    <w:rsid w:val="0075003F"/>
    <w:rsid w:val="00750DF3"/>
    <w:rsid w:val="00750EC4"/>
    <w:rsid w:val="00751C2B"/>
    <w:rsid w:val="0075221B"/>
    <w:rsid w:val="00753276"/>
    <w:rsid w:val="007544FB"/>
    <w:rsid w:val="00754B54"/>
    <w:rsid w:val="00755CF0"/>
    <w:rsid w:val="0075676C"/>
    <w:rsid w:val="00756EED"/>
    <w:rsid w:val="0075701E"/>
    <w:rsid w:val="007604D4"/>
    <w:rsid w:val="0076091B"/>
    <w:rsid w:val="00760A13"/>
    <w:rsid w:val="00761260"/>
    <w:rsid w:val="00761C13"/>
    <w:rsid w:val="00761EB6"/>
    <w:rsid w:val="00762883"/>
    <w:rsid w:val="00762B18"/>
    <w:rsid w:val="00762D12"/>
    <w:rsid w:val="00763249"/>
    <w:rsid w:val="00763969"/>
    <w:rsid w:val="00763CBD"/>
    <w:rsid w:val="00764057"/>
    <w:rsid w:val="007640B0"/>
    <w:rsid w:val="007642AC"/>
    <w:rsid w:val="00764E1C"/>
    <w:rsid w:val="0076505B"/>
    <w:rsid w:val="00766C09"/>
    <w:rsid w:val="00766EE9"/>
    <w:rsid w:val="007672A6"/>
    <w:rsid w:val="00767381"/>
    <w:rsid w:val="007676EB"/>
    <w:rsid w:val="007677EB"/>
    <w:rsid w:val="007677FF"/>
    <w:rsid w:val="007707A6"/>
    <w:rsid w:val="00770D11"/>
    <w:rsid w:val="007715D6"/>
    <w:rsid w:val="007717F9"/>
    <w:rsid w:val="007720E2"/>
    <w:rsid w:val="007720F3"/>
    <w:rsid w:val="007721F3"/>
    <w:rsid w:val="00772226"/>
    <w:rsid w:val="0077229B"/>
    <w:rsid w:val="00773BC7"/>
    <w:rsid w:val="00774C4B"/>
    <w:rsid w:val="00774CEA"/>
    <w:rsid w:val="007755DF"/>
    <w:rsid w:val="00775654"/>
    <w:rsid w:val="007756C6"/>
    <w:rsid w:val="007756CC"/>
    <w:rsid w:val="0077612B"/>
    <w:rsid w:val="00776294"/>
    <w:rsid w:val="0077634D"/>
    <w:rsid w:val="007763C0"/>
    <w:rsid w:val="00776700"/>
    <w:rsid w:val="00776A92"/>
    <w:rsid w:val="00776B39"/>
    <w:rsid w:val="00777231"/>
    <w:rsid w:val="007772FF"/>
    <w:rsid w:val="00777377"/>
    <w:rsid w:val="00777804"/>
    <w:rsid w:val="00780D19"/>
    <w:rsid w:val="00781996"/>
    <w:rsid w:val="00781B87"/>
    <w:rsid w:val="00781D9E"/>
    <w:rsid w:val="007820FD"/>
    <w:rsid w:val="00782859"/>
    <w:rsid w:val="00782EF6"/>
    <w:rsid w:val="007838F5"/>
    <w:rsid w:val="007841DF"/>
    <w:rsid w:val="00784FF0"/>
    <w:rsid w:val="00785242"/>
    <w:rsid w:val="00785E5F"/>
    <w:rsid w:val="00786386"/>
    <w:rsid w:val="00786E45"/>
    <w:rsid w:val="007876A6"/>
    <w:rsid w:val="007879B3"/>
    <w:rsid w:val="00787B0A"/>
    <w:rsid w:val="00790477"/>
    <w:rsid w:val="00790592"/>
    <w:rsid w:val="0079147F"/>
    <w:rsid w:val="00791637"/>
    <w:rsid w:val="00791916"/>
    <w:rsid w:val="00791CF0"/>
    <w:rsid w:val="0079283D"/>
    <w:rsid w:val="00792E45"/>
    <w:rsid w:val="007934C6"/>
    <w:rsid w:val="00793A73"/>
    <w:rsid w:val="00793EC8"/>
    <w:rsid w:val="007941DD"/>
    <w:rsid w:val="007945A4"/>
    <w:rsid w:val="0079490D"/>
    <w:rsid w:val="00794D17"/>
    <w:rsid w:val="00794F45"/>
    <w:rsid w:val="00795222"/>
    <w:rsid w:val="0079580B"/>
    <w:rsid w:val="00796409"/>
    <w:rsid w:val="00796667"/>
    <w:rsid w:val="00796703"/>
    <w:rsid w:val="007971F2"/>
    <w:rsid w:val="00797370"/>
    <w:rsid w:val="0079756D"/>
    <w:rsid w:val="0079782A"/>
    <w:rsid w:val="007A0B59"/>
    <w:rsid w:val="007A0EA7"/>
    <w:rsid w:val="007A1AB6"/>
    <w:rsid w:val="007A2D98"/>
    <w:rsid w:val="007A2E5E"/>
    <w:rsid w:val="007A45DB"/>
    <w:rsid w:val="007A4F23"/>
    <w:rsid w:val="007A59E7"/>
    <w:rsid w:val="007A5F14"/>
    <w:rsid w:val="007A60A7"/>
    <w:rsid w:val="007A6B80"/>
    <w:rsid w:val="007A726E"/>
    <w:rsid w:val="007A7424"/>
    <w:rsid w:val="007A77C7"/>
    <w:rsid w:val="007A7AFE"/>
    <w:rsid w:val="007B08C0"/>
    <w:rsid w:val="007B26B2"/>
    <w:rsid w:val="007B2BAD"/>
    <w:rsid w:val="007B2ECA"/>
    <w:rsid w:val="007B30F8"/>
    <w:rsid w:val="007B34CA"/>
    <w:rsid w:val="007B3C10"/>
    <w:rsid w:val="007B3C7D"/>
    <w:rsid w:val="007B44D1"/>
    <w:rsid w:val="007B4F24"/>
    <w:rsid w:val="007B4F61"/>
    <w:rsid w:val="007B56D1"/>
    <w:rsid w:val="007B5D6F"/>
    <w:rsid w:val="007B60C0"/>
    <w:rsid w:val="007B639D"/>
    <w:rsid w:val="007B641B"/>
    <w:rsid w:val="007B6491"/>
    <w:rsid w:val="007B6775"/>
    <w:rsid w:val="007B6D16"/>
    <w:rsid w:val="007B70C9"/>
    <w:rsid w:val="007C03B0"/>
    <w:rsid w:val="007C0B12"/>
    <w:rsid w:val="007C17E7"/>
    <w:rsid w:val="007C1834"/>
    <w:rsid w:val="007C1E70"/>
    <w:rsid w:val="007C213E"/>
    <w:rsid w:val="007C2768"/>
    <w:rsid w:val="007C2D9A"/>
    <w:rsid w:val="007C3EE3"/>
    <w:rsid w:val="007C3FEC"/>
    <w:rsid w:val="007C4340"/>
    <w:rsid w:val="007C4437"/>
    <w:rsid w:val="007C4703"/>
    <w:rsid w:val="007C4CE7"/>
    <w:rsid w:val="007C5EC9"/>
    <w:rsid w:val="007C5F73"/>
    <w:rsid w:val="007C5FEE"/>
    <w:rsid w:val="007C60AF"/>
    <w:rsid w:val="007C65C3"/>
    <w:rsid w:val="007C6DA9"/>
    <w:rsid w:val="007C7088"/>
    <w:rsid w:val="007C792F"/>
    <w:rsid w:val="007C7D61"/>
    <w:rsid w:val="007C7EAB"/>
    <w:rsid w:val="007D0351"/>
    <w:rsid w:val="007D083E"/>
    <w:rsid w:val="007D208F"/>
    <w:rsid w:val="007D25E2"/>
    <w:rsid w:val="007D2630"/>
    <w:rsid w:val="007D2B8A"/>
    <w:rsid w:val="007D343E"/>
    <w:rsid w:val="007D4D89"/>
    <w:rsid w:val="007D5410"/>
    <w:rsid w:val="007D5F61"/>
    <w:rsid w:val="007D60A4"/>
    <w:rsid w:val="007D63D0"/>
    <w:rsid w:val="007D67BB"/>
    <w:rsid w:val="007D7043"/>
    <w:rsid w:val="007D77B1"/>
    <w:rsid w:val="007E08DE"/>
    <w:rsid w:val="007E0D80"/>
    <w:rsid w:val="007E1045"/>
    <w:rsid w:val="007E1BD0"/>
    <w:rsid w:val="007E1BDB"/>
    <w:rsid w:val="007E24E8"/>
    <w:rsid w:val="007E2635"/>
    <w:rsid w:val="007E35E0"/>
    <w:rsid w:val="007E4079"/>
    <w:rsid w:val="007E571C"/>
    <w:rsid w:val="007E5BB6"/>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521"/>
    <w:rsid w:val="007F3C07"/>
    <w:rsid w:val="007F4312"/>
    <w:rsid w:val="007F460A"/>
    <w:rsid w:val="007F49F2"/>
    <w:rsid w:val="007F4B8F"/>
    <w:rsid w:val="007F6016"/>
    <w:rsid w:val="007F6147"/>
    <w:rsid w:val="007F61F9"/>
    <w:rsid w:val="007F741D"/>
    <w:rsid w:val="007F7D09"/>
    <w:rsid w:val="00800059"/>
    <w:rsid w:val="00800C95"/>
    <w:rsid w:val="00800F67"/>
    <w:rsid w:val="00801684"/>
    <w:rsid w:val="008017EF"/>
    <w:rsid w:val="00801865"/>
    <w:rsid w:val="00802037"/>
    <w:rsid w:val="00802329"/>
    <w:rsid w:val="0080262D"/>
    <w:rsid w:val="008027D8"/>
    <w:rsid w:val="00804E2D"/>
    <w:rsid w:val="00804E76"/>
    <w:rsid w:val="0080504A"/>
    <w:rsid w:val="00805226"/>
    <w:rsid w:val="00805B01"/>
    <w:rsid w:val="008071A0"/>
    <w:rsid w:val="00811799"/>
    <w:rsid w:val="0081299A"/>
    <w:rsid w:val="00812D4B"/>
    <w:rsid w:val="00813217"/>
    <w:rsid w:val="00813390"/>
    <w:rsid w:val="008138F4"/>
    <w:rsid w:val="008143BF"/>
    <w:rsid w:val="00814FB4"/>
    <w:rsid w:val="00815690"/>
    <w:rsid w:val="00815B6A"/>
    <w:rsid w:val="00815C5A"/>
    <w:rsid w:val="00815CEB"/>
    <w:rsid w:val="00815FCF"/>
    <w:rsid w:val="008164BE"/>
    <w:rsid w:val="00816729"/>
    <w:rsid w:val="00817353"/>
    <w:rsid w:val="00817567"/>
    <w:rsid w:val="00817F9D"/>
    <w:rsid w:val="008203DA"/>
    <w:rsid w:val="00820919"/>
    <w:rsid w:val="00820B0B"/>
    <w:rsid w:val="008219AA"/>
    <w:rsid w:val="00822057"/>
    <w:rsid w:val="00822713"/>
    <w:rsid w:val="00822F6F"/>
    <w:rsid w:val="008230FB"/>
    <w:rsid w:val="0082451F"/>
    <w:rsid w:val="00824EE5"/>
    <w:rsid w:val="00825504"/>
    <w:rsid w:val="008257C9"/>
    <w:rsid w:val="00825854"/>
    <w:rsid w:val="00825904"/>
    <w:rsid w:val="00825ACD"/>
    <w:rsid w:val="008265A1"/>
    <w:rsid w:val="008278C8"/>
    <w:rsid w:val="008308D1"/>
    <w:rsid w:val="008316F9"/>
    <w:rsid w:val="008319CB"/>
    <w:rsid w:val="00831C16"/>
    <w:rsid w:val="00831EF3"/>
    <w:rsid w:val="00832462"/>
    <w:rsid w:val="008346AF"/>
    <w:rsid w:val="0083538B"/>
    <w:rsid w:val="0083595C"/>
    <w:rsid w:val="00835A20"/>
    <w:rsid w:val="00835D50"/>
    <w:rsid w:val="00836734"/>
    <w:rsid w:val="008372A7"/>
    <w:rsid w:val="0083741D"/>
    <w:rsid w:val="0083752A"/>
    <w:rsid w:val="00837665"/>
    <w:rsid w:val="00837AB0"/>
    <w:rsid w:val="00837F0D"/>
    <w:rsid w:val="0084011F"/>
    <w:rsid w:val="00840385"/>
    <w:rsid w:val="008404B8"/>
    <w:rsid w:val="008417C8"/>
    <w:rsid w:val="00841F8A"/>
    <w:rsid w:val="0084216D"/>
    <w:rsid w:val="0084257E"/>
    <w:rsid w:val="008430F2"/>
    <w:rsid w:val="00843F27"/>
    <w:rsid w:val="00844187"/>
    <w:rsid w:val="008449B0"/>
    <w:rsid w:val="0084571A"/>
    <w:rsid w:val="00846B97"/>
    <w:rsid w:val="00846E5C"/>
    <w:rsid w:val="008471A3"/>
    <w:rsid w:val="008501F7"/>
    <w:rsid w:val="00850A70"/>
    <w:rsid w:val="00850AEC"/>
    <w:rsid w:val="0085135E"/>
    <w:rsid w:val="0085238D"/>
    <w:rsid w:val="00852EEF"/>
    <w:rsid w:val="0085306D"/>
    <w:rsid w:val="0085320E"/>
    <w:rsid w:val="008536A1"/>
    <w:rsid w:val="00854094"/>
    <w:rsid w:val="0085450D"/>
    <w:rsid w:val="00855002"/>
    <w:rsid w:val="0085587C"/>
    <w:rsid w:val="00855BC0"/>
    <w:rsid w:val="00856355"/>
    <w:rsid w:val="008578C9"/>
    <w:rsid w:val="0085796F"/>
    <w:rsid w:val="00860620"/>
    <w:rsid w:val="00860792"/>
    <w:rsid w:val="008607F4"/>
    <w:rsid w:val="00862035"/>
    <w:rsid w:val="008622CF"/>
    <w:rsid w:val="00862662"/>
    <w:rsid w:val="00862EC1"/>
    <w:rsid w:val="00863197"/>
    <w:rsid w:val="00863658"/>
    <w:rsid w:val="00864DAF"/>
    <w:rsid w:val="008652B2"/>
    <w:rsid w:val="0086579C"/>
    <w:rsid w:val="00865D11"/>
    <w:rsid w:val="0086619C"/>
    <w:rsid w:val="0086737D"/>
    <w:rsid w:val="00870D14"/>
    <w:rsid w:val="00870D28"/>
    <w:rsid w:val="00870ED4"/>
    <w:rsid w:val="00871AB0"/>
    <w:rsid w:val="00871AE9"/>
    <w:rsid w:val="008723A6"/>
    <w:rsid w:val="00872955"/>
    <w:rsid w:val="00873B1C"/>
    <w:rsid w:val="00874181"/>
    <w:rsid w:val="00874206"/>
    <w:rsid w:val="00874331"/>
    <w:rsid w:val="00875AA5"/>
    <w:rsid w:val="00875FA2"/>
    <w:rsid w:val="00876E2C"/>
    <w:rsid w:val="00877339"/>
    <w:rsid w:val="00880429"/>
    <w:rsid w:val="008817AA"/>
    <w:rsid w:val="00882391"/>
    <w:rsid w:val="00882973"/>
    <w:rsid w:val="00883116"/>
    <w:rsid w:val="008838D5"/>
    <w:rsid w:val="00883E90"/>
    <w:rsid w:val="00883FE1"/>
    <w:rsid w:val="00884D20"/>
    <w:rsid w:val="00885999"/>
    <w:rsid w:val="0088715B"/>
    <w:rsid w:val="0088724A"/>
    <w:rsid w:val="0088789F"/>
    <w:rsid w:val="00891432"/>
    <w:rsid w:val="00891533"/>
    <w:rsid w:val="008915B7"/>
    <w:rsid w:val="00891721"/>
    <w:rsid w:val="00891918"/>
    <w:rsid w:val="00892379"/>
    <w:rsid w:val="00892780"/>
    <w:rsid w:val="0089285A"/>
    <w:rsid w:val="00892E5E"/>
    <w:rsid w:val="00893254"/>
    <w:rsid w:val="0089337A"/>
    <w:rsid w:val="0089488B"/>
    <w:rsid w:val="00895BA2"/>
    <w:rsid w:val="0089628B"/>
    <w:rsid w:val="00896985"/>
    <w:rsid w:val="00897F93"/>
    <w:rsid w:val="008A0016"/>
    <w:rsid w:val="008A04B7"/>
    <w:rsid w:val="008A122E"/>
    <w:rsid w:val="008A1B5A"/>
    <w:rsid w:val="008A1D3A"/>
    <w:rsid w:val="008A213C"/>
    <w:rsid w:val="008A22CF"/>
    <w:rsid w:val="008A255D"/>
    <w:rsid w:val="008A43EB"/>
    <w:rsid w:val="008A569E"/>
    <w:rsid w:val="008A5D7C"/>
    <w:rsid w:val="008A6534"/>
    <w:rsid w:val="008A6578"/>
    <w:rsid w:val="008A718D"/>
    <w:rsid w:val="008A738B"/>
    <w:rsid w:val="008A7AF9"/>
    <w:rsid w:val="008A7C2A"/>
    <w:rsid w:val="008B08F5"/>
    <w:rsid w:val="008B1EDA"/>
    <w:rsid w:val="008B1F6C"/>
    <w:rsid w:val="008B351B"/>
    <w:rsid w:val="008B45EF"/>
    <w:rsid w:val="008B460C"/>
    <w:rsid w:val="008B49F3"/>
    <w:rsid w:val="008B5060"/>
    <w:rsid w:val="008B5789"/>
    <w:rsid w:val="008B5DC8"/>
    <w:rsid w:val="008B5DCB"/>
    <w:rsid w:val="008B6837"/>
    <w:rsid w:val="008B68B0"/>
    <w:rsid w:val="008B68BA"/>
    <w:rsid w:val="008B6A3D"/>
    <w:rsid w:val="008B7EA6"/>
    <w:rsid w:val="008C0EB2"/>
    <w:rsid w:val="008C1DB4"/>
    <w:rsid w:val="008C2281"/>
    <w:rsid w:val="008C2638"/>
    <w:rsid w:val="008C4C5C"/>
    <w:rsid w:val="008C5DE7"/>
    <w:rsid w:val="008C695B"/>
    <w:rsid w:val="008C7780"/>
    <w:rsid w:val="008C7AD7"/>
    <w:rsid w:val="008D14EA"/>
    <w:rsid w:val="008D1CDE"/>
    <w:rsid w:val="008D2857"/>
    <w:rsid w:val="008D2BB2"/>
    <w:rsid w:val="008D3554"/>
    <w:rsid w:val="008D40AD"/>
    <w:rsid w:val="008D4147"/>
    <w:rsid w:val="008D429C"/>
    <w:rsid w:val="008D4EDE"/>
    <w:rsid w:val="008D4F99"/>
    <w:rsid w:val="008D71D8"/>
    <w:rsid w:val="008D72B0"/>
    <w:rsid w:val="008D7451"/>
    <w:rsid w:val="008D795C"/>
    <w:rsid w:val="008D7B58"/>
    <w:rsid w:val="008E0402"/>
    <w:rsid w:val="008E057E"/>
    <w:rsid w:val="008E0BC6"/>
    <w:rsid w:val="008E23AE"/>
    <w:rsid w:val="008E2A0B"/>
    <w:rsid w:val="008E3440"/>
    <w:rsid w:val="008E3934"/>
    <w:rsid w:val="008E3CDE"/>
    <w:rsid w:val="008E44B9"/>
    <w:rsid w:val="008E4907"/>
    <w:rsid w:val="008E52EC"/>
    <w:rsid w:val="008E56F9"/>
    <w:rsid w:val="008E5BF2"/>
    <w:rsid w:val="008E61DD"/>
    <w:rsid w:val="008E6230"/>
    <w:rsid w:val="008E62B3"/>
    <w:rsid w:val="008E637B"/>
    <w:rsid w:val="008E6DCB"/>
    <w:rsid w:val="008E7E52"/>
    <w:rsid w:val="008F05E7"/>
    <w:rsid w:val="008F12EA"/>
    <w:rsid w:val="008F1A75"/>
    <w:rsid w:val="008F1CDE"/>
    <w:rsid w:val="008F1CEF"/>
    <w:rsid w:val="008F1F35"/>
    <w:rsid w:val="008F2D3F"/>
    <w:rsid w:val="008F4F41"/>
    <w:rsid w:val="008F6381"/>
    <w:rsid w:val="008F65C3"/>
    <w:rsid w:val="008F76FF"/>
    <w:rsid w:val="008F7797"/>
    <w:rsid w:val="008F787A"/>
    <w:rsid w:val="009008A1"/>
    <w:rsid w:val="00901280"/>
    <w:rsid w:val="009017DC"/>
    <w:rsid w:val="00901BEF"/>
    <w:rsid w:val="00901D27"/>
    <w:rsid w:val="00902A60"/>
    <w:rsid w:val="00903025"/>
    <w:rsid w:val="00904D2E"/>
    <w:rsid w:val="009054A3"/>
    <w:rsid w:val="00906A20"/>
    <w:rsid w:val="00907490"/>
    <w:rsid w:val="00907703"/>
    <w:rsid w:val="00907949"/>
    <w:rsid w:val="00907B5E"/>
    <w:rsid w:val="00910272"/>
    <w:rsid w:val="009105B7"/>
    <w:rsid w:val="00910F54"/>
    <w:rsid w:val="009128BE"/>
    <w:rsid w:val="009129E6"/>
    <w:rsid w:val="00912A2B"/>
    <w:rsid w:val="00913055"/>
    <w:rsid w:val="009135FF"/>
    <w:rsid w:val="009138F6"/>
    <w:rsid w:val="00913949"/>
    <w:rsid w:val="00913ABB"/>
    <w:rsid w:val="00913D0B"/>
    <w:rsid w:val="0091479E"/>
    <w:rsid w:val="009147EE"/>
    <w:rsid w:val="00914B5E"/>
    <w:rsid w:val="00914CA0"/>
    <w:rsid w:val="009151EA"/>
    <w:rsid w:val="009158F7"/>
    <w:rsid w:val="00915D81"/>
    <w:rsid w:val="00915E04"/>
    <w:rsid w:val="00916146"/>
    <w:rsid w:val="009163E0"/>
    <w:rsid w:val="009163F9"/>
    <w:rsid w:val="009210E9"/>
    <w:rsid w:val="00921636"/>
    <w:rsid w:val="00921B56"/>
    <w:rsid w:val="00922383"/>
    <w:rsid w:val="0092300B"/>
    <w:rsid w:val="00923224"/>
    <w:rsid w:val="009232F0"/>
    <w:rsid w:val="009235B5"/>
    <w:rsid w:val="00923E7A"/>
    <w:rsid w:val="00924A35"/>
    <w:rsid w:val="0092541B"/>
    <w:rsid w:val="00925F64"/>
    <w:rsid w:val="00925F9C"/>
    <w:rsid w:val="0092678D"/>
    <w:rsid w:val="00926F36"/>
    <w:rsid w:val="00930D4E"/>
    <w:rsid w:val="009315DC"/>
    <w:rsid w:val="009316D4"/>
    <w:rsid w:val="00932042"/>
    <w:rsid w:val="009327DD"/>
    <w:rsid w:val="00933816"/>
    <w:rsid w:val="00933B96"/>
    <w:rsid w:val="00933B97"/>
    <w:rsid w:val="00933C96"/>
    <w:rsid w:val="00933D61"/>
    <w:rsid w:val="00934254"/>
    <w:rsid w:val="0093488A"/>
    <w:rsid w:val="00935677"/>
    <w:rsid w:val="00936BD3"/>
    <w:rsid w:val="00936C0C"/>
    <w:rsid w:val="00937475"/>
    <w:rsid w:val="00940038"/>
    <w:rsid w:val="0094039A"/>
    <w:rsid w:val="00941137"/>
    <w:rsid w:val="0094158F"/>
    <w:rsid w:val="00941F1B"/>
    <w:rsid w:val="0094211E"/>
    <w:rsid w:val="009422D2"/>
    <w:rsid w:val="00942AE4"/>
    <w:rsid w:val="00942EF6"/>
    <w:rsid w:val="00943808"/>
    <w:rsid w:val="00943E7A"/>
    <w:rsid w:val="00943FB6"/>
    <w:rsid w:val="00944081"/>
    <w:rsid w:val="00944CB0"/>
    <w:rsid w:val="00945161"/>
    <w:rsid w:val="00946257"/>
    <w:rsid w:val="00946637"/>
    <w:rsid w:val="009468F6"/>
    <w:rsid w:val="00946A6A"/>
    <w:rsid w:val="00947E07"/>
    <w:rsid w:val="00950D83"/>
    <w:rsid w:val="00950F1A"/>
    <w:rsid w:val="009524C6"/>
    <w:rsid w:val="00952530"/>
    <w:rsid w:val="0095289B"/>
    <w:rsid w:val="009533DE"/>
    <w:rsid w:val="00954F45"/>
    <w:rsid w:val="009551CE"/>
    <w:rsid w:val="00955375"/>
    <w:rsid w:val="0095549E"/>
    <w:rsid w:val="00956046"/>
    <w:rsid w:val="009561E5"/>
    <w:rsid w:val="00956E3A"/>
    <w:rsid w:val="00956F1D"/>
    <w:rsid w:val="00957BCE"/>
    <w:rsid w:val="00957F90"/>
    <w:rsid w:val="00960119"/>
    <w:rsid w:val="009616A3"/>
    <w:rsid w:val="009628D6"/>
    <w:rsid w:val="00962D41"/>
    <w:rsid w:val="00962EC6"/>
    <w:rsid w:val="00962F12"/>
    <w:rsid w:val="00963320"/>
    <w:rsid w:val="0096397C"/>
    <w:rsid w:val="00964159"/>
    <w:rsid w:val="009649C7"/>
    <w:rsid w:val="009649D2"/>
    <w:rsid w:val="009652C3"/>
    <w:rsid w:val="00965975"/>
    <w:rsid w:val="00965A88"/>
    <w:rsid w:val="0096625B"/>
    <w:rsid w:val="00966728"/>
    <w:rsid w:val="00966E69"/>
    <w:rsid w:val="0096749C"/>
    <w:rsid w:val="009706C6"/>
    <w:rsid w:val="00970826"/>
    <w:rsid w:val="0097123E"/>
    <w:rsid w:val="00971649"/>
    <w:rsid w:val="00971802"/>
    <w:rsid w:val="00971ABF"/>
    <w:rsid w:val="009726A5"/>
    <w:rsid w:val="00973653"/>
    <w:rsid w:val="0097399D"/>
    <w:rsid w:val="0097405F"/>
    <w:rsid w:val="00974365"/>
    <w:rsid w:val="00974724"/>
    <w:rsid w:val="009749D1"/>
    <w:rsid w:val="009749D8"/>
    <w:rsid w:val="00974C4C"/>
    <w:rsid w:val="00975C0A"/>
    <w:rsid w:val="009765BF"/>
    <w:rsid w:val="00976B3C"/>
    <w:rsid w:val="009777EA"/>
    <w:rsid w:val="0097786F"/>
    <w:rsid w:val="00977D1B"/>
    <w:rsid w:val="00977FF3"/>
    <w:rsid w:val="00980415"/>
    <w:rsid w:val="00980A96"/>
    <w:rsid w:val="0098164B"/>
    <w:rsid w:val="00981831"/>
    <w:rsid w:val="00984128"/>
    <w:rsid w:val="009850A6"/>
    <w:rsid w:val="00985142"/>
    <w:rsid w:val="009856C7"/>
    <w:rsid w:val="00985A7C"/>
    <w:rsid w:val="00986428"/>
    <w:rsid w:val="00986DC1"/>
    <w:rsid w:val="009872E4"/>
    <w:rsid w:val="00987C4B"/>
    <w:rsid w:val="00990BAB"/>
    <w:rsid w:val="00990C00"/>
    <w:rsid w:val="00990D92"/>
    <w:rsid w:val="00990DCB"/>
    <w:rsid w:val="00990EEE"/>
    <w:rsid w:val="00991454"/>
    <w:rsid w:val="009919EF"/>
    <w:rsid w:val="009926C8"/>
    <w:rsid w:val="0099366C"/>
    <w:rsid w:val="00994E65"/>
    <w:rsid w:val="0099500A"/>
    <w:rsid w:val="0099522C"/>
    <w:rsid w:val="00995C92"/>
    <w:rsid w:val="00996068"/>
    <w:rsid w:val="0099704C"/>
    <w:rsid w:val="00997648"/>
    <w:rsid w:val="00997D62"/>
    <w:rsid w:val="009A07CC"/>
    <w:rsid w:val="009A0A88"/>
    <w:rsid w:val="009A1042"/>
    <w:rsid w:val="009A17F6"/>
    <w:rsid w:val="009A2C48"/>
    <w:rsid w:val="009A2EF7"/>
    <w:rsid w:val="009A3246"/>
    <w:rsid w:val="009A376B"/>
    <w:rsid w:val="009A3E2B"/>
    <w:rsid w:val="009A43C2"/>
    <w:rsid w:val="009A5268"/>
    <w:rsid w:val="009A52F9"/>
    <w:rsid w:val="009A5EEB"/>
    <w:rsid w:val="009A600C"/>
    <w:rsid w:val="009A632D"/>
    <w:rsid w:val="009A6926"/>
    <w:rsid w:val="009A6A9F"/>
    <w:rsid w:val="009A7160"/>
    <w:rsid w:val="009A73D1"/>
    <w:rsid w:val="009A759E"/>
    <w:rsid w:val="009A779F"/>
    <w:rsid w:val="009A7ACE"/>
    <w:rsid w:val="009B03F7"/>
    <w:rsid w:val="009B0B95"/>
    <w:rsid w:val="009B0CD1"/>
    <w:rsid w:val="009B131F"/>
    <w:rsid w:val="009B18E9"/>
    <w:rsid w:val="009B1912"/>
    <w:rsid w:val="009B2579"/>
    <w:rsid w:val="009B26D4"/>
    <w:rsid w:val="009B31DA"/>
    <w:rsid w:val="009B3581"/>
    <w:rsid w:val="009B387F"/>
    <w:rsid w:val="009B3959"/>
    <w:rsid w:val="009B406B"/>
    <w:rsid w:val="009B579C"/>
    <w:rsid w:val="009B698D"/>
    <w:rsid w:val="009B6E4B"/>
    <w:rsid w:val="009B7170"/>
    <w:rsid w:val="009B7F44"/>
    <w:rsid w:val="009C0A6A"/>
    <w:rsid w:val="009C13B5"/>
    <w:rsid w:val="009C13E8"/>
    <w:rsid w:val="009C1F77"/>
    <w:rsid w:val="009C2721"/>
    <w:rsid w:val="009C35F4"/>
    <w:rsid w:val="009C374C"/>
    <w:rsid w:val="009C3E40"/>
    <w:rsid w:val="009C4B00"/>
    <w:rsid w:val="009C4EE9"/>
    <w:rsid w:val="009C50E3"/>
    <w:rsid w:val="009C5E31"/>
    <w:rsid w:val="009C688E"/>
    <w:rsid w:val="009C72C1"/>
    <w:rsid w:val="009C7665"/>
    <w:rsid w:val="009C76C6"/>
    <w:rsid w:val="009C7DF5"/>
    <w:rsid w:val="009D02C5"/>
    <w:rsid w:val="009D06F8"/>
    <w:rsid w:val="009D06FF"/>
    <w:rsid w:val="009D1469"/>
    <w:rsid w:val="009D1483"/>
    <w:rsid w:val="009D1B0E"/>
    <w:rsid w:val="009D215D"/>
    <w:rsid w:val="009D21B5"/>
    <w:rsid w:val="009D29DC"/>
    <w:rsid w:val="009D2A75"/>
    <w:rsid w:val="009D2B34"/>
    <w:rsid w:val="009D2E0D"/>
    <w:rsid w:val="009D2EC5"/>
    <w:rsid w:val="009D52F8"/>
    <w:rsid w:val="009D5D47"/>
    <w:rsid w:val="009D6299"/>
    <w:rsid w:val="009D6446"/>
    <w:rsid w:val="009D738D"/>
    <w:rsid w:val="009D7A11"/>
    <w:rsid w:val="009D7BEE"/>
    <w:rsid w:val="009D7EBE"/>
    <w:rsid w:val="009E03ED"/>
    <w:rsid w:val="009E1BD3"/>
    <w:rsid w:val="009E1DD5"/>
    <w:rsid w:val="009E2848"/>
    <w:rsid w:val="009E2CFE"/>
    <w:rsid w:val="009E30FC"/>
    <w:rsid w:val="009E3259"/>
    <w:rsid w:val="009E3B3D"/>
    <w:rsid w:val="009E48AA"/>
    <w:rsid w:val="009E48E3"/>
    <w:rsid w:val="009E4D54"/>
    <w:rsid w:val="009E5095"/>
    <w:rsid w:val="009E5A70"/>
    <w:rsid w:val="009E5AB3"/>
    <w:rsid w:val="009E5F46"/>
    <w:rsid w:val="009E66D9"/>
    <w:rsid w:val="009E763D"/>
    <w:rsid w:val="009E7A84"/>
    <w:rsid w:val="009E7B85"/>
    <w:rsid w:val="009F0140"/>
    <w:rsid w:val="009F1249"/>
    <w:rsid w:val="009F12E9"/>
    <w:rsid w:val="009F1FDA"/>
    <w:rsid w:val="009F21B1"/>
    <w:rsid w:val="009F21B2"/>
    <w:rsid w:val="009F2326"/>
    <w:rsid w:val="009F287D"/>
    <w:rsid w:val="009F2AD4"/>
    <w:rsid w:val="009F3AF3"/>
    <w:rsid w:val="009F42A9"/>
    <w:rsid w:val="009F449E"/>
    <w:rsid w:val="009F452E"/>
    <w:rsid w:val="009F49E6"/>
    <w:rsid w:val="009F5EF8"/>
    <w:rsid w:val="009F621E"/>
    <w:rsid w:val="009F687D"/>
    <w:rsid w:val="009F70E5"/>
    <w:rsid w:val="009F7A2C"/>
    <w:rsid w:val="009F7CF8"/>
    <w:rsid w:val="00A00374"/>
    <w:rsid w:val="00A0083A"/>
    <w:rsid w:val="00A00B74"/>
    <w:rsid w:val="00A0127B"/>
    <w:rsid w:val="00A0130D"/>
    <w:rsid w:val="00A01824"/>
    <w:rsid w:val="00A01A01"/>
    <w:rsid w:val="00A0237B"/>
    <w:rsid w:val="00A0245F"/>
    <w:rsid w:val="00A025D3"/>
    <w:rsid w:val="00A02C80"/>
    <w:rsid w:val="00A02D33"/>
    <w:rsid w:val="00A02EE4"/>
    <w:rsid w:val="00A05D43"/>
    <w:rsid w:val="00A06187"/>
    <w:rsid w:val="00A06BBA"/>
    <w:rsid w:val="00A0742D"/>
    <w:rsid w:val="00A104DF"/>
    <w:rsid w:val="00A10B89"/>
    <w:rsid w:val="00A11036"/>
    <w:rsid w:val="00A111B4"/>
    <w:rsid w:val="00A11652"/>
    <w:rsid w:val="00A11682"/>
    <w:rsid w:val="00A11EC9"/>
    <w:rsid w:val="00A1229B"/>
    <w:rsid w:val="00A12353"/>
    <w:rsid w:val="00A12FAF"/>
    <w:rsid w:val="00A14081"/>
    <w:rsid w:val="00A144BB"/>
    <w:rsid w:val="00A14C89"/>
    <w:rsid w:val="00A153E4"/>
    <w:rsid w:val="00A15734"/>
    <w:rsid w:val="00A15D2E"/>
    <w:rsid w:val="00A15D52"/>
    <w:rsid w:val="00A16197"/>
    <w:rsid w:val="00A16332"/>
    <w:rsid w:val="00A166CB"/>
    <w:rsid w:val="00A16EFD"/>
    <w:rsid w:val="00A201AB"/>
    <w:rsid w:val="00A20DD4"/>
    <w:rsid w:val="00A20FBE"/>
    <w:rsid w:val="00A20FE8"/>
    <w:rsid w:val="00A21C3B"/>
    <w:rsid w:val="00A21E6F"/>
    <w:rsid w:val="00A21F07"/>
    <w:rsid w:val="00A226C5"/>
    <w:rsid w:val="00A22BC3"/>
    <w:rsid w:val="00A22C78"/>
    <w:rsid w:val="00A23329"/>
    <w:rsid w:val="00A2492F"/>
    <w:rsid w:val="00A24960"/>
    <w:rsid w:val="00A24BBC"/>
    <w:rsid w:val="00A25065"/>
    <w:rsid w:val="00A25DFE"/>
    <w:rsid w:val="00A25E5B"/>
    <w:rsid w:val="00A25F26"/>
    <w:rsid w:val="00A261C8"/>
    <w:rsid w:val="00A26883"/>
    <w:rsid w:val="00A26D46"/>
    <w:rsid w:val="00A270E2"/>
    <w:rsid w:val="00A27E95"/>
    <w:rsid w:val="00A30B3B"/>
    <w:rsid w:val="00A31254"/>
    <w:rsid w:val="00A31C16"/>
    <w:rsid w:val="00A31EE1"/>
    <w:rsid w:val="00A320CC"/>
    <w:rsid w:val="00A32CF7"/>
    <w:rsid w:val="00A33C18"/>
    <w:rsid w:val="00A33D25"/>
    <w:rsid w:val="00A33FD0"/>
    <w:rsid w:val="00A347D0"/>
    <w:rsid w:val="00A34828"/>
    <w:rsid w:val="00A34938"/>
    <w:rsid w:val="00A34CD6"/>
    <w:rsid w:val="00A354FB"/>
    <w:rsid w:val="00A35B6C"/>
    <w:rsid w:val="00A3696E"/>
    <w:rsid w:val="00A36C5A"/>
    <w:rsid w:val="00A37D65"/>
    <w:rsid w:val="00A400E4"/>
    <w:rsid w:val="00A407D3"/>
    <w:rsid w:val="00A40C98"/>
    <w:rsid w:val="00A42554"/>
    <w:rsid w:val="00A43E0D"/>
    <w:rsid w:val="00A4436D"/>
    <w:rsid w:val="00A44897"/>
    <w:rsid w:val="00A45103"/>
    <w:rsid w:val="00A455A1"/>
    <w:rsid w:val="00A45741"/>
    <w:rsid w:val="00A45EDC"/>
    <w:rsid w:val="00A460C4"/>
    <w:rsid w:val="00A46B9C"/>
    <w:rsid w:val="00A47E35"/>
    <w:rsid w:val="00A50789"/>
    <w:rsid w:val="00A50C73"/>
    <w:rsid w:val="00A510F6"/>
    <w:rsid w:val="00A516EF"/>
    <w:rsid w:val="00A52196"/>
    <w:rsid w:val="00A5287D"/>
    <w:rsid w:val="00A5301C"/>
    <w:rsid w:val="00A53D34"/>
    <w:rsid w:val="00A54219"/>
    <w:rsid w:val="00A548C0"/>
    <w:rsid w:val="00A5522E"/>
    <w:rsid w:val="00A5564A"/>
    <w:rsid w:val="00A55980"/>
    <w:rsid w:val="00A56575"/>
    <w:rsid w:val="00A5670E"/>
    <w:rsid w:val="00A56F27"/>
    <w:rsid w:val="00A57988"/>
    <w:rsid w:val="00A57B25"/>
    <w:rsid w:val="00A57D5B"/>
    <w:rsid w:val="00A60024"/>
    <w:rsid w:val="00A60296"/>
    <w:rsid w:val="00A6100E"/>
    <w:rsid w:val="00A6151C"/>
    <w:rsid w:val="00A615A3"/>
    <w:rsid w:val="00A6210A"/>
    <w:rsid w:val="00A62D54"/>
    <w:rsid w:val="00A62F92"/>
    <w:rsid w:val="00A63639"/>
    <w:rsid w:val="00A6389B"/>
    <w:rsid w:val="00A64437"/>
    <w:rsid w:val="00A64D96"/>
    <w:rsid w:val="00A64E3B"/>
    <w:rsid w:val="00A6503E"/>
    <w:rsid w:val="00A6509A"/>
    <w:rsid w:val="00A65426"/>
    <w:rsid w:val="00A65A9E"/>
    <w:rsid w:val="00A65E51"/>
    <w:rsid w:val="00A65E68"/>
    <w:rsid w:val="00A662FE"/>
    <w:rsid w:val="00A66D71"/>
    <w:rsid w:val="00A6707F"/>
    <w:rsid w:val="00A67CF6"/>
    <w:rsid w:val="00A7033C"/>
    <w:rsid w:val="00A70348"/>
    <w:rsid w:val="00A71355"/>
    <w:rsid w:val="00A7192E"/>
    <w:rsid w:val="00A72118"/>
    <w:rsid w:val="00A72638"/>
    <w:rsid w:val="00A728AC"/>
    <w:rsid w:val="00A72AC8"/>
    <w:rsid w:val="00A731D0"/>
    <w:rsid w:val="00A734C2"/>
    <w:rsid w:val="00A738FF"/>
    <w:rsid w:val="00A748FC"/>
    <w:rsid w:val="00A754E7"/>
    <w:rsid w:val="00A75782"/>
    <w:rsid w:val="00A76562"/>
    <w:rsid w:val="00A76BB7"/>
    <w:rsid w:val="00A7769F"/>
    <w:rsid w:val="00A77767"/>
    <w:rsid w:val="00A779F9"/>
    <w:rsid w:val="00A808E3"/>
    <w:rsid w:val="00A80A0C"/>
    <w:rsid w:val="00A80BE9"/>
    <w:rsid w:val="00A812AA"/>
    <w:rsid w:val="00A8158C"/>
    <w:rsid w:val="00A81BEE"/>
    <w:rsid w:val="00A81F9A"/>
    <w:rsid w:val="00A82493"/>
    <w:rsid w:val="00A8254C"/>
    <w:rsid w:val="00A82D2A"/>
    <w:rsid w:val="00A83850"/>
    <w:rsid w:val="00A83A1F"/>
    <w:rsid w:val="00A83ECA"/>
    <w:rsid w:val="00A84289"/>
    <w:rsid w:val="00A84782"/>
    <w:rsid w:val="00A84C4F"/>
    <w:rsid w:val="00A850B2"/>
    <w:rsid w:val="00A857D3"/>
    <w:rsid w:val="00A85BE1"/>
    <w:rsid w:val="00A86AC3"/>
    <w:rsid w:val="00A86ED6"/>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2981"/>
    <w:rsid w:val="00A934A8"/>
    <w:rsid w:val="00A96443"/>
    <w:rsid w:val="00A964AB"/>
    <w:rsid w:val="00A964DC"/>
    <w:rsid w:val="00A9687D"/>
    <w:rsid w:val="00A968C0"/>
    <w:rsid w:val="00A9722B"/>
    <w:rsid w:val="00A97EAC"/>
    <w:rsid w:val="00A97F90"/>
    <w:rsid w:val="00AA01EF"/>
    <w:rsid w:val="00AA04E1"/>
    <w:rsid w:val="00AA1C80"/>
    <w:rsid w:val="00AA21F2"/>
    <w:rsid w:val="00AA28AE"/>
    <w:rsid w:val="00AA3067"/>
    <w:rsid w:val="00AA34AA"/>
    <w:rsid w:val="00AA3DFB"/>
    <w:rsid w:val="00AA4AFD"/>
    <w:rsid w:val="00AA4DF5"/>
    <w:rsid w:val="00AB02D4"/>
    <w:rsid w:val="00AB0C4E"/>
    <w:rsid w:val="00AB10FF"/>
    <w:rsid w:val="00AB150D"/>
    <w:rsid w:val="00AB1C09"/>
    <w:rsid w:val="00AB4061"/>
    <w:rsid w:val="00AB4AC2"/>
    <w:rsid w:val="00AB529F"/>
    <w:rsid w:val="00AB5B62"/>
    <w:rsid w:val="00AB5BF1"/>
    <w:rsid w:val="00AB5F4E"/>
    <w:rsid w:val="00AB6277"/>
    <w:rsid w:val="00AB690A"/>
    <w:rsid w:val="00AB6AF7"/>
    <w:rsid w:val="00AB73C6"/>
    <w:rsid w:val="00AB7749"/>
    <w:rsid w:val="00AB7A28"/>
    <w:rsid w:val="00AC0E86"/>
    <w:rsid w:val="00AC0FB3"/>
    <w:rsid w:val="00AC1626"/>
    <w:rsid w:val="00AC1646"/>
    <w:rsid w:val="00AC19AE"/>
    <w:rsid w:val="00AC1BC1"/>
    <w:rsid w:val="00AC2713"/>
    <w:rsid w:val="00AC486D"/>
    <w:rsid w:val="00AC49B1"/>
    <w:rsid w:val="00AC580D"/>
    <w:rsid w:val="00AC5D3D"/>
    <w:rsid w:val="00AC62EE"/>
    <w:rsid w:val="00AC6FB0"/>
    <w:rsid w:val="00AC7635"/>
    <w:rsid w:val="00AC7C2A"/>
    <w:rsid w:val="00AD07B5"/>
    <w:rsid w:val="00AD081E"/>
    <w:rsid w:val="00AD1319"/>
    <w:rsid w:val="00AD1C21"/>
    <w:rsid w:val="00AD2676"/>
    <w:rsid w:val="00AD3D34"/>
    <w:rsid w:val="00AD46D6"/>
    <w:rsid w:val="00AD4B74"/>
    <w:rsid w:val="00AD4E85"/>
    <w:rsid w:val="00AD52EF"/>
    <w:rsid w:val="00AD56B3"/>
    <w:rsid w:val="00AD5FA1"/>
    <w:rsid w:val="00AD66E8"/>
    <w:rsid w:val="00AD6B52"/>
    <w:rsid w:val="00AD7CB3"/>
    <w:rsid w:val="00AE02CC"/>
    <w:rsid w:val="00AE0B39"/>
    <w:rsid w:val="00AE135D"/>
    <w:rsid w:val="00AE1C1B"/>
    <w:rsid w:val="00AE2421"/>
    <w:rsid w:val="00AE2C4D"/>
    <w:rsid w:val="00AE36DE"/>
    <w:rsid w:val="00AE3C2C"/>
    <w:rsid w:val="00AE3C92"/>
    <w:rsid w:val="00AE4E5E"/>
    <w:rsid w:val="00AE59CD"/>
    <w:rsid w:val="00AE6178"/>
    <w:rsid w:val="00AE75A5"/>
    <w:rsid w:val="00AE7CB5"/>
    <w:rsid w:val="00AF02C8"/>
    <w:rsid w:val="00AF101C"/>
    <w:rsid w:val="00AF1314"/>
    <w:rsid w:val="00AF1565"/>
    <w:rsid w:val="00AF170F"/>
    <w:rsid w:val="00AF2529"/>
    <w:rsid w:val="00AF2683"/>
    <w:rsid w:val="00AF2734"/>
    <w:rsid w:val="00AF293E"/>
    <w:rsid w:val="00AF353F"/>
    <w:rsid w:val="00AF3649"/>
    <w:rsid w:val="00AF397B"/>
    <w:rsid w:val="00AF44CD"/>
    <w:rsid w:val="00AF4D4C"/>
    <w:rsid w:val="00AF56FC"/>
    <w:rsid w:val="00AF5C62"/>
    <w:rsid w:val="00AF73A9"/>
    <w:rsid w:val="00AF7724"/>
    <w:rsid w:val="00AF7782"/>
    <w:rsid w:val="00AF7FA6"/>
    <w:rsid w:val="00B002CB"/>
    <w:rsid w:val="00B01642"/>
    <w:rsid w:val="00B01752"/>
    <w:rsid w:val="00B019EB"/>
    <w:rsid w:val="00B01E2A"/>
    <w:rsid w:val="00B022F6"/>
    <w:rsid w:val="00B02687"/>
    <w:rsid w:val="00B029B9"/>
    <w:rsid w:val="00B033EC"/>
    <w:rsid w:val="00B039EE"/>
    <w:rsid w:val="00B04DDC"/>
    <w:rsid w:val="00B0560B"/>
    <w:rsid w:val="00B06011"/>
    <w:rsid w:val="00B064A2"/>
    <w:rsid w:val="00B0656A"/>
    <w:rsid w:val="00B06A53"/>
    <w:rsid w:val="00B07478"/>
    <w:rsid w:val="00B10332"/>
    <w:rsid w:val="00B10F62"/>
    <w:rsid w:val="00B11519"/>
    <w:rsid w:val="00B115B2"/>
    <w:rsid w:val="00B122F6"/>
    <w:rsid w:val="00B1256C"/>
    <w:rsid w:val="00B12B08"/>
    <w:rsid w:val="00B14134"/>
    <w:rsid w:val="00B14CC2"/>
    <w:rsid w:val="00B15F2D"/>
    <w:rsid w:val="00B16058"/>
    <w:rsid w:val="00B1614E"/>
    <w:rsid w:val="00B16AA1"/>
    <w:rsid w:val="00B17194"/>
    <w:rsid w:val="00B179DB"/>
    <w:rsid w:val="00B20510"/>
    <w:rsid w:val="00B2053B"/>
    <w:rsid w:val="00B21124"/>
    <w:rsid w:val="00B2145E"/>
    <w:rsid w:val="00B2191F"/>
    <w:rsid w:val="00B22ADB"/>
    <w:rsid w:val="00B22F1F"/>
    <w:rsid w:val="00B24059"/>
    <w:rsid w:val="00B240BF"/>
    <w:rsid w:val="00B241B2"/>
    <w:rsid w:val="00B24E39"/>
    <w:rsid w:val="00B24EAF"/>
    <w:rsid w:val="00B25297"/>
    <w:rsid w:val="00B25BE0"/>
    <w:rsid w:val="00B263CB"/>
    <w:rsid w:val="00B2677D"/>
    <w:rsid w:val="00B26EFA"/>
    <w:rsid w:val="00B275FE"/>
    <w:rsid w:val="00B2786F"/>
    <w:rsid w:val="00B27A8F"/>
    <w:rsid w:val="00B304D2"/>
    <w:rsid w:val="00B3073C"/>
    <w:rsid w:val="00B309E6"/>
    <w:rsid w:val="00B30FE5"/>
    <w:rsid w:val="00B32295"/>
    <w:rsid w:val="00B32307"/>
    <w:rsid w:val="00B325B8"/>
    <w:rsid w:val="00B32BF2"/>
    <w:rsid w:val="00B32DF3"/>
    <w:rsid w:val="00B34894"/>
    <w:rsid w:val="00B3538E"/>
    <w:rsid w:val="00B35AB0"/>
    <w:rsid w:val="00B35D74"/>
    <w:rsid w:val="00B35F50"/>
    <w:rsid w:val="00B362C1"/>
    <w:rsid w:val="00B3739B"/>
    <w:rsid w:val="00B3792D"/>
    <w:rsid w:val="00B379F8"/>
    <w:rsid w:val="00B37B6D"/>
    <w:rsid w:val="00B37F52"/>
    <w:rsid w:val="00B40019"/>
    <w:rsid w:val="00B40976"/>
    <w:rsid w:val="00B411B1"/>
    <w:rsid w:val="00B41D9D"/>
    <w:rsid w:val="00B4248D"/>
    <w:rsid w:val="00B42BEA"/>
    <w:rsid w:val="00B431C7"/>
    <w:rsid w:val="00B44092"/>
    <w:rsid w:val="00B445C6"/>
    <w:rsid w:val="00B452FA"/>
    <w:rsid w:val="00B46060"/>
    <w:rsid w:val="00B4667B"/>
    <w:rsid w:val="00B4729C"/>
    <w:rsid w:val="00B4761A"/>
    <w:rsid w:val="00B478FE"/>
    <w:rsid w:val="00B47CBE"/>
    <w:rsid w:val="00B508BB"/>
    <w:rsid w:val="00B5113E"/>
    <w:rsid w:val="00B517C1"/>
    <w:rsid w:val="00B52E2E"/>
    <w:rsid w:val="00B54726"/>
    <w:rsid w:val="00B54D68"/>
    <w:rsid w:val="00B55472"/>
    <w:rsid w:val="00B554AD"/>
    <w:rsid w:val="00B56945"/>
    <w:rsid w:val="00B5772B"/>
    <w:rsid w:val="00B57A76"/>
    <w:rsid w:val="00B6182B"/>
    <w:rsid w:val="00B61D11"/>
    <w:rsid w:val="00B62380"/>
    <w:rsid w:val="00B62529"/>
    <w:rsid w:val="00B6252B"/>
    <w:rsid w:val="00B6282E"/>
    <w:rsid w:val="00B62B42"/>
    <w:rsid w:val="00B63293"/>
    <w:rsid w:val="00B632F0"/>
    <w:rsid w:val="00B63A45"/>
    <w:rsid w:val="00B6445C"/>
    <w:rsid w:val="00B65183"/>
    <w:rsid w:val="00B66CCF"/>
    <w:rsid w:val="00B66F9E"/>
    <w:rsid w:val="00B678CD"/>
    <w:rsid w:val="00B67D82"/>
    <w:rsid w:val="00B67E2B"/>
    <w:rsid w:val="00B705E9"/>
    <w:rsid w:val="00B708B3"/>
    <w:rsid w:val="00B70B13"/>
    <w:rsid w:val="00B71A29"/>
    <w:rsid w:val="00B72770"/>
    <w:rsid w:val="00B74F57"/>
    <w:rsid w:val="00B75565"/>
    <w:rsid w:val="00B76178"/>
    <w:rsid w:val="00B76311"/>
    <w:rsid w:val="00B76721"/>
    <w:rsid w:val="00B76B71"/>
    <w:rsid w:val="00B76D2E"/>
    <w:rsid w:val="00B773D2"/>
    <w:rsid w:val="00B777D6"/>
    <w:rsid w:val="00B8057E"/>
    <w:rsid w:val="00B80721"/>
    <w:rsid w:val="00B80F56"/>
    <w:rsid w:val="00B81DA0"/>
    <w:rsid w:val="00B81EB2"/>
    <w:rsid w:val="00B825C4"/>
    <w:rsid w:val="00B82A37"/>
    <w:rsid w:val="00B82EC4"/>
    <w:rsid w:val="00B838FB"/>
    <w:rsid w:val="00B852B7"/>
    <w:rsid w:val="00B857CE"/>
    <w:rsid w:val="00B85A29"/>
    <w:rsid w:val="00B85CD0"/>
    <w:rsid w:val="00B86071"/>
    <w:rsid w:val="00B87908"/>
    <w:rsid w:val="00B87B9B"/>
    <w:rsid w:val="00B90324"/>
    <w:rsid w:val="00B917ED"/>
    <w:rsid w:val="00B91854"/>
    <w:rsid w:val="00B91901"/>
    <w:rsid w:val="00B91EA4"/>
    <w:rsid w:val="00B920BE"/>
    <w:rsid w:val="00B92103"/>
    <w:rsid w:val="00B9307A"/>
    <w:rsid w:val="00B957F4"/>
    <w:rsid w:val="00B95AC2"/>
    <w:rsid w:val="00B96420"/>
    <w:rsid w:val="00B969A6"/>
    <w:rsid w:val="00B970EC"/>
    <w:rsid w:val="00B974CB"/>
    <w:rsid w:val="00BA00A8"/>
    <w:rsid w:val="00BA09E0"/>
    <w:rsid w:val="00BA2301"/>
    <w:rsid w:val="00BA3425"/>
    <w:rsid w:val="00BA3B8F"/>
    <w:rsid w:val="00BA5D9A"/>
    <w:rsid w:val="00BA6676"/>
    <w:rsid w:val="00BA679E"/>
    <w:rsid w:val="00BA6B04"/>
    <w:rsid w:val="00BA6C5B"/>
    <w:rsid w:val="00BA6E42"/>
    <w:rsid w:val="00BA73BE"/>
    <w:rsid w:val="00BA7E03"/>
    <w:rsid w:val="00BB00E2"/>
    <w:rsid w:val="00BB1173"/>
    <w:rsid w:val="00BB24E0"/>
    <w:rsid w:val="00BB258A"/>
    <w:rsid w:val="00BB2AD9"/>
    <w:rsid w:val="00BB3074"/>
    <w:rsid w:val="00BB3406"/>
    <w:rsid w:val="00BB39F0"/>
    <w:rsid w:val="00BB3BF5"/>
    <w:rsid w:val="00BB3DA0"/>
    <w:rsid w:val="00BB42F6"/>
    <w:rsid w:val="00BB4570"/>
    <w:rsid w:val="00BB5334"/>
    <w:rsid w:val="00BB57C0"/>
    <w:rsid w:val="00BB7027"/>
    <w:rsid w:val="00BB7608"/>
    <w:rsid w:val="00BB79F3"/>
    <w:rsid w:val="00BB7D5B"/>
    <w:rsid w:val="00BB7EC6"/>
    <w:rsid w:val="00BC057A"/>
    <w:rsid w:val="00BC0A92"/>
    <w:rsid w:val="00BC0E2A"/>
    <w:rsid w:val="00BC108E"/>
    <w:rsid w:val="00BC15E6"/>
    <w:rsid w:val="00BC21B4"/>
    <w:rsid w:val="00BC270A"/>
    <w:rsid w:val="00BC28CA"/>
    <w:rsid w:val="00BC2C02"/>
    <w:rsid w:val="00BC3306"/>
    <w:rsid w:val="00BC330D"/>
    <w:rsid w:val="00BC3743"/>
    <w:rsid w:val="00BC40C4"/>
    <w:rsid w:val="00BC433B"/>
    <w:rsid w:val="00BC59AC"/>
    <w:rsid w:val="00BC5E14"/>
    <w:rsid w:val="00BC65C7"/>
    <w:rsid w:val="00BC6B07"/>
    <w:rsid w:val="00BC6D95"/>
    <w:rsid w:val="00BC743B"/>
    <w:rsid w:val="00BC78EA"/>
    <w:rsid w:val="00BD1242"/>
    <w:rsid w:val="00BD219D"/>
    <w:rsid w:val="00BD2FD7"/>
    <w:rsid w:val="00BD3129"/>
    <w:rsid w:val="00BD32A8"/>
    <w:rsid w:val="00BD3803"/>
    <w:rsid w:val="00BD3F5D"/>
    <w:rsid w:val="00BD3FE8"/>
    <w:rsid w:val="00BD4227"/>
    <w:rsid w:val="00BD48B8"/>
    <w:rsid w:val="00BD4CEA"/>
    <w:rsid w:val="00BD4F5D"/>
    <w:rsid w:val="00BD4FEB"/>
    <w:rsid w:val="00BD5329"/>
    <w:rsid w:val="00BD5BAC"/>
    <w:rsid w:val="00BD620B"/>
    <w:rsid w:val="00BD6995"/>
    <w:rsid w:val="00BD7BEF"/>
    <w:rsid w:val="00BE0CFC"/>
    <w:rsid w:val="00BE139A"/>
    <w:rsid w:val="00BE2329"/>
    <w:rsid w:val="00BE268F"/>
    <w:rsid w:val="00BE2AC2"/>
    <w:rsid w:val="00BE33FE"/>
    <w:rsid w:val="00BE4650"/>
    <w:rsid w:val="00BE4EF1"/>
    <w:rsid w:val="00BE552D"/>
    <w:rsid w:val="00BE5E27"/>
    <w:rsid w:val="00BE691C"/>
    <w:rsid w:val="00BE75E3"/>
    <w:rsid w:val="00BE79B6"/>
    <w:rsid w:val="00BF00AF"/>
    <w:rsid w:val="00BF0284"/>
    <w:rsid w:val="00BF0515"/>
    <w:rsid w:val="00BF0B13"/>
    <w:rsid w:val="00BF1827"/>
    <w:rsid w:val="00BF1CF3"/>
    <w:rsid w:val="00BF2991"/>
    <w:rsid w:val="00BF2A1B"/>
    <w:rsid w:val="00BF2A2C"/>
    <w:rsid w:val="00BF2C6B"/>
    <w:rsid w:val="00BF3258"/>
    <w:rsid w:val="00BF4820"/>
    <w:rsid w:val="00BF4A31"/>
    <w:rsid w:val="00BF4D36"/>
    <w:rsid w:val="00BF57C0"/>
    <w:rsid w:val="00BF6376"/>
    <w:rsid w:val="00BF684C"/>
    <w:rsid w:val="00C0143B"/>
    <w:rsid w:val="00C0232E"/>
    <w:rsid w:val="00C02567"/>
    <w:rsid w:val="00C0323E"/>
    <w:rsid w:val="00C03714"/>
    <w:rsid w:val="00C03E03"/>
    <w:rsid w:val="00C040F5"/>
    <w:rsid w:val="00C045D7"/>
    <w:rsid w:val="00C04BE1"/>
    <w:rsid w:val="00C055FB"/>
    <w:rsid w:val="00C05F22"/>
    <w:rsid w:val="00C060AC"/>
    <w:rsid w:val="00C062DC"/>
    <w:rsid w:val="00C063BF"/>
    <w:rsid w:val="00C06D8A"/>
    <w:rsid w:val="00C11309"/>
    <w:rsid w:val="00C1140F"/>
    <w:rsid w:val="00C11889"/>
    <w:rsid w:val="00C11DDE"/>
    <w:rsid w:val="00C12557"/>
    <w:rsid w:val="00C12C26"/>
    <w:rsid w:val="00C12D40"/>
    <w:rsid w:val="00C1344F"/>
    <w:rsid w:val="00C13A0B"/>
    <w:rsid w:val="00C146B9"/>
    <w:rsid w:val="00C147B5"/>
    <w:rsid w:val="00C15156"/>
    <w:rsid w:val="00C15660"/>
    <w:rsid w:val="00C15DBD"/>
    <w:rsid w:val="00C16AC1"/>
    <w:rsid w:val="00C16F10"/>
    <w:rsid w:val="00C16F74"/>
    <w:rsid w:val="00C174BC"/>
    <w:rsid w:val="00C176C9"/>
    <w:rsid w:val="00C17916"/>
    <w:rsid w:val="00C20192"/>
    <w:rsid w:val="00C20EA1"/>
    <w:rsid w:val="00C21DBB"/>
    <w:rsid w:val="00C21E69"/>
    <w:rsid w:val="00C21F6A"/>
    <w:rsid w:val="00C220E3"/>
    <w:rsid w:val="00C225AC"/>
    <w:rsid w:val="00C226F7"/>
    <w:rsid w:val="00C228EE"/>
    <w:rsid w:val="00C22A45"/>
    <w:rsid w:val="00C22C1F"/>
    <w:rsid w:val="00C24A73"/>
    <w:rsid w:val="00C24C30"/>
    <w:rsid w:val="00C26558"/>
    <w:rsid w:val="00C2657A"/>
    <w:rsid w:val="00C2660A"/>
    <w:rsid w:val="00C268BA"/>
    <w:rsid w:val="00C2769D"/>
    <w:rsid w:val="00C27AF1"/>
    <w:rsid w:val="00C27DDA"/>
    <w:rsid w:val="00C3081A"/>
    <w:rsid w:val="00C3146B"/>
    <w:rsid w:val="00C314CF"/>
    <w:rsid w:val="00C31690"/>
    <w:rsid w:val="00C320DF"/>
    <w:rsid w:val="00C320F6"/>
    <w:rsid w:val="00C3365D"/>
    <w:rsid w:val="00C34004"/>
    <w:rsid w:val="00C340E8"/>
    <w:rsid w:val="00C34356"/>
    <w:rsid w:val="00C35775"/>
    <w:rsid w:val="00C366D0"/>
    <w:rsid w:val="00C3712D"/>
    <w:rsid w:val="00C37320"/>
    <w:rsid w:val="00C373C5"/>
    <w:rsid w:val="00C37624"/>
    <w:rsid w:val="00C406A2"/>
    <w:rsid w:val="00C41E4E"/>
    <w:rsid w:val="00C41FE2"/>
    <w:rsid w:val="00C42449"/>
    <w:rsid w:val="00C42A7D"/>
    <w:rsid w:val="00C4309C"/>
    <w:rsid w:val="00C43139"/>
    <w:rsid w:val="00C44D0B"/>
    <w:rsid w:val="00C44DCD"/>
    <w:rsid w:val="00C45F38"/>
    <w:rsid w:val="00C46192"/>
    <w:rsid w:val="00C46252"/>
    <w:rsid w:val="00C4628B"/>
    <w:rsid w:val="00C465A3"/>
    <w:rsid w:val="00C46D69"/>
    <w:rsid w:val="00C46DAC"/>
    <w:rsid w:val="00C47670"/>
    <w:rsid w:val="00C4769C"/>
    <w:rsid w:val="00C477D3"/>
    <w:rsid w:val="00C50203"/>
    <w:rsid w:val="00C50C2E"/>
    <w:rsid w:val="00C50D62"/>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D7E"/>
    <w:rsid w:val="00C56EFF"/>
    <w:rsid w:val="00C57E51"/>
    <w:rsid w:val="00C60C22"/>
    <w:rsid w:val="00C61125"/>
    <w:rsid w:val="00C619D8"/>
    <w:rsid w:val="00C61CBE"/>
    <w:rsid w:val="00C61D48"/>
    <w:rsid w:val="00C62FCE"/>
    <w:rsid w:val="00C63EAA"/>
    <w:rsid w:val="00C64C15"/>
    <w:rsid w:val="00C65123"/>
    <w:rsid w:val="00C65BA9"/>
    <w:rsid w:val="00C660A9"/>
    <w:rsid w:val="00C71120"/>
    <w:rsid w:val="00C716FC"/>
    <w:rsid w:val="00C718BD"/>
    <w:rsid w:val="00C72105"/>
    <w:rsid w:val="00C73052"/>
    <w:rsid w:val="00C731E4"/>
    <w:rsid w:val="00C736D7"/>
    <w:rsid w:val="00C736F5"/>
    <w:rsid w:val="00C7421C"/>
    <w:rsid w:val="00C745D7"/>
    <w:rsid w:val="00C74AE1"/>
    <w:rsid w:val="00C757E1"/>
    <w:rsid w:val="00C75ABD"/>
    <w:rsid w:val="00C75ACC"/>
    <w:rsid w:val="00C76BC2"/>
    <w:rsid w:val="00C76E5F"/>
    <w:rsid w:val="00C76F8D"/>
    <w:rsid w:val="00C77ED8"/>
    <w:rsid w:val="00C806A8"/>
    <w:rsid w:val="00C80908"/>
    <w:rsid w:val="00C80EA5"/>
    <w:rsid w:val="00C82A86"/>
    <w:rsid w:val="00C82F3C"/>
    <w:rsid w:val="00C83760"/>
    <w:rsid w:val="00C84559"/>
    <w:rsid w:val="00C8499C"/>
    <w:rsid w:val="00C84A31"/>
    <w:rsid w:val="00C85E79"/>
    <w:rsid w:val="00C86387"/>
    <w:rsid w:val="00C867A2"/>
    <w:rsid w:val="00C868F2"/>
    <w:rsid w:val="00C87A95"/>
    <w:rsid w:val="00C87B8A"/>
    <w:rsid w:val="00C90EDC"/>
    <w:rsid w:val="00C91709"/>
    <w:rsid w:val="00C918B8"/>
    <w:rsid w:val="00C92240"/>
    <w:rsid w:val="00C92591"/>
    <w:rsid w:val="00C92B30"/>
    <w:rsid w:val="00C9374B"/>
    <w:rsid w:val="00C93A25"/>
    <w:rsid w:val="00C93A2D"/>
    <w:rsid w:val="00C942EA"/>
    <w:rsid w:val="00C9436B"/>
    <w:rsid w:val="00C945DC"/>
    <w:rsid w:val="00C94948"/>
    <w:rsid w:val="00C94A6A"/>
    <w:rsid w:val="00C94AFE"/>
    <w:rsid w:val="00C954DD"/>
    <w:rsid w:val="00C96890"/>
    <w:rsid w:val="00C96BC2"/>
    <w:rsid w:val="00C97545"/>
    <w:rsid w:val="00C977FC"/>
    <w:rsid w:val="00C97EB9"/>
    <w:rsid w:val="00CA11A8"/>
    <w:rsid w:val="00CA12D1"/>
    <w:rsid w:val="00CA25EB"/>
    <w:rsid w:val="00CA2CBD"/>
    <w:rsid w:val="00CA3B84"/>
    <w:rsid w:val="00CA455A"/>
    <w:rsid w:val="00CA4D07"/>
    <w:rsid w:val="00CA4DD6"/>
    <w:rsid w:val="00CA5029"/>
    <w:rsid w:val="00CA542D"/>
    <w:rsid w:val="00CA66DF"/>
    <w:rsid w:val="00CA6BB6"/>
    <w:rsid w:val="00CA7641"/>
    <w:rsid w:val="00CA7C05"/>
    <w:rsid w:val="00CB07D6"/>
    <w:rsid w:val="00CB1081"/>
    <w:rsid w:val="00CB126F"/>
    <w:rsid w:val="00CB21DB"/>
    <w:rsid w:val="00CB2324"/>
    <w:rsid w:val="00CB2347"/>
    <w:rsid w:val="00CB257D"/>
    <w:rsid w:val="00CB3056"/>
    <w:rsid w:val="00CB396E"/>
    <w:rsid w:val="00CB400E"/>
    <w:rsid w:val="00CB496A"/>
    <w:rsid w:val="00CB4BF0"/>
    <w:rsid w:val="00CB4FAD"/>
    <w:rsid w:val="00CB5585"/>
    <w:rsid w:val="00CB5A81"/>
    <w:rsid w:val="00CB5C3C"/>
    <w:rsid w:val="00CB5D96"/>
    <w:rsid w:val="00CB5F91"/>
    <w:rsid w:val="00CB6626"/>
    <w:rsid w:val="00CB71B2"/>
    <w:rsid w:val="00CB71FB"/>
    <w:rsid w:val="00CB73B5"/>
    <w:rsid w:val="00CC0E0B"/>
    <w:rsid w:val="00CC117C"/>
    <w:rsid w:val="00CC1B46"/>
    <w:rsid w:val="00CC1E5A"/>
    <w:rsid w:val="00CC221D"/>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C7AE7"/>
    <w:rsid w:val="00CD0232"/>
    <w:rsid w:val="00CD069D"/>
    <w:rsid w:val="00CD0A8F"/>
    <w:rsid w:val="00CD0C32"/>
    <w:rsid w:val="00CD0D0A"/>
    <w:rsid w:val="00CD0E4F"/>
    <w:rsid w:val="00CD0E9F"/>
    <w:rsid w:val="00CD126A"/>
    <w:rsid w:val="00CD1273"/>
    <w:rsid w:val="00CD2DA6"/>
    <w:rsid w:val="00CD36BA"/>
    <w:rsid w:val="00CD46BE"/>
    <w:rsid w:val="00CD48BC"/>
    <w:rsid w:val="00CD5678"/>
    <w:rsid w:val="00CD5B14"/>
    <w:rsid w:val="00CD5B52"/>
    <w:rsid w:val="00CD5E5C"/>
    <w:rsid w:val="00CD5EF9"/>
    <w:rsid w:val="00CD6674"/>
    <w:rsid w:val="00CD74AB"/>
    <w:rsid w:val="00CD7EBD"/>
    <w:rsid w:val="00CE03B6"/>
    <w:rsid w:val="00CE0492"/>
    <w:rsid w:val="00CE0714"/>
    <w:rsid w:val="00CE0ABE"/>
    <w:rsid w:val="00CE0EFC"/>
    <w:rsid w:val="00CE24F2"/>
    <w:rsid w:val="00CE2751"/>
    <w:rsid w:val="00CE2BC6"/>
    <w:rsid w:val="00CE2FA0"/>
    <w:rsid w:val="00CE3C7A"/>
    <w:rsid w:val="00CE520E"/>
    <w:rsid w:val="00CE5857"/>
    <w:rsid w:val="00CE627C"/>
    <w:rsid w:val="00CE730B"/>
    <w:rsid w:val="00CE7312"/>
    <w:rsid w:val="00CE7B38"/>
    <w:rsid w:val="00CE7E77"/>
    <w:rsid w:val="00CF0675"/>
    <w:rsid w:val="00CF1021"/>
    <w:rsid w:val="00CF1887"/>
    <w:rsid w:val="00CF1AC7"/>
    <w:rsid w:val="00CF1C6C"/>
    <w:rsid w:val="00CF21FD"/>
    <w:rsid w:val="00CF23F3"/>
    <w:rsid w:val="00CF3525"/>
    <w:rsid w:val="00CF3A6E"/>
    <w:rsid w:val="00CF3ACD"/>
    <w:rsid w:val="00CF3F23"/>
    <w:rsid w:val="00CF4254"/>
    <w:rsid w:val="00CF4405"/>
    <w:rsid w:val="00CF4D6D"/>
    <w:rsid w:val="00CF51C4"/>
    <w:rsid w:val="00CF6117"/>
    <w:rsid w:val="00CF63B0"/>
    <w:rsid w:val="00CF6435"/>
    <w:rsid w:val="00CF64D3"/>
    <w:rsid w:val="00CF6AFD"/>
    <w:rsid w:val="00CF6B69"/>
    <w:rsid w:val="00CF736C"/>
    <w:rsid w:val="00CF7765"/>
    <w:rsid w:val="00CF7DF6"/>
    <w:rsid w:val="00D007D4"/>
    <w:rsid w:val="00D00E56"/>
    <w:rsid w:val="00D01349"/>
    <w:rsid w:val="00D01770"/>
    <w:rsid w:val="00D01888"/>
    <w:rsid w:val="00D01B2B"/>
    <w:rsid w:val="00D01D9F"/>
    <w:rsid w:val="00D01F3C"/>
    <w:rsid w:val="00D02758"/>
    <w:rsid w:val="00D029F5"/>
    <w:rsid w:val="00D02EF9"/>
    <w:rsid w:val="00D03DCA"/>
    <w:rsid w:val="00D046EA"/>
    <w:rsid w:val="00D04825"/>
    <w:rsid w:val="00D048B7"/>
    <w:rsid w:val="00D068E3"/>
    <w:rsid w:val="00D06EAE"/>
    <w:rsid w:val="00D07D49"/>
    <w:rsid w:val="00D1032C"/>
    <w:rsid w:val="00D108BF"/>
    <w:rsid w:val="00D10E24"/>
    <w:rsid w:val="00D1136E"/>
    <w:rsid w:val="00D117AC"/>
    <w:rsid w:val="00D11910"/>
    <w:rsid w:val="00D12ABE"/>
    <w:rsid w:val="00D12AC7"/>
    <w:rsid w:val="00D12D03"/>
    <w:rsid w:val="00D1327D"/>
    <w:rsid w:val="00D13941"/>
    <w:rsid w:val="00D13CBB"/>
    <w:rsid w:val="00D141BC"/>
    <w:rsid w:val="00D14E93"/>
    <w:rsid w:val="00D153B6"/>
    <w:rsid w:val="00D1544D"/>
    <w:rsid w:val="00D15BE7"/>
    <w:rsid w:val="00D15E65"/>
    <w:rsid w:val="00D16ACC"/>
    <w:rsid w:val="00D16F82"/>
    <w:rsid w:val="00D16FE6"/>
    <w:rsid w:val="00D170F8"/>
    <w:rsid w:val="00D17153"/>
    <w:rsid w:val="00D1741C"/>
    <w:rsid w:val="00D175BB"/>
    <w:rsid w:val="00D17FB8"/>
    <w:rsid w:val="00D21476"/>
    <w:rsid w:val="00D2177F"/>
    <w:rsid w:val="00D21B24"/>
    <w:rsid w:val="00D21DA8"/>
    <w:rsid w:val="00D22DFA"/>
    <w:rsid w:val="00D241FE"/>
    <w:rsid w:val="00D2458D"/>
    <w:rsid w:val="00D245E3"/>
    <w:rsid w:val="00D24D37"/>
    <w:rsid w:val="00D25560"/>
    <w:rsid w:val="00D2597C"/>
    <w:rsid w:val="00D25B42"/>
    <w:rsid w:val="00D25F7B"/>
    <w:rsid w:val="00D260D1"/>
    <w:rsid w:val="00D26A07"/>
    <w:rsid w:val="00D26CED"/>
    <w:rsid w:val="00D26F6A"/>
    <w:rsid w:val="00D27975"/>
    <w:rsid w:val="00D27CA7"/>
    <w:rsid w:val="00D30234"/>
    <w:rsid w:val="00D30EA4"/>
    <w:rsid w:val="00D31928"/>
    <w:rsid w:val="00D31BE0"/>
    <w:rsid w:val="00D324E2"/>
    <w:rsid w:val="00D32927"/>
    <w:rsid w:val="00D34C0F"/>
    <w:rsid w:val="00D34D4B"/>
    <w:rsid w:val="00D35002"/>
    <w:rsid w:val="00D36ADF"/>
    <w:rsid w:val="00D37304"/>
    <w:rsid w:val="00D37643"/>
    <w:rsid w:val="00D37774"/>
    <w:rsid w:val="00D3790C"/>
    <w:rsid w:val="00D37985"/>
    <w:rsid w:val="00D37C36"/>
    <w:rsid w:val="00D405A9"/>
    <w:rsid w:val="00D40B3D"/>
    <w:rsid w:val="00D41399"/>
    <w:rsid w:val="00D413CB"/>
    <w:rsid w:val="00D41EF9"/>
    <w:rsid w:val="00D420DC"/>
    <w:rsid w:val="00D42E7B"/>
    <w:rsid w:val="00D43913"/>
    <w:rsid w:val="00D43A30"/>
    <w:rsid w:val="00D442C8"/>
    <w:rsid w:val="00D44E97"/>
    <w:rsid w:val="00D45257"/>
    <w:rsid w:val="00D45363"/>
    <w:rsid w:val="00D453E0"/>
    <w:rsid w:val="00D4543D"/>
    <w:rsid w:val="00D45D27"/>
    <w:rsid w:val="00D464FC"/>
    <w:rsid w:val="00D4665F"/>
    <w:rsid w:val="00D46EA2"/>
    <w:rsid w:val="00D47500"/>
    <w:rsid w:val="00D50B3C"/>
    <w:rsid w:val="00D5175F"/>
    <w:rsid w:val="00D51B95"/>
    <w:rsid w:val="00D51CA1"/>
    <w:rsid w:val="00D53A51"/>
    <w:rsid w:val="00D5419A"/>
    <w:rsid w:val="00D5448C"/>
    <w:rsid w:val="00D54860"/>
    <w:rsid w:val="00D54D5C"/>
    <w:rsid w:val="00D55529"/>
    <w:rsid w:val="00D56860"/>
    <w:rsid w:val="00D56963"/>
    <w:rsid w:val="00D56C59"/>
    <w:rsid w:val="00D6038F"/>
    <w:rsid w:val="00D608BD"/>
    <w:rsid w:val="00D60AD7"/>
    <w:rsid w:val="00D612F8"/>
    <w:rsid w:val="00D6164E"/>
    <w:rsid w:val="00D620C2"/>
    <w:rsid w:val="00D6281F"/>
    <w:rsid w:val="00D63EC6"/>
    <w:rsid w:val="00D64503"/>
    <w:rsid w:val="00D64D94"/>
    <w:rsid w:val="00D65717"/>
    <w:rsid w:val="00D6685F"/>
    <w:rsid w:val="00D66ED1"/>
    <w:rsid w:val="00D674B8"/>
    <w:rsid w:val="00D678BE"/>
    <w:rsid w:val="00D700D8"/>
    <w:rsid w:val="00D70537"/>
    <w:rsid w:val="00D706A3"/>
    <w:rsid w:val="00D708DE"/>
    <w:rsid w:val="00D70C13"/>
    <w:rsid w:val="00D714AB"/>
    <w:rsid w:val="00D71CA3"/>
    <w:rsid w:val="00D72086"/>
    <w:rsid w:val="00D72AC5"/>
    <w:rsid w:val="00D72CC4"/>
    <w:rsid w:val="00D72D72"/>
    <w:rsid w:val="00D739F5"/>
    <w:rsid w:val="00D73F7F"/>
    <w:rsid w:val="00D742A4"/>
    <w:rsid w:val="00D75177"/>
    <w:rsid w:val="00D75E32"/>
    <w:rsid w:val="00D75E61"/>
    <w:rsid w:val="00D76365"/>
    <w:rsid w:val="00D769EF"/>
    <w:rsid w:val="00D76C93"/>
    <w:rsid w:val="00D77678"/>
    <w:rsid w:val="00D777F5"/>
    <w:rsid w:val="00D77DEB"/>
    <w:rsid w:val="00D8014C"/>
    <w:rsid w:val="00D80E15"/>
    <w:rsid w:val="00D81370"/>
    <w:rsid w:val="00D81621"/>
    <w:rsid w:val="00D81F12"/>
    <w:rsid w:val="00D81F6D"/>
    <w:rsid w:val="00D8205C"/>
    <w:rsid w:val="00D827BA"/>
    <w:rsid w:val="00D833FD"/>
    <w:rsid w:val="00D834C8"/>
    <w:rsid w:val="00D84094"/>
    <w:rsid w:val="00D84FD9"/>
    <w:rsid w:val="00D85A4E"/>
    <w:rsid w:val="00D86340"/>
    <w:rsid w:val="00D8660F"/>
    <w:rsid w:val="00D868F8"/>
    <w:rsid w:val="00D86A0F"/>
    <w:rsid w:val="00D86ABA"/>
    <w:rsid w:val="00D86D9F"/>
    <w:rsid w:val="00D86FA1"/>
    <w:rsid w:val="00D871FA"/>
    <w:rsid w:val="00D90206"/>
    <w:rsid w:val="00D902D0"/>
    <w:rsid w:val="00D90F47"/>
    <w:rsid w:val="00D92031"/>
    <w:rsid w:val="00D9207F"/>
    <w:rsid w:val="00D9277A"/>
    <w:rsid w:val="00D92DF3"/>
    <w:rsid w:val="00D930EA"/>
    <w:rsid w:val="00D93952"/>
    <w:rsid w:val="00D93AC4"/>
    <w:rsid w:val="00D9460F"/>
    <w:rsid w:val="00D95840"/>
    <w:rsid w:val="00D95ABF"/>
    <w:rsid w:val="00D962C0"/>
    <w:rsid w:val="00D9693C"/>
    <w:rsid w:val="00D96BD2"/>
    <w:rsid w:val="00D96C78"/>
    <w:rsid w:val="00D96D6B"/>
    <w:rsid w:val="00D97BE0"/>
    <w:rsid w:val="00DA0901"/>
    <w:rsid w:val="00DA0EB4"/>
    <w:rsid w:val="00DA1705"/>
    <w:rsid w:val="00DA17C4"/>
    <w:rsid w:val="00DA1985"/>
    <w:rsid w:val="00DA1D4B"/>
    <w:rsid w:val="00DA2692"/>
    <w:rsid w:val="00DA28DC"/>
    <w:rsid w:val="00DA2A06"/>
    <w:rsid w:val="00DA2A49"/>
    <w:rsid w:val="00DA31F6"/>
    <w:rsid w:val="00DA3DB1"/>
    <w:rsid w:val="00DA3E1B"/>
    <w:rsid w:val="00DA41A5"/>
    <w:rsid w:val="00DA464D"/>
    <w:rsid w:val="00DA4B5A"/>
    <w:rsid w:val="00DA5A67"/>
    <w:rsid w:val="00DA5F55"/>
    <w:rsid w:val="00DA6669"/>
    <w:rsid w:val="00DA729D"/>
    <w:rsid w:val="00DA7742"/>
    <w:rsid w:val="00DA7F62"/>
    <w:rsid w:val="00DB090F"/>
    <w:rsid w:val="00DB0AC0"/>
    <w:rsid w:val="00DB0E75"/>
    <w:rsid w:val="00DB1346"/>
    <w:rsid w:val="00DB16C4"/>
    <w:rsid w:val="00DB1D1F"/>
    <w:rsid w:val="00DB220F"/>
    <w:rsid w:val="00DB27BD"/>
    <w:rsid w:val="00DB27CD"/>
    <w:rsid w:val="00DB3543"/>
    <w:rsid w:val="00DB3A53"/>
    <w:rsid w:val="00DB419F"/>
    <w:rsid w:val="00DB478B"/>
    <w:rsid w:val="00DB4CFA"/>
    <w:rsid w:val="00DB4F0F"/>
    <w:rsid w:val="00DB56D5"/>
    <w:rsid w:val="00DB5F4E"/>
    <w:rsid w:val="00DB7000"/>
    <w:rsid w:val="00DB7629"/>
    <w:rsid w:val="00DB7E9C"/>
    <w:rsid w:val="00DC0B8E"/>
    <w:rsid w:val="00DC0F33"/>
    <w:rsid w:val="00DC1173"/>
    <w:rsid w:val="00DC12B6"/>
    <w:rsid w:val="00DC145C"/>
    <w:rsid w:val="00DC18E0"/>
    <w:rsid w:val="00DC2C33"/>
    <w:rsid w:val="00DC3217"/>
    <w:rsid w:val="00DC3248"/>
    <w:rsid w:val="00DC3BB7"/>
    <w:rsid w:val="00DC3F43"/>
    <w:rsid w:val="00DC46AB"/>
    <w:rsid w:val="00DC4DBD"/>
    <w:rsid w:val="00DC5658"/>
    <w:rsid w:val="00DC5F9D"/>
    <w:rsid w:val="00DC5FA8"/>
    <w:rsid w:val="00DC6099"/>
    <w:rsid w:val="00DC63A8"/>
    <w:rsid w:val="00DC6950"/>
    <w:rsid w:val="00DC7529"/>
    <w:rsid w:val="00DD1C50"/>
    <w:rsid w:val="00DD2170"/>
    <w:rsid w:val="00DD2758"/>
    <w:rsid w:val="00DD2C90"/>
    <w:rsid w:val="00DD3A5B"/>
    <w:rsid w:val="00DD3CB6"/>
    <w:rsid w:val="00DD3F2D"/>
    <w:rsid w:val="00DD4336"/>
    <w:rsid w:val="00DD439C"/>
    <w:rsid w:val="00DD4C68"/>
    <w:rsid w:val="00DD4DB6"/>
    <w:rsid w:val="00DD6878"/>
    <w:rsid w:val="00DD68C0"/>
    <w:rsid w:val="00DD72BA"/>
    <w:rsid w:val="00DD7706"/>
    <w:rsid w:val="00DE17AB"/>
    <w:rsid w:val="00DE2D0C"/>
    <w:rsid w:val="00DE33FA"/>
    <w:rsid w:val="00DE38BB"/>
    <w:rsid w:val="00DE3DE6"/>
    <w:rsid w:val="00DE43B6"/>
    <w:rsid w:val="00DE452A"/>
    <w:rsid w:val="00DE4EC9"/>
    <w:rsid w:val="00DE6228"/>
    <w:rsid w:val="00DE7C8A"/>
    <w:rsid w:val="00DE7EA0"/>
    <w:rsid w:val="00DF0241"/>
    <w:rsid w:val="00DF11B9"/>
    <w:rsid w:val="00DF28C0"/>
    <w:rsid w:val="00DF34C9"/>
    <w:rsid w:val="00DF387B"/>
    <w:rsid w:val="00DF49FF"/>
    <w:rsid w:val="00DF5565"/>
    <w:rsid w:val="00DF6D03"/>
    <w:rsid w:val="00E00F76"/>
    <w:rsid w:val="00E0148E"/>
    <w:rsid w:val="00E018C4"/>
    <w:rsid w:val="00E0192E"/>
    <w:rsid w:val="00E019BD"/>
    <w:rsid w:val="00E01D75"/>
    <w:rsid w:val="00E0205B"/>
    <w:rsid w:val="00E02E10"/>
    <w:rsid w:val="00E0319E"/>
    <w:rsid w:val="00E037EC"/>
    <w:rsid w:val="00E03DF6"/>
    <w:rsid w:val="00E04ACE"/>
    <w:rsid w:val="00E04E52"/>
    <w:rsid w:val="00E05674"/>
    <w:rsid w:val="00E05884"/>
    <w:rsid w:val="00E05E88"/>
    <w:rsid w:val="00E0601F"/>
    <w:rsid w:val="00E063E7"/>
    <w:rsid w:val="00E06861"/>
    <w:rsid w:val="00E06F4B"/>
    <w:rsid w:val="00E0767A"/>
    <w:rsid w:val="00E07747"/>
    <w:rsid w:val="00E10597"/>
    <w:rsid w:val="00E10806"/>
    <w:rsid w:val="00E114F5"/>
    <w:rsid w:val="00E12C40"/>
    <w:rsid w:val="00E12F7B"/>
    <w:rsid w:val="00E13B98"/>
    <w:rsid w:val="00E13D9A"/>
    <w:rsid w:val="00E13EAD"/>
    <w:rsid w:val="00E1455B"/>
    <w:rsid w:val="00E15016"/>
    <w:rsid w:val="00E17D8B"/>
    <w:rsid w:val="00E17E2A"/>
    <w:rsid w:val="00E2039C"/>
    <w:rsid w:val="00E206E7"/>
    <w:rsid w:val="00E224CE"/>
    <w:rsid w:val="00E22C40"/>
    <w:rsid w:val="00E22E7D"/>
    <w:rsid w:val="00E23570"/>
    <w:rsid w:val="00E2379F"/>
    <w:rsid w:val="00E23879"/>
    <w:rsid w:val="00E248EA"/>
    <w:rsid w:val="00E25309"/>
    <w:rsid w:val="00E2649C"/>
    <w:rsid w:val="00E2687F"/>
    <w:rsid w:val="00E270DC"/>
    <w:rsid w:val="00E276F9"/>
    <w:rsid w:val="00E27A0C"/>
    <w:rsid w:val="00E27E2F"/>
    <w:rsid w:val="00E3000F"/>
    <w:rsid w:val="00E3057A"/>
    <w:rsid w:val="00E30986"/>
    <w:rsid w:val="00E31DA8"/>
    <w:rsid w:val="00E32181"/>
    <w:rsid w:val="00E327A7"/>
    <w:rsid w:val="00E32850"/>
    <w:rsid w:val="00E32913"/>
    <w:rsid w:val="00E32A6B"/>
    <w:rsid w:val="00E331C4"/>
    <w:rsid w:val="00E33292"/>
    <w:rsid w:val="00E3347F"/>
    <w:rsid w:val="00E34165"/>
    <w:rsid w:val="00E34277"/>
    <w:rsid w:val="00E34341"/>
    <w:rsid w:val="00E34A3B"/>
    <w:rsid w:val="00E354E4"/>
    <w:rsid w:val="00E355AA"/>
    <w:rsid w:val="00E35939"/>
    <w:rsid w:val="00E35A96"/>
    <w:rsid w:val="00E36002"/>
    <w:rsid w:val="00E37293"/>
    <w:rsid w:val="00E37DDF"/>
    <w:rsid w:val="00E403B8"/>
    <w:rsid w:val="00E4170B"/>
    <w:rsid w:val="00E41881"/>
    <w:rsid w:val="00E41EE1"/>
    <w:rsid w:val="00E424D6"/>
    <w:rsid w:val="00E42E5D"/>
    <w:rsid w:val="00E43444"/>
    <w:rsid w:val="00E440AC"/>
    <w:rsid w:val="00E4424F"/>
    <w:rsid w:val="00E44600"/>
    <w:rsid w:val="00E452FE"/>
    <w:rsid w:val="00E46184"/>
    <w:rsid w:val="00E472D9"/>
    <w:rsid w:val="00E4792F"/>
    <w:rsid w:val="00E50686"/>
    <w:rsid w:val="00E50878"/>
    <w:rsid w:val="00E50BC1"/>
    <w:rsid w:val="00E50C05"/>
    <w:rsid w:val="00E512DB"/>
    <w:rsid w:val="00E51C12"/>
    <w:rsid w:val="00E51C52"/>
    <w:rsid w:val="00E522F6"/>
    <w:rsid w:val="00E52579"/>
    <w:rsid w:val="00E527C8"/>
    <w:rsid w:val="00E534E9"/>
    <w:rsid w:val="00E544B0"/>
    <w:rsid w:val="00E54993"/>
    <w:rsid w:val="00E54A14"/>
    <w:rsid w:val="00E54E31"/>
    <w:rsid w:val="00E55129"/>
    <w:rsid w:val="00E5554D"/>
    <w:rsid w:val="00E562FD"/>
    <w:rsid w:val="00E56568"/>
    <w:rsid w:val="00E56FB7"/>
    <w:rsid w:val="00E57083"/>
    <w:rsid w:val="00E57D51"/>
    <w:rsid w:val="00E60047"/>
    <w:rsid w:val="00E60119"/>
    <w:rsid w:val="00E60D53"/>
    <w:rsid w:val="00E61DFB"/>
    <w:rsid w:val="00E623CF"/>
    <w:rsid w:val="00E625A9"/>
    <w:rsid w:val="00E629D9"/>
    <w:rsid w:val="00E638DD"/>
    <w:rsid w:val="00E63AB9"/>
    <w:rsid w:val="00E63F2E"/>
    <w:rsid w:val="00E64581"/>
    <w:rsid w:val="00E64F92"/>
    <w:rsid w:val="00E6505D"/>
    <w:rsid w:val="00E660D3"/>
    <w:rsid w:val="00E66AB4"/>
    <w:rsid w:val="00E66F98"/>
    <w:rsid w:val="00E67C1E"/>
    <w:rsid w:val="00E700FD"/>
    <w:rsid w:val="00E70179"/>
    <w:rsid w:val="00E70B7F"/>
    <w:rsid w:val="00E71602"/>
    <w:rsid w:val="00E7224E"/>
    <w:rsid w:val="00E72FA2"/>
    <w:rsid w:val="00E7334E"/>
    <w:rsid w:val="00E7348B"/>
    <w:rsid w:val="00E73962"/>
    <w:rsid w:val="00E739CC"/>
    <w:rsid w:val="00E73CEE"/>
    <w:rsid w:val="00E74654"/>
    <w:rsid w:val="00E74DE3"/>
    <w:rsid w:val="00E75187"/>
    <w:rsid w:val="00E751B5"/>
    <w:rsid w:val="00E76886"/>
    <w:rsid w:val="00E77324"/>
    <w:rsid w:val="00E77574"/>
    <w:rsid w:val="00E77951"/>
    <w:rsid w:val="00E8050D"/>
    <w:rsid w:val="00E816F6"/>
    <w:rsid w:val="00E81A9C"/>
    <w:rsid w:val="00E81F57"/>
    <w:rsid w:val="00E82527"/>
    <w:rsid w:val="00E8256A"/>
    <w:rsid w:val="00E8283A"/>
    <w:rsid w:val="00E82DED"/>
    <w:rsid w:val="00E8388D"/>
    <w:rsid w:val="00E8494C"/>
    <w:rsid w:val="00E84E68"/>
    <w:rsid w:val="00E857DE"/>
    <w:rsid w:val="00E85CB5"/>
    <w:rsid w:val="00E85FE5"/>
    <w:rsid w:val="00E861B4"/>
    <w:rsid w:val="00E86719"/>
    <w:rsid w:val="00E869C1"/>
    <w:rsid w:val="00E86D0C"/>
    <w:rsid w:val="00E87EDA"/>
    <w:rsid w:val="00E905CA"/>
    <w:rsid w:val="00E9091C"/>
    <w:rsid w:val="00E90EF4"/>
    <w:rsid w:val="00E912E2"/>
    <w:rsid w:val="00E91522"/>
    <w:rsid w:val="00E91E2D"/>
    <w:rsid w:val="00E92493"/>
    <w:rsid w:val="00E93038"/>
    <w:rsid w:val="00E941EE"/>
    <w:rsid w:val="00E9463A"/>
    <w:rsid w:val="00E94CE6"/>
    <w:rsid w:val="00E94DEA"/>
    <w:rsid w:val="00E95A6A"/>
    <w:rsid w:val="00E964FA"/>
    <w:rsid w:val="00E974DA"/>
    <w:rsid w:val="00E97E91"/>
    <w:rsid w:val="00EA0279"/>
    <w:rsid w:val="00EA04EE"/>
    <w:rsid w:val="00EA07C0"/>
    <w:rsid w:val="00EA0A8C"/>
    <w:rsid w:val="00EA10C8"/>
    <w:rsid w:val="00EA1426"/>
    <w:rsid w:val="00EA200B"/>
    <w:rsid w:val="00EA2BC3"/>
    <w:rsid w:val="00EA2BCA"/>
    <w:rsid w:val="00EA378E"/>
    <w:rsid w:val="00EA3B2E"/>
    <w:rsid w:val="00EA4C28"/>
    <w:rsid w:val="00EA5692"/>
    <w:rsid w:val="00EA74DD"/>
    <w:rsid w:val="00EB0705"/>
    <w:rsid w:val="00EB24B7"/>
    <w:rsid w:val="00EB294E"/>
    <w:rsid w:val="00EB2B02"/>
    <w:rsid w:val="00EB33DB"/>
    <w:rsid w:val="00EB4879"/>
    <w:rsid w:val="00EB54D6"/>
    <w:rsid w:val="00EB57FE"/>
    <w:rsid w:val="00EB5856"/>
    <w:rsid w:val="00EB5BF0"/>
    <w:rsid w:val="00EB6009"/>
    <w:rsid w:val="00EB6C47"/>
    <w:rsid w:val="00EB7527"/>
    <w:rsid w:val="00EB7616"/>
    <w:rsid w:val="00EB7867"/>
    <w:rsid w:val="00EC1686"/>
    <w:rsid w:val="00EC1688"/>
    <w:rsid w:val="00EC1BEE"/>
    <w:rsid w:val="00EC272E"/>
    <w:rsid w:val="00EC2D38"/>
    <w:rsid w:val="00EC3086"/>
    <w:rsid w:val="00EC3A87"/>
    <w:rsid w:val="00EC3BDB"/>
    <w:rsid w:val="00EC3E71"/>
    <w:rsid w:val="00EC4153"/>
    <w:rsid w:val="00EC4239"/>
    <w:rsid w:val="00EC4A74"/>
    <w:rsid w:val="00EC4EA9"/>
    <w:rsid w:val="00EC543A"/>
    <w:rsid w:val="00EC66D3"/>
    <w:rsid w:val="00EC6985"/>
    <w:rsid w:val="00EC6E72"/>
    <w:rsid w:val="00EC7522"/>
    <w:rsid w:val="00EC752C"/>
    <w:rsid w:val="00EC7C5E"/>
    <w:rsid w:val="00ED017D"/>
    <w:rsid w:val="00ED27DA"/>
    <w:rsid w:val="00ED29EF"/>
    <w:rsid w:val="00ED2A6C"/>
    <w:rsid w:val="00ED2E64"/>
    <w:rsid w:val="00ED3012"/>
    <w:rsid w:val="00ED36DF"/>
    <w:rsid w:val="00ED4542"/>
    <w:rsid w:val="00ED46EB"/>
    <w:rsid w:val="00ED50F3"/>
    <w:rsid w:val="00ED5260"/>
    <w:rsid w:val="00ED589B"/>
    <w:rsid w:val="00ED5F4A"/>
    <w:rsid w:val="00ED6005"/>
    <w:rsid w:val="00ED6679"/>
    <w:rsid w:val="00ED67BE"/>
    <w:rsid w:val="00ED67EF"/>
    <w:rsid w:val="00ED7037"/>
    <w:rsid w:val="00ED7723"/>
    <w:rsid w:val="00EE041F"/>
    <w:rsid w:val="00EE0534"/>
    <w:rsid w:val="00EE092F"/>
    <w:rsid w:val="00EE1414"/>
    <w:rsid w:val="00EE2111"/>
    <w:rsid w:val="00EE22BA"/>
    <w:rsid w:val="00EE2383"/>
    <w:rsid w:val="00EE3884"/>
    <w:rsid w:val="00EE3B72"/>
    <w:rsid w:val="00EE3BC3"/>
    <w:rsid w:val="00EE3E59"/>
    <w:rsid w:val="00EE48E4"/>
    <w:rsid w:val="00EE4982"/>
    <w:rsid w:val="00EE7F43"/>
    <w:rsid w:val="00EF05AD"/>
    <w:rsid w:val="00EF19D0"/>
    <w:rsid w:val="00EF1F3D"/>
    <w:rsid w:val="00EF1FD3"/>
    <w:rsid w:val="00EF293A"/>
    <w:rsid w:val="00EF2AD4"/>
    <w:rsid w:val="00EF48F3"/>
    <w:rsid w:val="00EF4C72"/>
    <w:rsid w:val="00EF4C74"/>
    <w:rsid w:val="00EF5099"/>
    <w:rsid w:val="00EF5281"/>
    <w:rsid w:val="00EF54E9"/>
    <w:rsid w:val="00EF594A"/>
    <w:rsid w:val="00EF5A0F"/>
    <w:rsid w:val="00EF5F4A"/>
    <w:rsid w:val="00EF66DC"/>
    <w:rsid w:val="00EF6F8E"/>
    <w:rsid w:val="00EF6FA2"/>
    <w:rsid w:val="00F0044F"/>
    <w:rsid w:val="00F00B62"/>
    <w:rsid w:val="00F0282D"/>
    <w:rsid w:val="00F0286E"/>
    <w:rsid w:val="00F029B4"/>
    <w:rsid w:val="00F02BA0"/>
    <w:rsid w:val="00F0310C"/>
    <w:rsid w:val="00F03113"/>
    <w:rsid w:val="00F034EB"/>
    <w:rsid w:val="00F03857"/>
    <w:rsid w:val="00F04200"/>
    <w:rsid w:val="00F0441C"/>
    <w:rsid w:val="00F05014"/>
    <w:rsid w:val="00F0615F"/>
    <w:rsid w:val="00F06ABA"/>
    <w:rsid w:val="00F06B64"/>
    <w:rsid w:val="00F06F00"/>
    <w:rsid w:val="00F072B5"/>
    <w:rsid w:val="00F103E5"/>
    <w:rsid w:val="00F1082D"/>
    <w:rsid w:val="00F10D64"/>
    <w:rsid w:val="00F110E2"/>
    <w:rsid w:val="00F11277"/>
    <w:rsid w:val="00F123E2"/>
    <w:rsid w:val="00F12663"/>
    <w:rsid w:val="00F1349B"/>
    <w:rsid w:val="00F135DA"/>
    <w:rsid w:val="00F13E8A"/>
    <w:rsid w:val="00F145E4"/>
    <w:rsid w:val="00F14DEB"/>
    <w:rsid w:val="00F14E62"/>
    <w:rsid w:val="00F15125"/>
    <w:rsid w:val="00F1554B"/>
    <w:rsid w:val="00F171FB"/>
    <w:rsid w:val="00F2003F"/>
    <w:rsid w:val="00F2062D"/>
    <w:rsid w:val="00F20782"/>
    <w:rsid w:val="00F20AAA"/>
    <w:rsid w:val="00F20D4D"/>
    <w:rsid w:val="00F212F5"/>
    <w:rsid w:val="00F21594"/>
    <w:rsid w:val="00F22A9C"/>
    <w:rsid w:val="00F2307E"/>
    <w:rsid w:val="00F23BAC"/>
    <w:rsid w:val="00F23FFA"/>
    <w:rsid w:val="00F24CF5"/>
    <w:rsid w:val="00F24FDA"/>
    <w:rsid w:val="00F252C9"/>
    <w:rsid w:val="00F25522"/>
    <w:rsid w:val="00F25868"/>
    <w:rsid w:val="00F25C18"/>
    <w:rsid w:val="00F25E47"/>
    <w:rsid w:val="00F25F0B"/>
    <w:rsid w:val="00F2603D"/>
    <w:rsid w:val="00F262DB"/>
    <w:rsid w:val="00F27035"/>
    <w:rsid w:val="00F27EA5"/>
    <w:rsid w:val="00F3072B"/>
    <w:rsid w:val="00F307F6"/>
    <w:rsid w:val="00F30F28"/>
    <w:rsid w:val="00F3139D"/>
    <w:rsid w:val="00F31894"/>
    <w:rsid w:val="00F318E0"/>
    <w:rsid w:val="00F320CE"/>
    <w:rsid w:val="00F325D4"/>
    <w:rsid w:val="00F32C12"/>
    <w:rsid w:val="00F3363B"/>
    <w:rsid w:val="00F33641"/>
    <w:rsid w:val="00F337A6"/>
    <w:rsid w:val="00F34A67"/>
    <w:rsid w:val="00F35429"/>
    <w:rsid w:val="00F36DB9"/>
    <w:rsid w:val="00F36FB1"/>
    <w:rsid w:val="00F373D1"/>
    <w:rsid w:val="00F3752F"/>
    <w:rsid w:val="00F37A73"/>
    <w:rsid w:val="00F37BAE"/>
    <w:rsid w:val="00F40A85"/>
    <w:rsid w:val="00F40F47"/>
    <w:rsid w:val="00F412DC"/>
    <w:rsid w:val="00F419B0"/>
    <w:rsid w:val="00F41E76"/>
    <w:rsid w:val="00F42B75"/>
    <w:rsid w:val="00F4323B"/>
    <w:rsid w:val="00F43EAE"/>
    <w:rsid w:val="00F44DF6"/>
    <w:rsid w:val="00F455B0"/>
    <w:rsid w:val="00F45806"/>
    <w:rsid w:val="00F45A75"/>
    <w:rsid w:val="00F46EE9"/>
    <w:rsid w:val="00F472DA"/>
    <w:rsid w:val="00F47900"/>
    <w:rsid w:val="00F50A52"/>
    <w:rsid w:val="00F512C3"/>
    <w:rsid w:val="00F529C1"/>
    <w:rsid w:val="00F54F79"/>
    <w:rsid w:val="00F5503E"/>
    <w:rsid w:val="00F55D43"/>
    <w:rsid w:val="00F5616E"/>
    <w:rsid w:val="00F564B8"/>
    <w:rsid w:val="00F57082"/>
    <w:rsid w:val="00F570BB"/>
    <w:rsid w:val="00F57462"/>
    <w:rsid w:val="00F576B8"/>
    <w:rsid w:val="00F60735"/>
    <w:rsid w:val="00F6086A"/>
    <w:rsid w:val="00F60F7F"/>
    <w:rsid w:val="00F61FEC"/>
    <w:rsid w:val="00F6201F"/>
    <w:rsid w:val="00F62812"/>
    <w:rsid w:val="00F63331"/>
    <w:rsid w:val="00F6396B"/>
    <w:rsid w:val="00F6467A"/>
    <w:rsid w:val="00F656C1"/>
    <w:rsid w:val="00F65EC8"/>
    <w:rsid w:val="00F66386"/>
    <w:rsid w:val="00F6640A"/>
    <w:rsid w:val="00F66CD9"/>
    <w:rsid w:val="00F673E5"/>
    <w:rsid w:val="00F70231"/>
    <w:rsid w:val="00F7023E"/>
    <w:rsid w:val="00F702BE"/>
    <w:rsid w:val="00F70E46"/>
    <w:rsid w:val="00F70FDD"/>
    <w:rsid w:val="00F725C7"/>
    <w:rsid w:val="00F72771"/>
    <w:rsid w:val="00F72BCD"/>
    <w:rsid w:val="00F72C2E"/>
    <w:rsid w:val="00F72D7B"/>
    <w:rsid w:val="00F73007"/>
    <w:rsid w:val="00F731C3"/>
    <w:rsid w:val="00F73694"/>
    <w:rsid w:val="00F74D0B"/>
    <w:rsid w:val="00F74EBA"/>
    <w:rsid w:val="00F76600"/>
    <w:rsid w:val="00F76B74"/>
    <w:rsid w:val="00F776CB"/>
    <w:rsid w:val="00F82C98"/>
    <w:rsid w:val="00F83475"/>
    <w:rsid w:val="00F8365A"/>
    <w:rsid w:val="00F83997"/>
    <w:rsid w:val="00F83DDB"/>
    <w:rsid w:val="00F83FDC"/>
    <w:rsid w:val="00F848E3"/>
    <w:rsid w:val="00F8495C"/>
    <w:rsid w:val="00F84CD8"/>
    <w:rsid w:val="00F85C7A"/>
    <w:rsid w:val="00F86695"/>
    <w:rsid w:val="00F86908"/>
    <w:rsid w:val="00F8722D"/>
    <w:rsid w:val="00F87428"/>
    <w:rsid w:val="00F904C4"/>
    <w:rsid w:val="00F90E4D"/>
    <w:rsid w:val="00F916D3"/>
    <w:rsid w:val="00F916F6"/>
    <w:rsid w:val="00F92220"/>
    <w:rsid w:val="00F9278A"/>
    <w:rsid w:val="00F92951"/>
    <w:rsid w:val="00F92DAA"/>
    <w:rsid w:val="00F933A3"/>
    <w:rsid w:val="00F937D2"/>
    <w:rsid w:val="00F93EE5"/>
    <w:rsid w:val="00F942E6"/>
    <w:rsid w:val="00F950B2"/>
    <w:rsid w:val="00F95B1D"/>
    <w:rsid w:val="00F9619D"/>
    <w:rsid w:val="00F96857"/>
    <w:rsid w:val="00F97037"/>
    <w:rsid w:val="00FA0F07"/>
    <w:rsid w:val="00FA1939"/>
    <w:rsid w:val="00FA1C87"/>
    <w:rsid w:val="00FA2C0E"/>
    <w:rsid w:val="00FA31D5"/>
    <w:rsid w:val="00FA55C7"/>
    <w:rsid w:val="00FA5A73"/>
    <w:rsid w:val="00FA5D50"/>
    <w:rsid w:val="00FA5D7C"/>
    <w:rsid w:val="00FA67C3"/>
    <w:rsid w:val="00FA6ADD"/>
    <w:rsid w:val="00FA7527"/>
    <w:rsid w:val="00FA7D41"/>
    <w:rsid w:val="00FB0070"/>
    <w:rsid w:val="00FB080E"/>
    <w:rsid w:val="00FB0A31"/>
    <w:rsid w:val="00FB0B75"/>
    <w:rsid w:val="00FB0CC1"/>
    <w:rsid w:val="00FB1484"/>
    <w:rsid w:val="00FB21DD"/>
    <w:rsid w:val="00FB23E6"/>
    <w:rsid w:val="00FB3F43"/>
    <w:rsid w:val="00FB4104"/>
    <w:rsid w:val="00FB47D9"/>
    <w:rsid w:val="00FB4DCF"/>
    <w:rsid w:val="00FB5104"/>
    <w:rsid w:val="00FB6BA2"/>
    <w:rsid w:val="00FB6F90"/>
    <w:rsid w:val="00FC1B2E"/>
    <w:rsid w:val="00FC1C1C"/>
    <w:rsid w:val="00FC21F2"/>
    <w:rsid w:val="00FC283D"/>
    <w:rsid w:val="00FC2962"/>
    <w:rsid w:val="00FC2DAA"/>
    <w:rsid w:val="00FC397D"/>
    <w:rsid w:val="00FC5173"/>
    <w:rsid w:val="00FC5603"/>
    <w:rsid w:val="00FC5EE9"/>
    <w:rsid w:val="00FC61CD"/>
    <w:rsid w:val="00FC63FF"/>
    <w:rsid w:val="00FC6AF8"/>
    <w:rsid w:val="00FC6CC2"/>
    <w:rsid w:val="00FC6FDF"/>
    <w:rsid w:val="00FC71FC"/>
    <w:rsid w:val="00FD025A"/>
    <w:rsid w:val="00FD08AA"/>
    <w:rsid w:val="00FD0AAC"/>
    <w:rsid w:val="00FD0FE5"/>
    <w:rsid w:val="00FD1627"/>
    <w:rsid w:val="00FD1732"/>
    <w:rsid w:val="00FD27C4"/>
    <w:rsid w:val="00FD2802"/>
    <w:rsid w:val="00FD4849"/>
    <w:rsid w:val="00FD4F8C"/>
    <w:rsid w:val="00FD538B"/>
    <w:rsid w:val="00FD56D6"/>
    <w:rsid w:val="00FD58C8"/>
    <w:rsid w:val="00FD74B5"/>
    <w:rsid w:val="00FD76DF"/>
    <w:rsid w:val="00FD7BEF"/>
    <w:rsid w:val="00FD7C16"/>
    <w:rsid w:val="00FD7D33"/>
    <w:rsid w:val="00FE0256"/>
    <w:rsid w:val="00FE04C2"/>
    <w:rsid w:val="00FE0AFD"/>
    <w:rsid w:val="00FE0E65"/>
    <w:rsid w:val="00FE0FC2"/>
    <w:rsid w:val="00FE123A"/>
    <w:rsid w:val="00FE2360"/>
    <w:rsid w:val="00FE2E7C"/>
    <w:rsid w:val="00FE2FD2"/>
    <w:rsid w:val="00FE49D1"/>
    <w:rsid w:val="00FE4E92"/>
    <w:rsid w:val="00FE5FED"/>
    <w:rsid w:val="00FE6305"/>
    <w:rsid w:val="00FE6E63"/>
    <w:rsid w:val="00FE76D6"/>
    <w:rsid w:val="00FE7C9C"/>
    <w:rsid w:val="00FF0C85"/>
    <w:rsid w:val="00FF0C8C"/>
    <w:rsid w:val="00FF0D85"/>
    <w:rsid w:val="00FF0DE9"/>
    <w:rsid w:val="00FF1765"/>
    <w:rsid w:val="00FF23A2"/>
    <w:rsid w:val="00FF23ED"/>
    <w:rsid w:val="00FF27BF"/>
    <w:rsid w:val="00FF3170"/>
    <w:rsid w:val="00FF31C1"/>
    <w:rsid w:val="00FF35CE"/>
    <w:rsid w:val="00FF38EF"/>
    <w:rsid w:val="00FF4264"/>
    <w:rsid w:val="00FF468E"/>
    <w:rsid w:val="00FF4A23"/>
    <w:rsid w:val="00FF5376"/>
    <w:rsid w:val="00FF60DB"/>
    <w:rsid w:val="00FF66D0"/>
    <w:rsid w:val="00FF686F"/>
    <w:rsid w:val="22796008"/>
    <w:rsid w:val="28B71101"/>
    <w:rsid w:val="29D62F33"/>
    <w:rsid w:val="2B056AE7"/>
    <w:rsid w:val="353A1D60"/>
    <w:rsid w:val="3C1D317D"/>
    <w:rsid w:val="4AAC4748"/>
    <w:rsid w:val="4BAD15B1"/>
    <w:rsid w:val="4DFF0D58"/>
    <w:rsid w:val="4EBA55D9"/>
    <w:rsid w:val="6D28253B"/>
    <w:rsid w:val="79A31AAA"/>
    <w:rsid w:val="7BD6238A"/>
    <w:rsid w:val="7CB7092B"/>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9" w:semiHidden="0" w:name="heading 3"/>
    <w:lsdException w:qFormat="1" w:uiPriority="0" w:semiHidden="0" w:name="heading 4"/>
    <w:lsdException w:qFormat="1" w:unhideWhenUsed="0" w:uiPriority="0"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qFormat="1" w:uiPriority="99" w:semiHidden="0" w:name="annotation reference"/>
    <w:lsdException w:uiPriority="0" w:name="line number"/>
    <w:lsdException w:qFormat="1" w:unhideWhenUsed="0" w:uiPriority="0" w:semiHidden="0" w:name="page number"/>
    <w:lsdException w:qFormat="1" w:uiPriority="0" w:name="endnote reference"/>
    <w:lsdException w:qFormat="1" w:uiPriority="0" w:semiHidden="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pl-PL" w:eastAsia="pl-PL" w:bidi="ar-SA"/>
    </w:rPr>
  </w:style>
  <w:style w:type="paragraph" w:styleId="2">
    <w:name w:val="heading 1"/>
    <w:basedOn w:val="1"/>
    <w:next w:val="1"/>
    <w:link w:val="64"/>
    <w:qFormat/>
    <w:uiPriority w:val="0"/>
    <w:pPr>
      <w:keepNext/>
      <w:pageBreakBefore/>
      <w:tabs>
        <w:tab w:val="left" w:pos="432"/>
      </w:tabs>
      <w:spacing w:before="120" w:after="240" w:line="360" w:lineRule="auto"/>
      <w:ind w:left="432" w:hanging="432"/>
      <w:outlineLvl w:val="0"/>
    </w:pPr>
    <w:rPr>
      <w:rFonts w:ascii="Arial" w:hAnsi="Arial"/>
      <w:b/>
      <w:caps/>
      <w:kern w:val="28"/>
      <w:sz w:val="24"/>
      <w:u w:val="single"/>
    </w:rPr>
  </w:style>
  <w:style w:type="paragraph" w:styleId="3">
    <w:name w:val="heading 2"/>
    <w:basedOn w:val="1"/>
    <w:next w:val="1"/>
    <w:link w:val="47"/>
    <w:qFormat/>
    <w:uiPriority w:val="0"/>
    <w:pPr>
      <w:keepNext/>
      <w:ind w:firstLine="851"/>
      <w:jc w:val="both"/>
      <w:outlineLvl w:val="1"/>
    </w:pPr>
    <w:rPr>
      <w:sz w:val="24"/>
    </w:rPr>
  </w:style>
  <w:style w:type="paragraph" w:styleId="4">
    <w:name w:val="heading 3"/>
    <w:basedOn w:val="1"/>
    <w:next w:val="1"/>
    <w:link w:val="62"/>
    <w:unhideWhenUsed/>
    <w:qFormat/>
    <w:uiPriority w:val="9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63"/>
    <w:unhideWhenUsed/>
    <w:qFormat/>
    <w:uiPriority w:val="0"/>
    <w:pPr>
      <w:keepNext/>
      <w:keepLines/>
      <w:spacing w:before="200"/>
      <w:outlineLvl w:val="3"/>
    </w:pPr>
    <w:rPr>
      <w:rFonts w:asciiTheme="majorHAnsi" w:hAnsiTheme="majorHAnsi" w:eastAsiaTheme="majorEastAsia" w:cstheme="majorBidi"/>
      <w:b/>
      <w:bCs/>
      <w:i/>
      <w:iCs/>
      <w:color w:val="4F81BD" w:themeColor="accent1"/>
    </w:rPr>
  </w:style>
  <w:style w:type="paragraph" w:styleId="6">
    <w:name w:val="heading 5"/>
    <w:basedOn w:val="1"/>
    <w:next w:val="1"/>
    <w:link w:val="65"/>
    <w:qFormat/>
    <w:uiPriority w:val="0"/>
    <w:pPr>
      <w:keepNext/>
      <w:tabs>
        <w:tab w:val="left" w:pos="1859"/>
      </w:tabs>
      <w:spacing w:before="160" w:after="120"/>
      <w:ind w:left="1859" w:hanging="1008"/>
      <w:outlineLvl w:val="4"/>
    </w:pPr>
    <w:rPr>
      <w:rFonts w:ascii="Arial" w:hAnsi="Arial"/>
      <w:lang w:eastAsia="ar-SA"/>
    </w:rPr>
  </w:style>
  <w:style w:type="paragraph" w:styleId="7">
    <w:name w:val="heading 6"/>
    <w:basedOn w:val="1"/>
    <w:next w:val="1"/>
    <w:link w:val="66"/>
    <w:qFormat/>
    <w:uiPriority w:val="99"/>
    <w:pPr>
      <w:tabs>
        <w:tab w:val="left" w:pos="1152"/>
      </w:tabs>
      <w:spacing w:before="240" w:after="60"/>
      <w:ind w:left="1152" w:hanging="1152"/>
      <w:outlineLvl w:val="5"/>
    </w:pPr>
    <w:rPr>
      <w:rFonts w:ascii="Arial" w:hAnsi="Arial"/>
      <w:i/>
      <w:sz w:val="22"/>
      <w:szCs w:val="24"/>
      <w:lang w:eastAsia="ar-SA"/>
    </w:rPr>
  </w:style>
  <w:style w:type="paragraph" w:styleId="8">
    <w:name w:val="heading 7"/>
    <w:basedOn w:val="1"/>
    <w:next w:val="1"/>
    <w:link w:val="67"/>
    <w:qFormat/>
    <w:uiPriority w:val="99"/>
    <w:pPr>
      <w:tabs>
        <w:tab w:val="left" w:pos="1296"/>
      </w:tabs>
      <w:spacing w:before="240" w:after="60"/>
      <w:ind w:left="1296" w:hanging="1296"/>
      <w:outlineLvl w:val="6"/>
    </w:pPr>
    <w:rPr>
      <w:sz w:val="24"/>
    </w:rPr>
  </w:style>
  <w:style w:type="paragraph" w:styleId="9">
    <w:name w:val="heading 8"/>
    <w:basedOn w:val="1"/>
    <w:next w:val="1"/>
    <w:link w:val="68"/>
    <w:qFormat/>
    <w:uiPriority w:val="99"/>
    <w:pPr>
      <w:tabs>
        <w:tab w:val="left" w:pos="1440"/>
      </w:tabs>
      <w:spacing w:before="240" w:after="60"/>
      <w:ind w:left="1440" w:hanging="1440"/>
      <w:outlineLvl w:val="7"/>
    </w:pPr>
    <w:rPr>
      <w:i/>
      <w:sz w:val="24"/>
    </w:rPr>
  </w:style>
  <w:style w:type="paragraph" w:styleId="10">
    <w:name w:val="heading 9"/>
    <w:basedOn w:val="1"/>
    <w:next w:val="1"/>
    <w:link w:val="69"/>
    <w:qFormat/>
    <w:uiPriority w:val="99"/>
    <w:pPr>
      <w:tabs>
        <w:tab w:val="left" w:pos="1584"/>
      </w:tabs>
      <w:spacing w:before="240" w:after="60"/>
      <w:ind w:left="1584" w:hanging="1584"/>
      <w:outlineLvl w:val="8"/>
    </w:pPr>
    <w:rPr>
      <w:i/>
      <w:sz w:val="18"/>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55"/>
    <w:qFormat/>
    <w:uiPriority w:val="0"/>
    <w:rPr>
      <w:rFonts w:ascii="Tahoma" w:hAnsi="Tahoma" w:cs="Tahoma"/>
      <w:sz w:val="16"/>
      <w:szCs w:val="16"/>
    </w:rPr>
  </w:style>
  <w:style w:type="paragraph" w:styleId="14">
    <w:name w:val="Body Text"/>
    <w:basedOn w:val="1"/>
    <w:link w:val="41"/>
    <w:qFormat/>
    <w:uiPriority w:val="0"/>
    <w:pPr>
      <w:jc w:val="both"/>
    </w:pPr>
    <w:rPr>
      <w:sz w:val="24"/>
    </w:rPr>
  </w:style>
  <w:style w:type="paragraph" w:styleId="15">
    <w:name w:val="Body Text 2"/>
    <w:basedOn w:val="1"/>
    <w:link w:val="48"/>
    <w:qFormat/>
    <w:uiPriority w:val="0"/>
    <w:rPr>
      <w:sz w:val="24"/>
    </w:rPr>
  </w:style>
  <w:style w:type="paragraph" w:styleId="16">
    <w:name w:val="Body Text 3"/>
    <w:basedOn w:val="1"/>
    <w:link w:val="50"/>
    <w:qFormat/>
    <w:uiPriority w:val="0"/>
    <w:pPr>
      <w:spacing w:after="120"/>
    </w:pPr>
    <w:rPr>
      <w:sz w:val="16"/>
      <w:szCs w:val="16"/>
    </w:rPr>
  </w:style>
  <w:style w:type="paragraph" w:styleId="17">
    <w:name w:val="Body Text Indent"/>
    <w:basedOn w:val="1"/>
    <w:link w:val="90"/>
    <w:unhideWhenUsed/>
    <w:qFormat/>
    <w:uiPriority w:val="0"/>
    <w:pPr>
      <w:spacing w:after="120" w:line="276" w:lineRule="auto"/>
      <w:ind w:left="283"/>
    </w:pPr>
    <w:rPr>
      <w:rFonts w:ascii="Calibri" w:hAnsi="Calibri" w:eastAsia="Calibri"/>
      <w:sz w:val="22"/>
      <w:szCs w:val="22"/>
      <w:lang w:eastAsia="en-US"/>
    </w:rPr>
  </w:style>
  <w:style w:type="paragraph" w:styleId="18">
    <w:name w:val="Body Text Indent 2"/>
    <w:basedOn w:val="1"/>
    <w:link w:val="44"/>
    <w:qFormat/>
    <w:uiPriority w:val="0"/>
    <w:pPr>
      <w:spacing w:after="120" w:line="480" w:lineRule="auto"/>
      <w:ind w:left="283"/>
    </w:pPr>
  </w:style>
  <w:style w:type="paragraph" w:styleId="19">
    <w:name w:val="Body Text Indent 3"/>
    <w:basedOn w:val="1"/>
    <w:link w:val="80"/>
    <w:qFormat/>
    <w:uiPriority w:val="0"/>
    <w:pPr>
      <w:spacing w:after="120"/>
      <w:ind w:left="283"/>
    </w:pPr>
    <w:rPr>
      <w:sz w:val="16"/>
      <w:szCs w:val="16"/>
    </w:rPr>
  </w:style>
  <w:style w:type="character" w:styleId="20">
    <w:name w:val="annotation reference"/>
    <w:basedOn w:val="11"/>
    <w:unhideWhenUsed/>
    <w:qFormat/>
    <w:uiPriority w:val="99"/>
    <w:rPr>
      <w:sz w:val="16"/>
      <w:szCs w:val="16"/>
    </w:rPr>
  </w:style>
  <w:style w:type="paragraph" w:styleId="21">
    <w:name w:val="annotation text"/>
    <w:basedOn w:val="1"/>
    <w:link w:val="60"/>
    <w:unhideWhenUsed/>
    <w:qFormat/>
    <w:uiPriority w:val="0"/>
    <w:pPr>
      <w:pBdr>
        <w:top w:val="none" w:color="auto" w:sz="0" w:space="0"/>
        <w:left w:val="none" w:color="auto" w:sz="0" w:space="0"/>
        <w:bottom w:val="none" w:color="auto" w:sz="0" w:space="0"/>
        <w:right w:val="none" w:color="auto" w:sz="0" w:space="0"/>
        <w:between w:val="none" w:color="auto" w:sz="0" w:space="0"/>
      </w:pBdr>
    </w:pPr>
    <w:rPr>
      <w:rFonts w:hAnsi="Arial Unicode MS" w:eastAsia="Arial Unicode MS" w:cs="Arial Unicode MS"/>
      <w:color w:val="000000"/>
      <w:u w:color="000000"/>
    </w:rPr>
  </w:style>
  <w:style w:type="paragraph" w:styleId="22">
    <w:name w:val="annotation subject"/>
    <w:basedOn w:val="21"/>
    <w:next w:val="21"/>
    <w:link w:val="61"/>
    <w:unhideWhenUsed/>
    <w:qFormat/>
    <w:uiPriority w:val="0"/>
    <w:rPr>
      <w:b/>
      <w:bCs/>
    </w:rPr>
  </w:style>
  <w:style w:type="paragraph" w:styleId="23">
    <w:name w:val="Document Map"/>
    <w:basedOn w:val="1"/>
    <w:link w:val="86"/>
    <w:qFormat/>
    <w:uiPriority w:val="0"/>
    <w:pPr>
      <w:shd w:val="clear" w:color="auto" w:fill="000080"/>
    </w:pPr>
    <w:rPr>
      <w:rFonts w:ascii="Tahoma" w:hAnsi="Tahoma" w:cs="Tahoma"/>
    </w:rPr>
  </w:style>
  <w:style w:type="character" w:styleId="24">
    <w:name w:val="endnote reference"/>
    <w:basedOn w:val="11"/>
    <w:semiHidden/>
    <w:unhideWhenUsed/>
    <w:qFormat/>
    <w:uiPriority w:val="0"/>
    <w:rPr>
      <w:vertAlign w:val="superscript"/>
    </w:rPr>
  </w:style>
  <w:style w:type="paragraph" w:styleId="25">
    <w:name w:val="endnote text"/>
    <w:basedOn w:val="1"/>
    <w:link w:val="96"/>
    <w:unhideWhenUsed/>
    <w:qFormat/>
    <w:uiPriority w:val="0"/>
    <w:rPr>
      <w:rFonts w:ascii="Calibri" w:hAnsi="Calibri" w:eastAsia="Calibri"/>
      <w:lang w:eastAsia="en-US"/>
    </w:rPr>
  </w:style>
  <w:style w:type="character" w:styleId="26">
    <w:name w:val="FollowedHyperlink"/>
    <w:basedOn w:val="11"/>
    <w:qFormat/>
    <w:uiPriority w:val="0"/>
    <w:rPr>
      <w:color w:val="800080"/>
      <w:u w:val="single"/>
    </w:rPr>
  </w:style>
  <w:style w:type="paragraph" w:styleId="27">
    <w:name w:val="footer"/>
    <w:basedOn w:val="1"/>
    <w:link w:val="79"/>
    <w:qFormat/>
    <w:uiPriority w:val="99"/>
    <w:pPr>
      <w:tabs>
        <w:tab w:val="center" w:pos="4536"/>
        <w:tab w:val="right" w:pos="9072"/>
      </w:tabs>
    </w:pPr>
  </w:style>
  <w:style w:type="character" w:styleId="28">
    <w:name w:val="footnote reference"/>
    <w:basedOn w:val="11"/>
    <w:unhideWhenUsed/>
    <w:qFormat/>
    <w:uiPriority w:val="99"/>
    <w:rPr>
      <w:vertAlign w:val="superscript"/>
    </w:rPr>
  </w:style>
  <w:style w:type="paragraph" w:styleId="29">
    <w:name w:val="footnote text"/>
    <w:basedOn w:val="1"/>
    <w:link w:val="94"/>
    <w:unhideWhenUsed/>
    <w:qFormat/>
    <w:uiPriority w:val="0"/>
    <w:rPr>
      <w:rFonts w:ascii="Calibri" w:hAnsi="Calibri" w:eastAsia="Calibri"/>
      <w:lang w:eastAsia="en-US"/>
    </w:rPr>
  </w:style>
  <w:style w:type="paragraph" w:styleId="30">
    <w:name w:val="header"/>
    <w:basedOn w:val="1"/>
    <w:link w:val="53"/>
    <w:qFormat/>
    <w:uiPriority w:val="0"/>
    <w:pPr>
      <w:tabs>
        <w:tab w:val="center" w:pos="4536"/>
        <w:tab w:val="right" w:pos="9072"/>
      </w:tabs>
    </w:pPr>
  </w:style>
  <w:style w:type="character" w:styleId="31">
    <w:name w:val="Hyperlink"/>
    <w:qFormat/>
    <w:uiPriority w:val="99"/>
    <w:rPr>
      <w:color w:val="0000FF"/>
      <w:u w:val="single"/>
    </w:rPr>
  </w:style>
  <w:style w:type="paragraph" w:styleId="32">
    <w:name w:val="List Bullet"/>
    <w:basedOn w:val="1"/>
    <w:qFormat/>
    <w:uiPriority w:val="99"/>
    <w:pPr>
      <w:numPr>
        <w:ilvl w:val="0"/>
        <w:numId w:val="1"/>
      </w:numPr>
    </w:pPr>
  </w:style>
  <w:style w:type="paragraph" w:styleId="33">
    <w:name w:val="Normal (Web)"/>
    <w:basedOn w:val="1"/>
    <w:link w:val="93"/>
    <w:qFormat/>
    <w:uiPriority w:val="0"/>
    <w:pPr>
      <w:spacing w:before="100" w:beforeAutospacing="1" w:after="100" w:afterAutospacing="1"/>
    </w:pPr>
    <w:rPr>
      <w:sz w:val="24"/>
      <w:szCs w:val="24"/>
    </w:rPr>
  </w:style>
  <w:style w:type="character" w:styleId="34">
    <w:name w:val="page number"/>
    <w:basedOn w:val="11"/>
    <w:qFormat/>
    <w:uiPriority w:val="0"/>
  </w:style>
  <w:style w:type="paragraph" w:styleId="35">
    <w:name w:val="Plain Text"/>
    <w:basedOn w:val="1"/>
    <w:link w:val="49"/>
    <w:qFormat/>
    <w:uiPriority w:val="99"/>
    <w:rPr>
      <w:rFonts w:ascii="Courier New" w:hAnsi="Courier New" w:cs="Courier New"/>
    </w:rPr>
  </w:style>
  <w:style w:type="character" w:styleId="36">
    <w:name w:val="Strong"/>
    <w:basedOn w:val="11"/>
    <w:qFormat/>
    <w:uiPriority w:val="22"/>
    <w:rPr>
      <w:b/>
      <w:bCs/>
    </w:rPr>
  </w:style>
  <w:style w:type="table" w:styleId="37">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8">
    <w:name w:val="toc 1"/>
    <w:basedOn w:val="1"/>
    <w:next w:val="1"/>
    <w:unhideWhenUsed/>
    <w:qFormat/>
    <w:uiPriority w:val="0"/>
    <w:pPr>
      <w:spacing w:after="100" w:line="276" w:lineRule="auto"/>
    </w:pPr>
    <w:rPr>
      <w:rFonts w:ascii="Calibri" w:hAnsi="Calibri"/>
      <w:sz w:val="22"/>
      <w:szCs w:val="22"/>
      <w:lang w:eastAsia="en-US"/>
    </w:rPr>
  </w:style>
  <w:style w:type="paragraph" w:customStyle="1" w:styleId="39">
    <w:name w:val="tyt"/>
    <w:basedOn w:val="1"/>
    <w:qFormat/>
    <w:uiPriority w:val="0"/>
    <w:pPr>
      <w:keepNext/>
      <w:suppressAutoHyphens/>
      <w:spacing w:before="60" w:after="60"/>
      <w:jc w:val="center"/>
    </w:pPr>
    <w:rPr>
      <w:b/>
      <w:sz w:val="24"/>
      <w:lang w:eastAsia="ar-SA"/>
    </w:rPr>
  </w:style>
  <w:style w:type="paragraph" w:styleId="40">
    <w:name w:val="List Paragraph"/>
    <w:basedOn w:val="1"/>
    <w:link w:val="117"/>
    <w:qFormat/>
    <w:uiPriority w:val="0"/>
    <w:pPr>
      <w:ind w:left="708"/>
    </w:pPr>
  </w:style>
  <w:style w:type="character" w:customStyle="1" w:styleId="41">
    <w:name w:val="Tekst podstawowy Znak"/>
    <w:link w:val="14"/>
    <w:qFormat/>
    <w:locked/>
    <w:uiPriority w:val="0"/>
    <w:rPr>
      <w:sz w:val="24"/>
      <w:lang w:val="pl-PL" w:eastAsia="pl-PL" w:bidi="ar-SA"/>
    </w:rPr>
  </w:style>
  <w:style w:type="character" w:customStyle="1" w:styleId="42">
    <w:name w:val="Znak Znak"/>
    <w:qFormat/>
    <w:locked/>
    <w:uiPriority w:val="0"/>
    <w:rPr>
      <w:sz w:val="24"/>
      <w:lang w:val="pl-PL" w:eastAsia="pl-PL" w:bidi="ar-SA"/>
    </w:rPr>
  </w:style>
  <w:style w:type="character" w:customStyle="1" w:styleId="43">
    <w:name w:val="Tekst podstawowy Znak1"/>
    <w:qFormat/>
    <w:locked/>
    <w:uiPriority w:val="0"/>
    <w:rPr>
      <w:sz w:val="24"/>
    </w:rPr>
  </w:style>
  <w:style w:type="character" w:customStyle="1" w:styleId="44">
    <w:name w:val="Tekst podstawowy wcięty 2 Znak"/>
    <w:basedOn w:val="11"/>
    <w:link w:val="18"/>
    <w:qFormat/>
    <w:uiPriority w:val="0"/>
  </w:style>
  <w:style w:type="paragraph" w:customStyle="1" w:styleId="45">
    <w:name w:val="Default"/>
    <w:qFormat/>
    <w:uiPriority w:val="0"/>
    <w:pPr>
      <w:autoSpaceDE w:val="0"/>
      <w:autoSpaceDN w:val="0"/>
      <w:adjustRightInd w:val="0"/>
    </w:pPr>
    <w:rPr>
      <w:rFonts w:ascii="Arial" w:hAnsi="Arial" w:eastAsia="Times New Roman" w:cs="Arial"/>
      <w:color w:val="000000"/>
      <w:sz w:val="24"/>
      <w:szCs w:val="24"/>
      <w:lang w:val="pl-PL" w:eastAsia="pl-PL" w:bidi="ar-SA"/>
    </w:rPr>
  </w:style>
  <w:style w:type="paragraph" w:customStyle="1" w:styleId="46">
    <w:name w:val="Akapit z listą1"/>
    <w:basedOn w:val="1"/>
    <w:link w:val="122"/>
    <w:qFormat/>
    <w:uiPriority w:val="0"/>
    <w:pPr>
      <w:ind w:left="720"/>
      <w:contextualSpacing/>
    </w:pPr>
    <w:rPr>
      <w:rFonts w:eastAsia="Calibri"/>
    </w:rPr>
  </w:style>
  <w:style w:type="character" w:customStyle="1" w:styleId="47">
    <w:name w:val="Nagłówek 2 Znak"/>
    <w:basedOn w:val="11"/>
    <w:link w:val="3"/>
    <w:qFormat/>
    <w:uiPriority w:val="0"/>
    <w:rPr>
      <w:sz w:val="24"/>
    </w:rPr>
  </w:style>
  <w:style w:type="character" w:customStyle="1" w:styleId="48">
    <w:name w:val="Tekst podstawowy 2 Znak"/>
    <w:basedOn w:val="11"/>
    <w:link w:val="15"/>
    <w:qFormat/>
    <w:uiPriority w:val="0"/>
    <w:rPr>
      <w:sz w:val="24"/>
    </w:rPr>
  </w:style>
  <w:style w:type="character" w:customStyle="1" w:styleId="49">
    <w:name w:val="Zwykły tekst Znak"/>
    <w:basedOn w:val="11"/>
    <w:link w:val="35"/>
    <w:qFormat/>
    <w:uiPriority w:val="99"/>
    <w:rPr>
      <w:rFonts w:ascii="Courier New" w:hAnsi="Courier New" w:cs="Courier New"/>
    </w:rPr>
  </w:style>
  <w:style w:type="character" w:customStyle="1" w:styleId="50">
    <w:name w:val="Tekst podstawowy 3 Znak"/>
    <w:basedOn w:val="11"/>
    <w:link w:val="16"/>
    <w:qFormat/>
    <w:uiPriority w:val="0"/>
    <w:rPr>
      <w:sz w:val="16"/>
      <w:szCs w:val="16"/>
    </w:rPr>
  </w:style>
  <w:style w:type="paragraph" w:customStyle="1" w:styleId="51">
    <w:name w:val="Wyliczanie ss"/>
    <w:qFormat/>
    <w:uiPriority w:val="0"/>
    <w:pPr>
      <w:spacing w:before="56" w:after="56"/>
      <w:ind w:left="340" w:hanging="340"/>
    </w:pPr>
    <w:rPr>
      <w:rFonts w:ascii="Times New Roman" w:hAnsi="Times New Roman" w:eastAsia="Times New Roman" w:cs="Times New Roman"/>
      <w:color w:val="000000"/>
      <w:sz w:val="26"/>
      <w:szCs w:val="26"/>
      <w:lang w:val="pl-PL" w:eastAsia="pl-PL" w:bidi="ar-SA"/>
    </w:rPr>
  </w:style>
  <w:style w:type="paragraph" w:customStyle="1" w:styleId="52">
    <w:name w:val="Body Single"/>
    <w:basedOn w:val="1"/>
    <w:qFormat/>
    <w:uiPriority w:val="0"/>
    <w:rPr>
      <w:rFonts w:ascii="Tms Rmn" w:hAnsi="Tms Rmn" w:cs="Tms Rmn"/>
      <w:shadow/>
    </w:rPr>
  </w:style>
  <w:style w:type="character" w:customStyle="1" w:styleId="53">
    <w:name w:val="Nagłówek Znak"/>
    <w:basedOn w:val="11"/>
    <w:link w:val="30"/>
    <w:qFormat/>
    <w:locked/>
    <w:uiPriority w:val="0"/>
  </w:style>
  <w:style w:type="character" w:customStyle="1" w:styleId="54">
    <w:name w:val="tabulatory"/>
    <w:basedOn w:val="11"/>
    <w:qFormat/>
    <w:uiPriority w:val="0"/>
  </w:style>
  <w:style w:type="character" w:customStyle="1" w:styleId="55">
    <w:name w:val="Tekst dymka Znak"/>
    <w:basedOn w:val="11"/>
    <w:link w:val="13"/>
    <w:qFormat/>
    <w:uiPriority w:val="0"/>
    <w:rPr>
      <w:rFonts w:ascii="Tahoma" w:hAnsi="Tahoma" w:cs="Tahoma"/>
      <w:sz w:val="16"/>
      <w:szCs w:val="16"/>
    </w:rPr>
  </w:style>
  <w:style w:type="paragraph" w:customStyle="1" w:styleId="56">
    <w:name w:val="Bez odstępów1"/>
    <w:qFormat/>
    <w:uiPriority w:val="0"/>
    <w:rPr>
      <w:rFonts w:ascii="Calibri" w:hAnsi="Calibri" w:eastAsia="Times New Roman" w:cs="Calibri"/>
      <w:sz w:val="22"/>
      <w:szCs w:val="22"/>
      <w:lang w:val="pl-PL" w:eastAsia="en-US" w:bidi="ar-SA"/>
    </w:rPr>
  </w:style>
  <w:style w:type="paragraph" w:customStyle="1" w:styleId="57">
    <w:name w:val="Kasia"/>
    <w:basedOn w:val="1"/>
    <w:qFormat/>
    <w:uiPriority w:val="0"/>
    <w:pPr>
      <w:tabs>
        <w:tab w:val="left" w:pos="284"/>
      </w:tabs>
      <w:jc w:val="both"/>
    </w:pPr>
    <w:rPr>
      <w:sz w:val="24"/>
      <w:szCs w:val="24"/>
    </w:rPr>
  </w:style>
  <w:style w:type="paragraph" w:customStyle="1" w:styleId="58">
    <w:name w:val="Styl Arial 10 pt Interlinia:  15 wiersza"/>
    <w:basedOn w:val="1"/>
    <w:qFormat/>
    <w:uiPriority w:val="0"/>
    <w:pPr>
      <w:spacing w:line="360" w:lineRule="auto"/>
      <w:jc w:val="both"/>
    </w:pPr>
    <w:rPr>
      <w:rFonts w:ascii="Arial" w:hAnsi="Arial"/>
    </w:rPr>
  </w:style>
  <w:style w:type="table" w:customStyle="1" w:styleId="59">
    <w:name w:val="Table Normal1"/>
    <w:qFormat/>
    <w:uiPriority w:val="0"/>
    <w:pPr>
      <w:pBdr>
        <w:top w:val="none" w:color="auto" w:sz="0" w:space="0"/>
        <w:left w:val="none" w:color="auto" w:sz="0" w:space="0"/>
        <w:bottom w:val="none" w:color="auto" w:sz="0" w:space="0"/>
        <w:right w:val="none" w:color="auto" w:sz="0" w:space="0"/>
        <w:between w:val="none" w:color="auto" w:sz="0" w:space="0"/>
      </w:pBdr>
    </w:pPr>
    <w:rPr>
      <w:rFonts w:eastAsia="Arial Unicode MS"/>
    </w:rPr>
    <w:tblPr>
      <w:tblCellMar>
        <w:top w:w="0" w:type="dxa"/>
        <w:left w:w="0" w:type="dxa"/>
        <w:bottom w:w="0" w:type="dxa"/>
        <w:right w:w="0" w:type="dxa"/>
      </w:tblCellMar>
    </w:tblPr>
  </w:style>
  <w:style w:type="character" w:customStyle="1" w:styleId="60">
    <w:name w:val="Tekst komentarza Znak"/>
    <w:basedOn w:val="11"/>
    <w:link w:val="21"/>
    <w:qFormat/>
    <w:uiPriority w:val="0"/>
    <w:rPr>
      <w:rFonts w:hAnsi="Arial Unicode MS" w:eastAsia="Arial Unicode MS" w:cs="Arial Unicode MS"/>
      <w:color w:val="000000"/>
      <w:u w:color="000000"/>
    </w:rPr>
  </w:style>
  <w:style w:type="character" w:customStyle="1" w:styleId="61">
    <w:name w:val="Temat komentarza Znak"/>
    <w:basedOn w:val="60"/>
    <w:link w:val="22"/>
    <w:qFormat/>
    <w:uiPriority w:val="0"/>
    <w:rPr>
      <w:rFonts w:hAnsi="Arial Unicode MS" w:eastAsia="Arial Unicode MS" w:cs="Arial Unicode MS"/>
      <w:b/>
      <w:bCs/>
      <w:color w:val="000000"/>
      <w:u w:color="000000"/>
    </w:rPr>
  </w:style>
  <w:style w:type="character" w:customStyle="1" w:styleId="62">
    <w:name w:val="Nagłówek 3 Znak"/>
    <w:basedOn w:val="11"/>
    <w:link w:val="4"/>
    <w:qFormat/>
    <w:uiPriority w:val="99"/>
    <w:rPr>
      <w:rFonts w:asciiTheme="majorHAnsi" w:hAnsiTheme="majorHAnsi" w:eastAsiaTheme="majorEastAsia" w:cstheme="majorBidi"/>
      <w:b/>
      <w:bCs/>
      <w:color w:val="4F81BD" w:themeColor="accent1"/>
    </w:rPr>
  </w:style>
  <w:style w:type="character" w:customStyle="1" w:styleId="63">
    <w:name w:val="Nagłówek 4 Znak"/>
    <w:basedOn w:val="11"/>
    <w:link w:val="5"/>
    <w:qFormat/>
    <w:uiPriority w:val="0"/>
    <w:rPr>
      <w:rFonts w:asciiTheme="majorHAnsi" w:hAnsiTheme="majorHAnsi" w:eastAsiaTheme="majorEastAsia" w:cstheme="majorBidi"/>
      <w:b/>
      <w:bCs/>
      <w:i/>
      <w:iCs/>
      <w:color w:val="4F81BD" w:themeColor="accent1"/>
    </w:rPr>
  </w:style>
  <w:style w:type="character" w:customStyle="1" w:styleId="64">
    <w:name w:val="Nagłówek 1 Znak"/>
    <w:basedOn w:val="11"/>
    <w:link w:val="2"/>
    <w:qFormat/>
    <w:uiPriority w:val="0"/>
    <w:rPr>
      <w:rFonts w:ascii="Arial" w:hAnsi="Arial"/>
      <w:b/>
      <w:caps/>
      <w:kern w:val="28"/>
      <w:sz w:val="24"/>
      <w:u w:val="single"/>
    </w:rPr>
  </w:style>
  <w:style w:type="character" w:customStyle="1" w:styleId="65">
    <w:name w:val="Nagłówek 5 Znak"/>
    <w:basedOn w:val="11"/>
    <w:link w:val="6"/>
    <w:qFormat/>
    <w:uiPriority w:val="0"/>
    <w:rPr>
      <w:rFonts w:ascii="Arial" w:hAnsi="Arial"/>
      <w:lang w:eastAsia="ar-SA"/>
    </w:rPr>
  </w:style>
  <w:style w:type="character" w:customStyle="1" w:styleId="66">
    <w:name w:val="Nagłówek 6 Znak"/>
    <w:basedOn w:val="11"/>
    <w:link w:val="7"/>
    <w:qFormat/>
    <w:uiPriority w:val="99"/>
    <w:rPr>
      <w:rFonts w:ascii="Arial" w:hAnsi="Arial"/>
      <w:i/>
      <w:sz w:val="22"/>
      <w:szCs w:val="24"/>
      <w:lang w:eastAsia="ar-SA"/>
    </w:rPr>
  </w:style>
  <w:style w:type="character" w:customStyle="1" w:styleId="67">
    <w:name w:val="Nagłówek 7 Znak"/>
    <w:basedOn w:val="11"/>
    <w:link w:val="8"/>
    <w:qFormat/>
    <w:uiPriority w:val="99"/>
    <w:rPr>
      <w:sz w:val="24"/>
    </w:rPr>
  </w:style>
  <w:style w:type="character" w:customStyle="1" w:styleId="68">
    <w:name w:val="Nagłówek 8 Znak"/>
    <w:basedOn w:val="11"/>
    <w:link w:val="9"/>
    <w:qFormat/>
    <w:uiPriority w:val="99"/>
    <w:rPr>
      <w:i/>
      <w:sz w:val="24"/>
    </w:rPr>
  </w:style>
  <w:style w:type="character" w:customStyle="1" w:styleId="69">
    <w:name w:val="Nagłówek 9 Znak"/>
    <w:basedOn w:val="11"/>
    <w:link w:val="10"/>
    <w:qFormat/>
    <w:uiPriority w:val="99"/>
    <w:rPr>
      <w:i/>
      <w:sz w:val="18"/>
    </w:rPr>
  </w:style>
  <w:style w:type="paragraph" w:customStyle="1" w:styleId="70">
    <w:name w:val="A_tekst ROOS"/>
    <w:basedOn w:val="1"/>
    <w:next w:val="1"/>
    <w:link w:val="71"/>
    <w:qFormat/>
    <w:uiPriority w:val="99"/>
    <w:pPr>
      <w:numPr>
        <w:ilvl w:val="0"/>
        <w:numId w:val="2"/>
      </w:numPr>
      <w:tabs>
        <w:tab w:val="left" w:pos="284"/>
      </w:tabs>
      <w:spacing w:before="100" w:beforeAutospacing="1" w:after="100" w:afterAutospacing="1"/>
      <w:ind w:left="0" w:firstLine="284"/>
      <w:jc w:val="both"/>
    </w:pPr>
    <w:rPr>
      <w:rFonts w:ascii="Arial" w:hAnsi="Arial"/>
      <w:szCs w:val="24"/>
    </w:rPr>
  </w:style>
  <w:style w:type="character" w:customStyle="1" w:styleId="71">
    <w:name w:val="A_tekst ROOS Znak"/>
    <w:link w:val="70"/>
    <w:qFormat/>
    <w:uiPriority w:val="99"/>
    <w:rPr>
      <w:rFonts w:ascii="Arial" w:hAnsi="Arial"/>
      <w:szCs w:val="24"/>
    </w:rPr>
  </w:style>
  <w:style w:type="paragraph" w:customStyle="1" w:styleId="72">
    <w:name w:val="1_wyliczenie _ROOS"/>
    <w:basedOn w:val="1"/>
    <w:link w:val="73"/>
    <w:qFormat/>
    <w:uiPriority w:val="0"/>
    <w:pPr>
      <w:widowControl w:val="0"/>
      <w:numPr>
        <w:ilvl w:val="0"/>
        <w:numId w:val="3"/>
      </w:numPr>
    </w:pPr>
    <w:rPr>
      <w:rFonts w:ascii="Arial" w:hAnsi="Arial" w:eastAsia="Lucida Sans Unicode"/>
      <w:szCs w:val="16"/>
      <w:lang w:eastAsia="ar-SA"/>
    </w:rPr>
  </w:style>
  <w:style w:type="character" w:customStyle="1" w:styleId="73">
    <w:name w:val="1_wyliczenie _ROOS Znak"/>
    <w:link w:val="72"/>
    <w:qFormat/>
    <w:uiPriority w:val="0"/>
    <w:rPr>
      <w:rFonts w:ascii="Arial" w:hAnsi="Arial" w:eastAsia="Lucida Sans Unicode"/>
      <w:szCs w:val="16"/>
      <w:lang w:eastAsia="ar-SA"/>
    </w:rPr>
  </w:style>
  <w:style w:type="character" w:customStyle="1" w:styleId="74">
    <w:name w:val="Odwołanie do komentarza3"/>
    <w:qFormat/>
    <w:uiPriority w:val="0"/>
    <w:rPr>
      <w:sz w:val="16"/>
      <w:szCs w:val="16"/>
    </w:rPr>
  </w:style>
  <w:style w:type="paragraph" w:customStyle="1" w:styleId="75">
    <w:name w:val="Styl Punkt Wieksze"/>
    <w:qFormat/>
    <w:uiPriority w:val="0"/>
    <w:pPr>
      <w:numPr>
        <w:ilvl w:val="0"/>
        <w:numId w:val="4"/>
      </w:numPr>
      <w:tabs>
        <w:tab w:val="left" w:pos="397"/>
      </w:tabs>
      <w:suppressAutoHyphens/>
      <w:spacing w:line="360" w:lineRule="auto"/>
    </w:pPr>
    <w:rPr>
      <w:rFonts w:ascii="Times New Roman" w:hAnsi="Times New Roman" w:eastAsia="Arial" w:cs="Times New Roman"/>
      <w:sz w:val="24"/>
      <w:szCs w:val="24"/>
      <w:lang w:val="pl-PL" w:eastAsia="zh-CN" w:bidi="ar-SA"/>
    </w:rPr>
  </w:style>
  <w:style w:type="character" w:customStyle="1" w:styleId="76">
    <w:name w:val="Odwołanie do komentarza2"/>
    <w:basedOn w:val="11"/>
    <w:qFormat/>
    <w:uiPriority w:val="0"/>
    <w:rPr>
      <w:sz w:val="16"/>
      <w:szCs w:val="16"/>
    </w:rPr>
  </w:style>
  <w:style w:type="paragraph" w:customStyle="1" w:styleId="77">
    <w:name w:val="parametry"/>
    <w:basedOn w:val="1"/>
    <w:qFormat/>
    <w:uiPriority w:val="0"/>
    <w:pPr>
      <w:tabs>
        <w:tab w:val="right" w:pos="6804"/>
      </w:tabs>
      <w:suppressAutoHyphens/>
      <w:spacing w:before="120" w:after="240" w:line="360" w:lineRule="auto"/>
      <w:jc w:val="both"/>
    </w:pPr>
    <w:rPr>
      <w:sz w:val="24"/>
      <w:szCs w:val="24"/>
      <w:lang w:eastAsia="zh-CN"/>
    </w:rPr>
  </w:style>
  <w:style w:type="paragraph" w:customStyle="1" w:styleId="78">
    <w:name w:val="Normalny (Web)1"/>
    <w:basedOn w:val="1"/>
    <w:qFormat/>
    <w:uiPriority w:val="0"/>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79">
    <w:name w:val="Stopka Znak"/>
    <w:basedOn w:val="11"/>
    <w:link w:val="27"/>
    <w:qFormat/>
    <w:uiPriority w:val="99"/>
  </w:style>
  <w:style w:type="character" w:customStyle="1" w:styleId="80">
    <w:name w:val="Tekst podstawowy wcięty 3 Znak"/>
    <w:basedOn w:val="11"/>
    <w:link w:val="19"/>
    <w:qFormat/>
    <w:uiPriority w:val="0"/>
    <w:rPr>
      <w:sz w:val="16"/>
      <w:szCs w:val="16"/>
    </w:rPr>
  </w:style>
  <w:style w:type="character" w:customStyle="1" w:styleId="81">
    <w:name w:val="Body Text Char"/>
    <w:qFormat/>
    <w:locked/>
    <w:uiPriority w:val="0"/>
    <w:rPr>
      <w:rFonts w:ascii="Times New Roman" w:hAnsi="Times New Roman"/>
      <w:sz w:val="20"/>
      <w:lang w:eastAsia="pl-PL"/>
    </w:rPr>
  </w:style>
  <w:style w:type="paragraph" w:customStyle="1" w:styleId="82">
    <w:name w:val="A_tabela_ROOS"/>
    <w:basedOn w:val="1"/>
    <w:link w:val="83"/>
    <w:qFormat/>
    <w:uiPriority w:val="0"/>
    <w:pPr>
      <w:tabs>
        <w:tab w:val="left" w:pos="284"/>
      </w:tabs>
      <w:spacing w:beforeAutospacing="1" w:afterAutospacing="1"/>
      <w:jc w:val="center"/>
    </w:pPr>
    <w:rPr>
      <w:rFonts w:ascii="Arial" w:hAnsi="Arial"/>
      <w:iCs/>
      <w:sz w:val="18"/>
      <w:szCs w:val="24"/>
    </w:rPr>
  </w:style>
  <w:style w:type="character" w:customStyle="1" w:styleId="83">
    <w:name w:val="A_tabela_ROOS Znak"/>
    <w:link w:val="82"/>
    <w:qFormat/>
    <w:uiPriority w:val="0"/>
    <w:rPr>
      <w:rFonts w:ascii="Arial" w:hAnsi="Arial"/>
      <w:iCs/>
      <w:sz w:val="18"/>
      <w:szCs w:val="24"/>
    </w:rPr>
  </w:style>
  <w:style w:type="paragraph" w:customStyle="1" w:styleId="84">
    <w:name w:val="– wyliczanie Znak"/>
    <w:basedOn w:val="1"/>
    <w:qFormat/>
    <w:uiPriority w:val="0"/>
    <w:pPr>
      <w:widowControl w:val="0"/>
      <w:numPr>
        <w:ilvl w:val="0"/>
        <w:numId w:val="5"/>
      </w:numPr>
      <w:spacing w:line="360" w:lineRule="auto"/>
    </w:pPr>
    <w:rPr>
      <w:rFonts w:ascii="Arial" w:hAnsi="Arial" w:eastAsia="Lucida Sans Unicode"/>
      <w:sz w:val="22"/>
      <w:szCs w:val="22"/>
      <w:lang w:eastAsia="ar-SA"/>
    </w:rPr>
  </w:style>
  <w:style w:type="character" w:customStyle="1" w:styleId="85">
    <w:name w:val="Odwołanie do komentarza4"/>
    <w:qFormat/>
    <w:uiPriority w:val="0"/>
    <w:rPr>
      <w:sz w:val="16"/>
      <w:szCs w:val="16"/>
    </w:rPr>
  </w:style>
  <w:style w:type="character" w:customStyle="1" w:styleId="86">
    <w:name w:val="Mapa dokumentu Znak"/>
    <w:basedOn w:val="11"/>
    <w:link w:val="23"/>
    <w:qFormat/>
    <w:uiPriority w:val="0"/>
    <w:rPr>
      <w:rFonts w:ascii="Tahoma" w:hAnsi="Tahoma" w:cs="Tahoma"/>
      <w:shd w:val="clear" w:color="auto" w:fill="000080"/>
    </w:rPr>
  </w:style>
  <w:style w:type="character" w:customStyle="1" w:styleId="87">
    <w:name w:val="Znak Znak11"/>
    <w:qFormat/>
    <w:uiPriority w:val="0"/>
    <w:rPr>
      <w:rFonts w:ascii="Cambria" w:hAnsi="Cambria"/>
      <w:b/>
      <w:bCs/>
      <w:color w:val="365F91"/>
      <w:sz w:val="28"/>
      <w:szCs w:val="28"/>
      <w:lang w:val="pl-PL" w:eastAsia="en-US" w:bidi="ar-SA"/>
    </w:rPr>
  </w:style>
  <w:style w:type="character" w:customStyle="1" w:styleId="88">
    <w:name w:val="Znak Znak10"/>
    <w:qFormat/>
    <w:uiPriority w:val="0"/>
    <w:rPr>
      <w:sz w:val="24"/>
      <w:szCs w:val="24"/>
      <w:lang w:val="pl-PL" w:eastAsia="ar-SA" w:bidi="ar-SA"/>
    </w:rPr>
  </w:style>
  <w:style w:type="paragraph" w:customStyle="1" w:styleId="89">
    <w:name w:val="numerowanie"/>
    <w:basedOn w:val="1"/>
    <w:qFormat/>
    <w:uiPriority w:val="0"/>
    <w:pPr>
      <w:numPr>
        <w:ilvl w:val="2"/>
        <w:numId w:val="6"/>
      </w:numPr>
      <w:tabs>
        <w:tab w:val="left" w:pos="851"/>
      </w:tabs>
      <w:spacing w:before="120" w:after="120" w:line="360" w:lineRule="auto"/>
      <w:jc w:val="both"/>
    </w:pPr>
    <w:rPr>
      <w:sz w:val="24"/>
      <w:szCs w:val="24"/>
    </w:rPr>
  </w:style>
  <w:style w:type="character" w:customStyle="1" w:styleId="90">
    <w:name w:val="Tekst podstawowy wcięty Znak"/>
    <w:basedOn w:val="11"/>
    <w:link w:val="17"/>
    <w:qFormat/>
    <w:uiPriority w:val="0"/>
    <w:rPr>
      <w:rFonts w:ascii="Calibri" w:hAnsi="Calibri" w:eastAsia="Calibri"/>
      <w:sz w:val="22"/>
      <w:szCs w:val="22"/>
      <w:lang w:eastAsia="en-US"/>
    </w:rPr>
  </w:style>
  <w:style w:type="paragraph" w:customStyle="1" w:styleId="91">
    <w:name w:val="Revision"/>
    <w:hidden/>
    <w:semiHidden/>
    <w:qFormat/>
    <w:uiPriority w:val="0"/>
    <w:rPr>
      <w:rFonts w:ascii="Calibri" w:hAnsi="Calibri" w:eastAsia="Calibri" w:cs="Times New Roman"/>
      <w:sz w:val="22"/>
      <w:szCs w:val="22"/>
      <w:lang w:val="pl-PL" w:eastAsia="en-US" w:bidi="ar-SA"/>
    </w:rPr>
  </w:style>
  <w:style w:type="paragraph" w:customStyle="1" w:styleId="92">
    <w:name w:val="tekst ost"/>
    <w:basedOn w:val="1"/>
    <w:qFormat/>
    <w:uiPriority w:val="0"/>
    <w:pPr>
      <w:overflowPunct w:val="0"/>
      <w:autoSpaceDE w:val="0"/>
      <w:autoSpaceDN w:val="0"/>
      <w:adjustRightInd w:val="0"/>
      <w:jc w:val="both"/>
      <w:textAlignment w:val="baseline"/>
    </w:pPr>
  </w:style>
  <w:style w:type="character" w:customStyle="1" w:styleId="93">
    <w:name w:val="Normalny (Web) Znak"/>
    <w:link w:val="33"/>
    <w:qFormat/>
    <w:locked/>
    <w:uiPriority w:val="0"/>
    <w:rPr>
      <w:sz w:val="24"/>
      <w:szCs w:val="24"/>
    </w:rPr>
  </w:style>
  <w:style w:type="character" w:customStyle="1" w:styleId="94">
    <w:name w:val="Tekst przypisu dolnego Znak"/>
    <w:basedOn w:val="11"/>
    <w:link w:val="29"/>
    <w:qFormat/>
    <w:uiPriority w:val="0"/>
    <w:rPr>
      <w:rFonts w:ascii="Calibri" w:hAnsi="Calibri" w:eastAsia="Calibri"/>
      <w:lang w:eastAsia="en-US"/>
    </w:rPr>
  </w:style>
  <w:style w:type="paragraph" w:customStyle="1" w:styleId="95">
    <w:name w:val="TOC Heading"/>
    <w:basedOn w:val="2"/>
    <w:next w:val="1"/>
    <w:qFormat/>
    <w:uiPriority w:val="0"/>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character" w:customStyle="1" w:styleId="96">
    <w:name w:val="Tekst przypisu końcowego Znak"/>
    <w:basedOn w:val="11"/>
    <w:link w:val="25"/>
    <w:qFormat/>
    <w:uiPriority w:val="0"/>
    <w:rPr>
      <w:rFonts w:ascii="Calibri" w:hAnsi="Calibri" w:eastAsia="Calibri"/>
      <w:lang w:eastAsia="en-US"/>
    </w:rPr>
  </w:style>
  <w:style w:type="paragraph" w:customStyle="1" w:styleId="97">
    <w:name w:val="WW-Normalny (Web)"/>
    <w:basedOn w:val="1"/>
    <w:qFormat/>
    <w:uiPriority w:val="0"/>
    <w:pPr>
      <w:suppressAutoHyphens/>
      <w:spacing w:before="100" w:after="119"/>
    </w:pPr>
    <w:rPr>
      <w:rFonts w:ascii="Arial Unicode MS" w:hAnsi="Arial Unicode MS" w:eastAsia="Arial Unicode MS"/>
      <w:sz w:val="24"/>
    </w:rPr>
  </w:style>
  <w:style w:type="character" w:customStyle="1" w:styleId="98">
    <w:name w:val="plainlinks"/>
    <w:basedOn w:val="11"/>
    <w:qFormat/>
    <w:uiPriority w:val="0"/>
  </w:style>
  <w:style w:type="character" w:customStyle="1" w:styleId="99">
    <w:name w:val="st1"/>
    <w:basedOn w:val="11"/>
    <w:qFormat/>
    <w:uiPriority w:val="0"/>
  </w:style>
  <w:style w:type="paragraph" w:customStyle="1" w:styleId="100">
    <w:name w:val="NormalBold"/>
    <w:basedOn w:val="1"/>
    <w:link w:val="101"/>
    <w:qFormat/>
    <w:uiPriority w:val="0"/>
    <w:pPr>
      <w:widowControl w:val="0"/>
    </w:pPr>
    <w:rPr>
      <w:b/>
      <w:sz w:val="24"/>
      <w:lang w:eastAsia="en-GB"/>
    </w:rPr>
  </w:style>
  <w:style w:type="character" w:customStyle="1" w:styleId="101">
    <w:name w:val="NormalBold Char"/>
    <w:link w:val="100"/>
    <w:qFormat/>
    <w:locked/>
    <w:uiPriority w:val="0"/>
    <w:rPr>
      <w:b/>
      <w:sz w:val="24"/>
      <w:lang w:eastAsia="en-GB"/>
    </w:rPr>
  </w:style>
  <w:style w:type="character" w:customStyle="1" w:styleId="102">
    <w:name w:val="DeltaView Insertion"/>
    <w:qFormat/>
    <w:uiPriority w:val="0"/>
    <w:rPr>
      <w:b/>
      <w:i/>
      <w:spacing w:val="0"/>
    </w:rPr>
  </w:style>
  <w:style w:type="paragraph" w:customStyle="1" w:styleId="103">
    <w:name w:val="Text 1"/>
    <w:basedOn w:val="1"/>
    <w:qFormat/>
    <w:uiPriority w:val="0"/>
    <w:pPr>
      <w:spacing w:before="120" w:after="120"/>
      <w:ind w:left="850"/>
      <w:jc w:val="both"/>
    </w:pPr>
    <w:rPr>
      <w:rFonts w:eastAsia="Calibri"/>
      <w:sz w:val="24"/>
      <w:szCs w:val="22"/>
      <w:lang w:eastAsia="en-GB"/>
    </w:rPr>
  </w:style>
  <w:style w:type="paragraph" w:customStyle="1" w:styleId="104">
    <w:name w:val="Normal Left"/>
    <w:basedOn w:val="1"/>
    <w:qFormat/>
    <w:uiPriority w:val="0"/>
    <w:pPr>
      <w:spacing w:before="120" w:after="120"/>
    </w:pPr>
    <w:rPr>
      <w:rFonts w:eastAsia="Calibri"/>
      <w:sz w:val="24"/>
      <w:szCs w:val="22"/>
      <w:lang w:eastAsia="en-GB"/>
    </w:rPr>
  </w:style>
  <w:style w:type="paragraph" w:customStyle="1" w:styleId="105">
    <w:name w:val="Tiret 0"/>
    <w:basedOn w:val="1"/>
    <w:qFormat/>
    <w:uiPriority w:val="0"/>
    <w:pPr>
      <w:numPr>
        <w:ilvl w:val="0"/>
        <w:numId w:val="7"/>
      </w:numPr>
      <w:spacing w:before="120" w:after="120"/>
      <w:jc w:val="both"/>
    </w:pPr>
    <w:rPr>
      <w:rFonts w:eastAsia="Calibri"/>
      <w:sz w:val="24"/>
      <w:szCs w:val="22"/>
      <w:lang w:eastAsia="en-GB"/>
    </w:rPr>
  </w:style>
  <w:style w:type="paragraph" w:customStyle="1" w:styleId="106">
    <w:name w:val="Tiret 1"/>
    <w:basedOn w:val="1"/>
    <w:qFormat/>
    <w:uiPriority w:val="0"/>
    <w:pPr>
      <w:numPr>
        <w:ilvl w:val="0"/>
        <w:numId w:val="8"/>
      </w:numPr>
      <w:spacing w:before="120" w:after="120"/>
      <w:jc w:val="both"/>
    </w:pPr>
    <w:rPr>
      <w:rFonts w:eastAsia="Calibri"/>
      <w:sz w:val="24"/>
      <w:szCs w:val="22"/>
      <w:lang w:eastAsia="en-GB"/>
    </w:rPr>
  </w:style>
  <w:style w:type="paragraph" w:customStyle="1" w:styleId="107">
    <w:name w:val="NumPar 1"/>
    <w:basedOn w:val="1"/>
    <w:next w:val="103"/>
    <w:qFormat/>
    <w:uiPriority w:val="0"/>
    <w:pPr>
      <w:numPr>
        <w:ilvl w:val="0"/>
        <w:numId w:val="9"/>
      </w:numPr>
      <w:spacing w:before="120" w:after="120"/>
      <w:jc w:val="both"/>
    </w:pPr>
    <w:rPr>
      <w:rFonts w:eastAsia="Calibri"/>
      <w:sz w:val="24"/>
      <w:szCs w:val="22"/>
      <w:lang w:eastAsia="en-GB"/>
    </w:rPr>
  </w:style>
  <w:style w:type="paragraph" w:customStyle="1" w:styleId="108">
    <w:name w:val="NumPar 2"/>
    <w:basedOn w:val="1"/>
    <w:next w:val="103"/>
    <w:qFormat/>
    <w:uiPriority w:val="0"/>
    <w:pPr>
      <w:numPr>
        <w:ilvl w:val="1"/>
        <w:numId w:val="9"/>
      </w:numPr>
      <w:spacing w:before="120" w:after="120"/>
      <w:jc w:val="both"/>
    </w:pPr>
    <w:rPr>
      <w:rFonts w:eastAsia="Calibri"/>
      <w:sz w:val="24"/>
      <w:szCs w:val="22"/>
      <w:lang w:eastAsia="en-GB"/>
    </w:rPr>
  </w:style>
  <w:style w:type="paragraph" w:customStyle="1" w:styleId="109">
    <w:name w:val="NumPar 3"/>
    <w:basedOn w:val="1"/>
    <w:next w:val="103"/>
    <w:qFormat/>
    <w:uiPriority w:val="0"/>
    <w:pPr>
      <w:numPr>
        <w:ilvl w:val="2"/>
        <w:numId w:val="9"/>
      </w:numPr>
      <w:spacing w:before="120" w:after="120"/>
      <w:jc w:val="both"/>
    </w:pPr>
    <w:rPr>
      <w:rFonts w:eastAsia="Calibri"/>
      <w:sz w:val="24"/>
      <w:szCs w:val="22"/>
      <w:lang w:eastAsia="en-GB"/>
    </w:rPr>
  </w:style>
  <w:style w:type="paragraph" w:customStyle="1" w:styleId="110">
    <w:name w:val="NumPar 4"/>
    <w:basedOn w:val="1"/>
    <w:next w:val="103"/>
    <w:qFormat/>
    <w:uiPriority w:val="0"/>
    <w:pPr>
      <w:numPr>
        <w:ilvl w:val="3"/>
        <w:numId w:val="9"/>
      </w:numPr>
      <w:spacing w:before="120" w:after="120"/>
      <w:jc w:val="both"/>
    </w:pPr>
    <w:rPr>
      <w:rFonts w:eastAsia="Calibri"/>
      <w:sz w:val="24"/>
      <w:szCs w:val="22"/>
      <w:lang w:eastAsia="en-GB"/>
    </w:rPr>
  </w:style>
  <w:style w:type="paragraph" w:customStyle="1" w:styleId="111">
    <w:name w:val="ChapterTitle"/>
    <w:basedOn w:val="1"/>
    <w:next w:val="1"/>
    <w:qFormat/>
    <w:uiPriority w:val="0"/>
    <w:pPr>
      <w:keepNext/>
      <w:spacing w:before="120" w:after="360"/>
      <w:jc w:val="center"/>
    </w:pPr>
    <w:rPr>
      <w:rFonts w:eastAsia="Calibri"/>
      <w:b/>
      <w:sz w:val="32"/>
      <w:szCs w:val="22"/>
      <w:lang w:eastAsia="en-GB"/>
    </w:rPr>
  </w:style>
  <w:style w:type="paragraph" w:customStyle="1" w:styleId="112">
    <w:name w:val="SectionTitle"/>
    <w:basedOn w:val="1"/>
    <w:next w:val="2"/>
    <w:qFormat/>
    <w:uiPriority w:val="0"/>
    <w:pPr>
      <w:keepNext/>
      <w:spacing w:before="120" w:after="360"/>
      <w:jc w:val="center"/>
    </w:pPr>
    <w:rPr>
      <w:rFonts w:eastAsia="Calibri"/>
      <w:b/>
      <w:smallCaps/>
      <w:sz w:val="28"/>
      <w:szCs w:val="22"/>
      <w:lang w:eastAsia="en-GB"/>
    </w:rPr>
  </w:style>
  <w:style w:type="paragraph" w:customStyle="1" w:styleId="113">
    <w:name w:val="Annexe titre"/>
    <w:basedOn w:val="1"/>
    <w:next w:val="1"/>
    <w:qFormat/>
    <w:uiPriority w:val="0"/>
    <w:pPr>
      <w:spacing w:before="120" w:after="120"/>
      <w:jc w:val="center"/>
    </w:pPr>
    <w:rPr>
      <w:rFonts w:eastAsia="Calibri"/>
      <w:b/>
      <w:sz w:val="24"/>
      <w:szCs w:val="22"/>
      <w:u w:val="single"/>
      <w:lang w:eastAsia="en-GB"/>
    </w:rPr>
  </w:style>
  <w:style w:type="character" w:customStyle="1" w:styleId="114">
    <w:name w:val="List Paragraph Char"/>
    <w:link w:val="115"/>
    <w:qFormat/>
    <w:locked/>
    <w:uiPriority w:val="0"/>
  </w:style>
  <w:style w:type="paragraph" w:customStyle="1" w:styleId="115">
    <w:name w:val="Akapit z listą2"/>
    <w:basedOn w:val="1"/>
    <w:link w:val="114"/>
    <w:qFormat/>
    <w:uiPriority w:val="0"/>
    <w:pPr>
      <w:ind w:left="708"/>
    </w:pPr>
  </w:style>
  <w:style w:type="paragraph" w:customStyle="1" w:styleId="116">
    <w:name w:val="Akapit z listą3"/>
    <w:basedOn w:val="1"/>
    <w:qFormat/>
    <w:uiPriority w:val="0"/>
    <w:pPr>
      <w:ind w:left="708"/>
    </w:pPr>
  </w:style>
  <w:style w:type="character" w:customStyle="1" w:styleId="117">
    <w:name w:val="Akapit z listą Znak"/>
    <w:link w:val="40"/>
    <w:qFormat/>
    <w:locked/>
    <w:uiPriority w:val="0"/>
  </w:style>
  <w:style w:type="paragraph" w:customStyle="1" w:styleId="118">
    <w:name w:val="Akapit z listą4"/>
    <w:basedOn w:val="1"/>
    <w:qFormat/>
    <w:uiPriority w:val="99"/>
    <w:pPr>
      <w:ind w:left="708"/>
    </w:pPr>
  </w:style>
  <w:style w:type="character" w:customStyle="1" w:styleId="119">
    <w:name w:val="Nierozpoznana wzmianka1"/>
    <w:basedOn w:val="11"/>
    <w:semiHidden/>
    <w:unhideWhenUsed/>
    <w:qFormat/>
    <w:uiPriority w:val="99"/>
    <w:rPr>
      <w:color w:val="605E5C"/>
      <w:shd w:val="clear" w:color="auto" w:fill="E1DFDD"/>
    </w:rPr>
  </w:style>
  <w:style w:type="character" w:customStyle="1" w:styleId="120">
    <w:name w:val="Nierozpoznana wzmianka2"/>
    <w:basedOn w:val="11"/>
    <w:semiHidden/>
    <w:unhideWhenUsed/>
    <w:qFormat/>
    <w:uiPriority w:val="99"/>
    <w:rPr>
      <w:color w:val="605E5C"/>
      <w:shd w:val="clear" w:color="auto" w:fill="E1DFDD"/>
    </w:rPr>
  </w:style>
  <w:style w:type="paragraph" w:customStyle="1" w:styleId="121">
    <w:name w:val="Standard"/>
    <w:qFormat/>
    <w:uiPriority w:val="0"/>
    <w:pPr>
      <w:suppressAutoHyphens/>
      <w:autoSpaceDN w:val="0"/>
      <w:textAlignment w:val="baseline"/>
    </w:pPr>
    <w:rPr>
      <w:rFonts w:ascii="Times New Roman" w:hAnsi="Times New Roman" w:eastAsia="Times New Roman" w:cs="Times New Roman"/>
      <w:kern w:val="3"/>
      <w:lang w:val="pl-PL" w:eastAsia="zh-CN" w:bidi="ar-SA"/>
    </w:rPr>
  </w:style>
  <w:style w:type="character" w:customStyle="1" w:styleId="122">
    <w:name w:val="List Paragraph Char1"/>
    <w:link w:val="46"/>
    <w:qFormat/>
    <w:locked/>
    <w:uiPriority w:val="0"/>
    <w:rPr>
      <w:rFonts w:eastAsia="Calibri"/>
    </w:rPr>
  </w:style>
  <w:style w:type="character" w:customStyle="1" w:styleId="123">
    <w:name w:val="Łącze internetowe"/>
    <w:qFormat/>
    <w:uiPriority w:val="0"/>
    <w:rPr>
      <w:color w:val="0000FF"/>
      <w:u w:val="single"/>
    </w:rPr>
  </w:style>
  <w:style w:type="character" w:customStyle="1" w:styleId="124">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F0853-B024-46E6-9D94-296E00DB4C37}">
  <ds:schemaRefs/>
</ds:datastoreItem>
</file>

<file path=docProps/app.xml><?xml version="1.0" encoding="utf-8"?>
<Properties xmlns="http://schemas.openxmlformats.org/officeDocument/2006/extended-properties" xmlns:vt="http://schemas.openxmlformats.org/officeDocument/2006/docPropsVTypes">
  <Template>Normal.dotm</Template>
  <Pages>25</Pages>
  <Words>9699</Words>
  <Characters>58195</Characters>
  <Lines>484</Lines>
  <Paragraphs>135</Paragraphs>
  <TotalTime>51</TotalTime>
  <ScaleCrop>false</ScaleCrop>
  <LinksUpToDate>false</LinksUpToDate>
  <CharactersWithSpaces>67759</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2016-07-05T13:17:00Z</dcterms:created>
  <dc:creator>Grzegorz</dc:creator>
  <cp:lastModifiedBy>UMiG</cp:lastModifiedBy>
  <cp:lastPrinted>2023-09-18T09:29:00Z</cp:lastPrinted>
  <dcterms:modified xsi:type="dcterms:W3CDTF">2023-09-19T08:26:33Z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1045-12.2.0.13215</vt:lpwstr>
  </property>
  <property fmtid="{D5CDD505-2E9C-101B-9397-08002B2CF9AE}" pid="3" name="ICV">
    <vt:lpwstr>553384C1024145BCAFA8298A4BB3B1B4_12</vt:lpwstr>
  </property>
</Properties>
</file>