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3DEC1" w14:textId="05411078" w:rsidR="0095537D" w:rsidRPr="00105C47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4C71FDD3" w:rsidR="0095537D" w:rsidRPr="00105C47" w:rsidRDefault="006524D6" w:rsidP="002920BB">
      <w:pPr>
        <w:pStyle w:val="Nagwek1"/>
        <w:ind w:right="91"/>
        <w:jc w:val="both"/>
      </w:pPr>
      <w:r w:rsidRPr="00105C47">
        <w:t>OPIS PR</w:t>
      </w:r>
      <w:r w:rsidR="00A46452">
        <w:t xml:space="preserve">ZEDMIOTU ZAMÓWIENIA </w:t>
      </w:r>
      <w:r w:rsidR="007278B2">
        <w:t xml:space="preserve">– CZEŚĆ NR </w:t>
      </w:r>
      <w:r w:rsidR="004877BD">
        <w:t>2</w:t>
      </w:r>
    </w:p>
    <w:p w14:paraId="2AB52B6D" w14:textId="77777777" w:rsidR="00E44E82" w:rsidRDefault="006524D6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48675E18" w14:textId="695BACAC" w:rsidR="006A5382" w:rsidRPr="002F23FD" w:rsidRDefault="0028627C" w:rsidP="002920BB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bookmarkStart w:id="0" w:name="_Hlk135041044"/>
      <w:r>
        <w:rPr>
          <w:rFonts w:ascii="Calibri" w:hAnsi="Calibri" w:cs="Calibri"/>
          <w:b/>
        </w:rPr>
        <w:t xml:space="preserve">Centrum Medycyny Regeneracyjnej </w:t>
      </w:r>
      <w:r w:rsidR="006C2875">
        <w:rPr>
          <w:rFonts w:ascii="Calibri" w:hAnsi="Calibri" w:cs="Calibri"/>
          <w:b/>
        </w:rPr>
        <w:t xml:space="preserve"> </w:t>
      </w:r>
      <w:r w:rsidR="004102A2" w:rsidRPr="002F23FD">
        <w:rPr>
          <w:rFonts w:ascii="Calibri" w:hAnsi="Calibri" w:cs="Calibri"/>
          <w:b/>
        </w:rPr>
        <w:t>U</w:t>
      </w:r>
      <w:r w:rsidR="00224606">
        <w:rPr>
          <w:rFonts w:ascii="Calibri" w:hAnsi="Calibri" w:cs="Calibri"/>
          <w:b/>
        </w:rPr>
        <w:t xml:space="preserve">niwersytetu </w:t>
      </w:r>
      <w:r w:rsidR="004102A2" w:rsidRPr="002F23FD">
        <w:rPr>
          <w:rFonts w:ascii="Calibri" w:hAnsi="Calibri" w:cs="Calibri"/>
          <w:b/>
        </w:rPr>
        <w:t>M</w:t>
      </w:r>
      <w:r w:rsidR="00224606">
        <w:rPr>
          <w:rFonts w:ascii="Calibri" w:hAnsi="Calibri" w:cs="Calibri"/>
          <w:b/>
        </w:rPr>
        <w:t xml:space="preserve">edycznego w </w:t>
      </w:r>
      <w:r w:rsidR="004102A2" w:rsidRPr="002F23FD">
        <w:rPr>
          <w:rFonts w:ascii="Calibri" w:hAnsi="Calibri" w:cs="Calibri"/>
          <w:b/>
        </w:rPr>
        <w:t>B</w:t>
      </w:r>
      <w:r w:rsidR="00224606">
        <w:rPr>
          <w:rFonts w:ascii="Calibri" w:hAnsi="Calibri" w:cs="Calibri"/>
          <w:b/>
        </w:rPr>
        <w:t>iałymstoku</w:t>
      </w:r>
    </w:p>
    <w:p w14:paraId="1C2D0E84" w14:textId="5B089BF8" w:rsidR="00DE0F3F" w:rsidRDefault="0028627C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bookmarkStart w:id="1" w:name="_Hlk131667840"/>
      <w:bookmarkEnd w:id="0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Ultrawirówka- </w:t>
      </w:r>
      <w:r w:rsidR="004877BD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wyposażenie-  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1 szt. </w:t>
      </w:r>
    </w:p>
    <w:bookmarkEnd w:id="1"/>
    <w:p w14:paraId="1122D728" w14:textId="77777777" w:rsidR="00047F68" w:rsidRDefault="00047F6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24A1938A" w14:textId="0B8DC66D" w:rsidR="00E44E82" w:rsidRDefault="00DE0F3F" w:rsidP="00DD358F">
      <w:pPr>
        <w:spacing w:line="360" w:lineRule="auto"/>
        <w:ind w:right="9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7189A3E9" w14:textId="77777777" w:rsidR="00701C14" w:rsidRDefault="00701C14" w:rsidP="00DD358F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901EC35" w14:textId="0287900A" w:rsidR="00DD358F" w:rsidRPr="001E6902" w:rsidRDefault="0028627C" w:rsidP="00103F03">
      <w:pPr>
        <w:pStyle w:val="Akapitzlist"/>
        <w:numPr>
          <w:ilvl w:val="0"/>
          <w:numId w:val="23"/>
        </w:num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bookmarkStart w:id="2" w:name="_Hlk132618396"/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Ultrawirówka- </w:t>
      </w:r>
      <w:r w:rsidR="004877B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wyposażenie-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1 szt. </w:t>
      </w:r>
    </w:p>
    <w:bookmarkEnd w:id="2"/>
    <w:p w14:paraId="7D5E9E61" w14:textId="77777777" w:rsidR="00BF4E8F" w:rsidRDefault="00BF4E8F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4DE1B201" w:rsidR="00D55035" w:rsidRDefault="00D55035" w:rsidP="002920BB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202</w:t>
      </w:r>
      <w:r w:rsidR="00DC16DD">
        <w:rPr>
          <w:rFonts w:ascii="Calibri" w:hAnsi="Calibri" w:cs="Calibri"/>
          <w:b/>
          <w:sz w:val="24"/>
          <w:szCs w:val="24"/>
        </w:rPr>
        <w:t>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676C16E" w14:textId="45E10EBB" w:rsidR="0035195E" w:rsidRDefault="0035195E" w:rsidP="002920BB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35195E">
        <w:rPr>
          <w:rFonts w:ascii="Calibri" w:hAnsi="Calibri" w:cs="Calibri"/>
          <w:b/>
          <w:sz w:val="24"/>
          <w:szCs w:val="24"/>
        </w:rPr>
        <w:t xml:space="preserve">Nazwa, adres, nr tel., e-mail serwisu gwarancyjnego): </w:t>
      </w:r>
      <w:r w:rsidRPr="0035195E">
        <w:rPr>
          <w:rFonts w:ascii="Calibri" w:hAnsi="Calibri" w:cs="Calibri"/>
          <w:b/>
          <w:sz w:val="24"/>
          <w:szCs w:val="24"/>
        </w:rPr>
        <w:tab/>
      </w:r>
    </w:p>
    <w:p w14:paraId="76EC2E7F" w14:textId="449F9FFD" w:rsidR="00B137A3" w:rsidRDefault="00B137A3" w:rsidP="002920BB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43D9254A" w14:textId="0E88EA30" w:rsidR="008D7A77" w:rsidRPr="00A71BA2" w:rsidRDefault="0028627C" w:rsidP="008D7A77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</w:rPr>
        <w:t>Ultrawirówka-</w:t>
      </w:r>
      <w:r w:rsidR="004877BD">
        <w:rPr>
          <w:rFonts w:asciiTheme="minorHAnsi" w:hAnsiTheme="minorHAnsi" w:cstheme="minorHAnsi"/>
          <w:b/>
          <w:sz w:val="28"/>
          <w:szCs w:val="28"/>
        </w:rPr>
        <w:t xml:space="preserve"> wyposażenie- </w:t>
      </w:r>
      <w:r>
        <w:rPr>
          <w:rFonts w:asciiTheme="minorHAnsi" w:hAnsiTheme="minorHAnsi" w:cstheme="minorHAnsi"/>
          <w:b/>
          <w:sz w:val="28"/>
          <w:szCs w:val="28"/>
        </w:rPr>
        <w:t xml:space="preserve">1 szt. </w:t>
      </w:r>
    </w:p>
    <w:p w14:paraId="539CBE34" w14:textId="7ED77D8F" w:rsidR="00533D50" w:rsidRDefault="00B71C8D" w:rsidP="009E1077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Wyposażenie ultrawirówki</w:t>
      </w:r>
      <w:r w:rsidR="00533D50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10867434" w14:textId="44D7A8EF" w:rsidR="00941C83" w:rsidRDefault="00533D50" w:rsidP="00533D50">
      <w:pPr>
        <w:pStyle w:val="Akapitzlist"/>
        <w:numPr>
          <w:ilvl w:val="3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Rotor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stałokątowy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ok </w:t>
      </w:r>
      <w:r w:rsidR="00B71C8D">
        <w:rPr>
          <w:rFonts w:asciiTheme="minorHAnsi" w:eastAsia="Times New Roman" w:hAnsiTheme="minorHAnsi" w:cstheme="minorHAnsi"/>
          <w:sz w:val="24"/>
          <w:szCs w:val="24"/>
          <w:lang w:eastAsia="pl-PL"/>
        </w:rPr>
        <w:t>30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⁰, kompozytowy o pojemności nie mniejszej </w:t>
      </w:r>
      <w:r w:rsidR="00476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niż </w:t>
      </w:r>
      <w:r w:rsidR="00B71C8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6 </w:t>
      </w:r>
      <w:r w:rsidR="00476447">
        <w:rPr>
          <w:rFonts w:asciiTheme="minorHAnsi" w:eastAsia="Times New Roman" w:hAnsiTheme="minorHAnsi" w:cstheme="minorHAnsi"/>
          <w:sz w:val="24"/>
          <w:szCs w:val="24"/>
          <w:lang w:eastAsia="pl-PL"/>
        </w:rPr>
        <w:t>x 1</w:t>
      </w:r>
      <w:r w:rsidR="00B71C8D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476447">
        <w:rPr>
          <w:rFonts w:asciiTheme="minorHAnsi" w:eastAsia="Times New Roman" w:hAnsiTheme="minorHAnsi" w:cstheme="minorHAnsi"/>
          <w:sz w:val="24"/>
          <w:szCs w:val="24"/>
          <w:lang w:eastAsia="pl-PL"/>
        </w:rPr>
        <w:t>,5 ml</w:t>
      </w:r>
      <w:r w:rsidR="00941C8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2781E19B" w14:textId="1FBFD104" w:rsidR="00476447" w:rsidRDefault="00941C83" w:rsidP="00533D50">
      <w:pPr>
        <w:pStyle w:val="Akapitzlist"/>
        <w:numPr>
          <w:ilvl w:val="3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</w:t>
      </w:r>
      <w:r w:rsidR="00476447">
        <w:rPr>
          <w:rFonts w:asciiTheme="minorHAnsi" w:eastAsia="Times New Roman" w:hAnsiTheme="minorHAnsi" w:cstheme="minorHAnsi"/>
          <w:sz w:val="24"/>
          <w:szCs w:val="24"/>
          <w:lang w:eastAsia="pl-PL"/>
        </w:rPr>
        <w:t>aksymaln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 </w:t>
      </w:r>
      <w:r w:rsidR="00476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przyspieszeni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476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RCF nie mniejsz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476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niż </w:t>
      </w:r>
      <w:r w:rsidR="00B71C8D">
        <w:rPr>
          <w:rFonts w:asciiTheme="minorHAnsi" w:eastAsia="Times New Roman" w:hAnsiTheme="minorHAnsi" w:cstheme="minorHAnsi"/>
          <w:sz w:val="24"/>
          <w:szCs w:val="24"/>
          <w:lang w:eastAsia="pl-PL"/>
        </w:rPr>
        <w:t>340</w:t>
      </w:r>
      <w:r w:rsidR="00476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 000 x g </w:t>
      </w:r>
      <w:r w:rsidR="00476447" w:rsidRPr="00476447">
        <w:rPr>
          <w:rFonts w:asciiTheme="minorHAnsi" w:eastAsia="Times New Roman" w:hAnsiTheme="minorHAnsi" w:cstheme="minorHAnsi"/>
          <w:sz w:val="24"/>
          <w:szCs w:val="24"/>
          <w:lang w:eastAsia="pl-PL"/>
        </w:rPr>
        <w:t>(± 5%);</w:t>
      </w:r>
    </w:p>
    <w:p w14:paraId="1CC23EBA" w14:textId="2A9524CF" w:rsidR="00941C83" w:rsidRDefault="00941C83" w:rsidP="00533D50">
      <w:pPr>
        <w:pStyle w:val="Akapitzlist"/>
        <w:numPr>
          <w:ilvl w:val="3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Maksymalne obroty </w:t>
      </w:r>
      <w:r w:rsidR="000309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65 000 </w:t>
      </w:r>
      <w:proofErr w:type="spellStart"/>
      <w:r w:rsidR="000309B7">
        <w:rPr>
          <w:rFonts w:asciiTheme="minorHAnsi" w:eastAsia="Times New Roman" w:hAnsiTheme="minorHAnsi" w:cstheme="minorHAnsi"/>
          <w:sz w:val="24"/>
          <w:szCs w:val="24"/>
          <w:lang w:eastAsia="pl-PL"/>
        </w:rPr>
        <w:t>rpm</w:t>
      </w:r>
      <w:proofErr w:type="spellEnd"/>
    </w:p>
    <w:p w14:paraId="7EE00491" w14:textId="77777777" w:rsidR="00B71C8D" w:rsidRDefault="00533D50" w:rsidP="00476447">
      <w:pPr>
        <w:pStyle w:val="Akapitzlist"/>
        <w:numPr>
          <w:ilvl w:val="3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76447"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476447" w:rsidRPr="00476447">
        <w:rPr>
          <w:rFonts w:asciiTheme="minorHAnsi" w:eastAsia="Times New Roman" w:hAnsiTheme="minorHAnsi" w:cstheme="minorHAnsi"/>
          <w:sz w:val="24"/>
          <w:szCs w:val="24"/>
          <w:lang w:eastAsia="pl-PL"/>
        </w:rPr>
        <w:t>odstawka pod rotor</w:t>
      </w:r>
      <w:r w:rsidR="00476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2837CF18" w14:textId="06A4C12D" w:rsidR="00476447" w:rsidRDefault="00B71C8D" w:rsidP="00476447">
      <w:pPr>
        <w:pStyle w:val="Akapitzlist"/>
        <w:numPr>
          <w:ilvl w:val="3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Pr="00B71C8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estaw poliwęglanowych butelek </w:t>
      </w:r>
      <w:proofErr w:type="spellStart"/>
      <w:r w:rsidRPr="00B71C8D">
        <w:rPr>
          <w:rFonts w:asciiTheme="minorHAnsi" w:eastAsia="Times New Roman" w:hAnsiTheme="minorHAnsi" w:cstheme="minorHAnsi"/>
          <w:sz w:val="24"/>
          <w:szCs w:val="24"/>
          <w:lang w:eastAsia="pl-PL"/>
        </w:rPr>
        <w:t>wirowniczych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71C8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systemem zamykania o pojemności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mniejszej niż </w:t>
      </w:r>
      <w:r w:rsidRPr="00B71C8D">
        <w:rPr>
          <w:rFonts w:asciiTheme="minorHAnsi" w:eastAsia="Times New Roman" w:hAnsiTheme="minorHAnsi" w:cstheme="minorHAnsi"/>
          <w:sz w:val="24"/>
          <w:szCs w:val="24"/>
          <w:lang w:eastAsia="pl-PL"/>
        </w:rPr>
        <w:t>13,5 ml, minimum 12 szt.</w:t>
      </w:r>
    </w:p>
    <w:p w14:paraId="79938036" w14:textId="21B0E2BF" w:rsidR="00B71C8D" w:rsidRDefault="00B71C8D" w:rsidP="00476447">
      <w:pPr>
        <w:pStyle w:val="Akapitzlist"/>
        <w:numPr>
          <w:ilvl w:val="3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Co najmniej 6 szt. poliwęglanowych butelek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wirowniczych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bez systemu zamykania o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pojemności </w:t>
      </w:r>
      <w:r w:rsidR="00941C8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mniejszej niż 13,5 ml; </w:t>
      </w:r>
    </w:p>
    <w:p w14:paraId="19F76F90" w14:textId="2FCEC84C" w:rsidR="00941C83" w:rsidRPr="00B71C8D" w:rsidRDefault="00941C83" w:rsidP="00476447">
      <w:pPr>
        <w:pStyle w:val="Akapitzlist"/>
        <w:numPr>
          <w:ilvl w:val="3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Narzędzie  do wyjmowania probówek; </w:t>
      </w:r>
    </w:p>
    <w:p w14:paraId="051D2FF9" w14:textId="4BC61163" w:rsidR="00476447" w:rsidRDefault="00476447" w:rsidP="00476447">
      <w:pPr>
        <w:rPr>
          <w:lang w:eastAsia="pl-PL"/>
        </w:rPr>
      </w:pPr>
    </w:p>
    <w:p w14:paraId="0895EA12" w14:textId="77777777" w:rsidR="00476447" w:rsidRPr="00476447" w:rsidRDefault="00476447" w:rsidP="00476447">
      <w:pPr>
        <w:rPr>
          <w:lang w:eastAsia="pl-PL"/>
        </w:rPr>
      </w:pPr>
    </w:p>
    <w:p w14:paraId="50D515ED" w14:textId="2B07D4C9" w:rsidR="0095537D" w:rsidRPr="00383D8F" w:rsidRDefault="00983FAC" w:rsidP="00170A80">
      <w:pPr>
        <w:pStyle w:val="Nagwek2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170A80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170A80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BD1518F" w14:textId="77777777" w:rsidR="0034457C" w:rsidRPr="0034457C" w:rsidRDefault="0034457C" w:rsidP="00170A80">
      <w:pPr>
        <w:pStyle w:val="Nagwek2"/>
        <w:numPr>
          <w:ilvl w:val="1"/>
          <w:numId w:val="1"/>
        </w:numPr>
        <w:ind w:left="567" w:right="91" w:hanging="567"/>
        <w:jc w:val="both"/>
        <w:rPr>
          <w:b w:val="0"/>
          <w:sz w:val="24"/>
          <w:szCs w:val="24"/>
        </w:rPr>
      </w:pPr>
      <w:r w:rsidRPr="0034457C">
        <w:rPr>
          <w:b w:val="0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170A80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25919BA0" w14:textId="74CEA385" w:rsidR="00E50020" w:rsidRPr="00E50020" w:rsidRDefault="00BE3F6E" w:rsidP="00A3495B">
      <w:pPr>
        <w:pStyle w:val="Akapitzlist"/>
        <w:numPr>
          <w:ilvl w:val="0"/>
          <w:numId w:val="6"/>
        </w:numPr>
        <w:snapToGrid w:val="0"/>
        <w:spacing w:line="360" w:lineRule="auto"/>
        <w:ind w:left="567" w:right="9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="00E50020" w:rsidRPr="00E50020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Materiały informacyjne (np. prospekty i/lub foldery i/lub inne dokumenty) dotyczące oferowanego urządzenia. Funkcje urządzenia i/lub parametry techniczne zawarte w załączonych materiałach informacyjnych, nie muszą potwierdzać wszystkich funkcji i/lub parametrów </w:t>
      </w:r>
      <w:r w:rsidR="00E50020" w:rsidRPr="00E50020">
        <w:rPr>
          <w:rFonts w:asciiTheme="minorHAnsi" w:eastAsia="Arial Unicode MS" w:hAnsiTheme="minorHAnsi" w:cstheme="minorHAnsi"/>
          <w:color w:val="000000"/>
          <w:sz w:val="24"/>
          <w:szCs w:val="24"/>
        </w:rPr>
        <w:lastRenderedPageBreak/>
        <w:t xml:space="preserve">technicznych wymaganych w tabeli Opisu przedmiotu zamówienia (Załącznik Nr 2 do SWZ), </w:t>
      </w:r>
      <w:r w:rsidR="00E50020" w:rsidRPr="00E50020">
        <w:rPr>
          <w:rFonts w:asciiTheme="minorHAnsi" w:eastAsia="Arial Unicode MS" w:hAnsiTheme="minorHAnsi" w:cstheme="minorHAnsi"/>
          <w:color w:val="000000"/>
          <w:sz w:val="24"/>
          <w:szCs w:val="24"/>
          <w:u w:val="single"/>
        </w:rPr>
        <w:t>z zastrzeżeniem, że materiały informacyjne muszą zawierać potwierdzenie parametrów, jeżeli są one oceniane w kryterium Parametrów Technicznych</w:t>
      </w:r>
      <w:r w:rsidR="00E50020" w:rsidRPr="00E50020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(Załącznik Nr 3 do SWZ).</w:t>
      </w:r>
    </w:p>
    <w:p w14:paraId="39A180D7" w14:textId="77777777" w:rsidR="00E50020" w:rsidRPr="00E50020" w:rsidRDefault="00BE3F6E" w:rsidP="00A3495B">
      <w:pPr>
        <w:pStyle w:val="Akapitzlist"/>
        <w:numPr>
          <w:ilvl w:val="0"/>
          <w:numId w:val="6"/>
        </w:numPr>
        <w:snapToGrid w:val="0"/>
        <w:spacing w:line="360" w:lineRule="auto"/>
        <w:ind w:left="567" w:right="9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</w:t>
      </w:r>
    </w:p>
    <w:p w14:paraId="38CA820C" w14:textId="68E5E0D7" w:rsidR="00A3495B" w:rsidRPr="00476447" w:rsidRDefault="00BE3F6E" w:rsidP="00A3495B">
      <w:pPr>
        <w:pStyle w:val="Akapitzlist"/>
        <w:numPr>
          <w:ilvl w:val="0"/>
          <w:numId w:val="6"/>
        </w:numPr>
        <w:snapToGrid w:val="0"/>
        <w:spacing w:line="360" w:lineRule="auto"/>
        <w:ind w:left="567" w:right="9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AB8EB3" w14:textId="77777777" w:rsidR="00A3495B" w:rsidRPr="00A3495B" w:rsidRDefault="00A3495B" w:rsidP="00A3495B">
      <w:pPr>
        <w:snapToGrid w:val="0"/>
        <w:spacing w:line="360" w:lineRule="auto"/>
        <w:ind w:right="91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</w:p>
    <w:p w14:paraId="33ED3C04" w14:textId="77777777" w:rsidR="0095537D" w:rsidRPr="00383D8F" w:rsidRDefault="006524D6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1D87E3C" w14:textId="77777777" w:rsidR="00204CA6" w:rsidRDefault="00204CA6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587DD9CF" w14:textId="77777777" w:rsidR="00D308E1" w:rsidRDefault="00D308E1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A643B0D" w14:textId="3B2544C2" w:rsidR="00D308E1" w:rsidRDefault="00D308E1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FCBA8DC" w14:textId="6319C65A" w:rsidR="00D308E1" w:rsidRDefault="00D308E1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EDB6101" w14:textId="71255C4B" w:rsidR="00D308E1" w:rsidRDefault="00D308E1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52B00B" w14:textId="1C386725" w:rsidR="00D308E1" w:rsidRDefault="00D308E1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AD9C56B" w14:textId="4F775E94" w:rsidR="00D308E1" w:rsidRDefault="00D308E1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744343" w14:textId="54451F9B" w:rsidR="00D308E1" w:rsidRDefault="00D308E1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DA54F9" w14:textId="24FAC23B" w:rsidR="00D308E1" w:rsidRDefault="00D308E1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3E3EAB" w14:textId="3CE892B0" w:rsidR="00D308E1" w:rsidRDefault="00D308E1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242212" w14:textId="415035FD" w:rsidR="00D308E1" w:rsidRPr="00CA4BF1" w:rsidRDefault="00D308E1" w:rsidP="00D308E1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sz w:val="24"/>
          <w:szCs w:val="24"/>
        </w:rPr>
        <w:sectPr w:rsidR="00D308E1" w:rsidRPr="00CA4BF1" w:rsidSect="00AB1678">
          <w:headerReference w:type="default" r:id="rId8"/>
          <w:footerReference w:type="default" r:id="rId9"/>
          <w:pgSz w:w="11910" w:h="16840"/>
          <w:pgMar w:top="964" w:right="853" w:bottom="278" w:left="851" w:header="709" w:footer="709" w:gutter="0"/>
          <w:cols w:space="708"/>
        </w:sectPr>
      </w:pPr>
    </w:p>
    <w:p w14:paraId="183BE45C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78473EE7" w:rsidR="0095537D" w:rsidRPr="00383D8F" w:rsidRDefault="008A08AC" w:rsidP="002920BB">
      <w:pPr>
        <w:pStyle w:val="Nagwek1"/>
        <w:ind w:right="91"/>
        <w:jc w:val="both"/>
      </w:pPr>
      <w:r>
        <w:t>OCENA</w:t>
      </w:r>
      <w:r w:rsidR="00A46452" w:rsidRPr="00383D8F">
        <w:t xml:space="preserve"> WARUNKÓW GWARANCJI – </w:t>
      </w:r>
      <w:r w:rsidR="00E80CC1">
        <w:t xml:space="preserve">CZĘŚĆ NR </w:t>
      </w:r>
      <w:r w:rsidR="004877BD">
        <w:t>2</w:t>
      </w:r>
    </w:p>
    <w:p w14:paraId="4AB5D981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65EA8817" w14:textId="77777777" w:rsidR="00841351" w:rsidRPr="002F23FD" w:rsidRDefault="00841351" w:rsidP="00841351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Centrum Medycyny Regeneracyjnej 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7173B6D0" w14:textId="472C4A1B" w:rsidR="00841351" w:rsidRDefault="00841351" w:rsidP="00841351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Ultrawirówka- </w:t>
      </w:r>
      <w:r w:rsidR="004877BD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wyposażenie- 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1 szt. </w:t>
      </w:r>
    </w:p>
    <w:p w14:paraId="54A46C61" w14:textId="77777777" w:rsidR="00841351" w:rsidRDefault="00841351" w:rsidP="00841351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5E246A54" w14:textId="313E5747" w:rsidR="00204CA6" w:rsidRPr="00383D8F" w:rsidRDefault="00204CA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383D8F" w:rsidRDefault="008C0B5E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1BC31673" w:rsidR="00204CA6" w:rsidRPr="002752B8" w:rsidRDefault="00204CA6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AF443E">
        <w:rPr>
          <w:rFonts w:asciiTheme="minorHAnsi" w:hAnsiTheme="minorHAnsi" w:cstheme="minorHAnsi"/>
          <w:b/>
          <w:sz w:val="24"/>
          <w:szCs w:val="24"/>
        </w:rPr>
        <w:t>15</w:t>
      </w:r>
      <w:bookmarkStart w:id="3" w:name="_Hlk149222856"/>
      <w:r w:rsidR="00AF443E">
        <w:rPr>
          <w:rFonts w:asciiTheme="minorHAnsi" w:hAnsiTheme="minorHAnsi" w:cstheme="minorHAnsi"/>
          <w:b/>
          <w:sz w:val="24"/>
          <w:szCs w:val="24"/>
        </w:rPr>
        <w:t xml:space="preserve"> lat</w:t>
      </w:r>
    </w:p>
    <w:bookmarkEnd w:id="3"/>
    <w:p w14:paraId="13E3D935" w14:textId="34C0B0A4" w:rsidR="00204CA6" w:rsidRPr="002752B8" w:rsidRDefault="001B4EF8" w:rsidP="002752B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AF443E">
        <w:rPr>
          <w:rFonts w:asciiTheme="minorHAnsi" w:hAnsiTheme="minorHAnsi" w:cstheme="minorHAnsi"/>
          <w:b/>
          <w:sz w:val="24"/>
          <w:szCs w:val="24"/>
        </w:rPr>
        <w:t>15 lat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AF443E">
        <w:rPr>
          <w:rFonts w:asciiTheme="minorHAnsi" w:hAnsiTheme="minorHAnsi" w:cstheme="minorHAnsi"/>
          <w:b/>
          <w:sz w:val="24"/>
          <w:szCs w:val="24"/>
        </w:rPr>
        <w:t>20 lat</w:t>
      </w:r>
      <w:r w:rsidR="002752B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E90C0C1" w14:textId="77777777" w:rsidR="00493985" w:rsidRDefault="00204CA6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b/>
          <w:sz w:val="24"/>
          <w:szCs w:val="24"/>
        </w:rPr>
        <w:t>UWAGA:</w:t>
      </w:r>
      <w:r w:rsidR="006F4559" w:rsidRPr="0049398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C17CF9" w14:textId="123F9E75" w:rsidR="00493985" w:rsidRPr="00493985" w:rsidRDefault="00204CA6" w:rsidP="00B34395">
      <w:pPr>
        <w:pStyle w:val="TableParagraph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  <w:r w:rsidR="00493985" w:rsidRPr="004939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19173" w14:textId="67E42775" w:rsidR="00204CA6" w:rsidRPr="00493985" w:rsidRDefault="00204CA6" w:rsidP="00B34395">
      <w:pPr>
        <w:pStyle w:val="TableParagraph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5EB17FC0" w:rsidR="00204CA6" w:rsidRPr="00383D8F" w:rsidRDefault="00204CA6" w:rsidP="00B34395">
      <w:pPr>
        <w:pStyle w:val="TableParagraph"/>
        <w:numPr>
          <w:ilvl w:val="0"/>
          <w:numId w:val="17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AF443E">
        <w:rPr>
          <w:rFonts w:asciiTheme="minorHAnsi" w:hAnsiTheme="minorHAnsi" w:cstheme="minorHAnsi"/>
          <w:sz w:val="24"/>
          <w:szCs w:val="24"/>
        </w:rPr>
        <w:t>15 lat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B34395">
      <w:pPr>
        <w:pStyle w:val="TableParagraph"/>
        <w:numPr>
          <w:ilvl w:val="0"/>
          <w:numId w:val="17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6962A0A7" w:rsidR="00204CA6" w:rsidRPr="00383D8F" w:rsidRDefault="00204CA6" w:rsidP="00B34395">
      <w:pPr>
        <w:pStyle w:val="TableParagraph"/>
        <w:numPr>
          <w:ilvl w:val="0"/>
          <w:numId w:val="17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476447">
        <w:rPr>
          <w:rFonts w:asciiTheme="minorHAnsi" w:hAnsiTheme="minorHAnsi" w:cstheme="minorHAnsi"/>
          <w:sz w:val="24"/>
          <w:szCs w:val="24"/>
        </w:rPr>
        <w:t>1</w:t>
      </w:r>
      <w:r w:rsidR="00AF443E">
        <w:rPr>
          <w:rFonts w:asciiTheme="minorHAnsi" w:hAnsiTheme="minorHAnsi" w:cstheme="minorHAnsi"/>
          <w:sz w:val="24"/>
          <w:szCs w:val="24"/>
        </w:rPr>
        <w:t>5lat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566817F1" w:rsidR="0095537D" w:rsidRPr="00383D8F" w:rsidRDefault="006524D6" w:rsidP="002920BB">
      <w:pPr>
        <w:pStyle w:val="Nagwek1"/>
        <w:ind w:right="91"/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7278B2">
        <w:t xml:space="preserve">CZĘŚĆ NR </w:t>
      </w:r>
      <w:r w:rsidR="004877BD">
        <w:t>2</w:t>
      </w:r>
    </w:p>
    <w:p w14:paraId="349DE38B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42DEA79F" w14:textId="77777777" w:rsidR="00841351" w:rsidRPr="002F23FD" w:rsidRDefault="00841351" w:rsidP="00841351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Centrum Medycyny Regeneracyjnej 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72D14531" w14:textId="770C4CFB" w:rsidR="00841351" w:rsidRDefault="00841351" w:rsidP="00841351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Ultrawirówka-</w:t>
      </w:r>
      <w:r w:rsidR="004877BD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wyposażenie- 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1 szt. </w:t>
      </w:r>
    </w:p>
    <w:p w14:paraId="371FCD17" w14:textId="4DD09460" w:rsidR="006524D6" w:rsidRPr="00383D8F" w:rsidRDefault="006524D6" w:rsidP="00B22927">
      <w:pPr>
        <w:pStyle w:val="Nagwek2"/>
        <w:numPr>
          <w:ilvl w:val="0"/>
          <w:numId w:val="0"/>
        </w:numPr>
        <w:ind w:left="720" w:hanging="360"/>
      </w:pPr>
      <w:r w:rsidRPr="00383D8F">
        <w:t>WARUNKI GWARANCJI, RĘKOJMI I SERWISU GWARANCYJNEGO</w:t>
      </w:r>
    </w:p>
    <w:p w14:paraId="5A0BB8D4" w14:textId="113C8CF4" w:rsidR="0095537D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439A3883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</w:t>
      </w:r>
      <w:r w:rsidR="002715CD">
        <w:rPr>
          <w:rFonts w:asciiTheme="minorHAnsi" w:hAnsiTheme="minorHAnsi" w:cstheme="minorHAnsi"/>
          <w:sz w:val="24"/>
          <w:szCs w:val="24"/>
        </w:rPr>
        <w:t>, chyba, że Wykonawca wymaga częstszych przeglądów do zachowania gwarancji.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017CDEE9" w:rsidR="006524D6" w:rsidRPr="00383D8F" w:rsidRDefault="00416EFF" w:rsidP="00B34395">
      <w:pPr>
        <w:pStyle w:val="TableParagraph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</w:t>
      </w:r>
      <w:r w:rsidR="002715CD">
        <w:rPr>
          <w:rFonts w:asciiTheme="minorHAnsi" w:hAnsiTheme="minorHAnsi" w:cstheme="minorHAnsi"/>
          <w:sz w:val="24"/>
          <w:szCs w:val="24"/>
        </w:rPr>
        <w:t>1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dni roboczych 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0D15AA25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45FDA8CF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383D8F" w:rsidRDefault="00416EFF" w:rsidP="00B34395">
      <w:pPr>
        <w:pStyle w:val="Akapitzlist"/>
        <w:numPr>
          <w:ilvl w:val="0"/>
          <w:numId w:val="4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5050DFC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3E38CB42" w:rsidR="0095537D" w:rsidRPr="00383D8F" w:rsidRDefault="006524D6" w:rsidP="002920BB">
      <w:pPr>
        <w:pStyle w:val="Nagwek1"/>
        <w:ind w:right="91"/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7278B2">
        <w:t xml:space="preserve">CZĘŚĆ NR </w:t>
      </w:r>
      <w:r w:rsidR="004877BD">
        <w:t>2</w:t>
      </w:r>
    </w:p>
    <w:p w14:paraId="2D178EE2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61585F1C" w14:textId="77777777" w:rsidR="00841351" w:rsidRPr="002F23FD" w:rsidRDefault="00841351" w:rsidP="00841351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Centrum Medycyny Regeneracyjnej 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1645AE2F" w14:textId="36774F75" w:rsidR="00841351" w:rsidRDefault="00841351" w:rsidP="00841351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Ultrawirówka- </w:t>
      </w:r>
      <w:r w:rsidR="004877BD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wyposażenie- 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1 szt. </w:t>
      </w:r>
    </w:p>
    <w:p w14:paraId="2443233E" w14:textId="0EAAAEAC" w:rsidR="008C0B5E" w:rsidRDefault="008C0B5E" w:rsidP="00841351">
      <w:pPr>
        <w:pStyle w:val="Nagwek2"/>
        <w:numPr>
          <w:ilvl w:val="2"/>
          <w:numId w:val="7"/>
        </w:numPr>
        <w:ind w:right="91"/>
        <w:jc w:val="both"/>
      </w:pPr>
      <w:r w:rsidRPr="00383D8F">
        <w:t>PROCEDURA DOSTAW URZĄDZEŃ</w:t>
      </w:r>
    </w:p>
    <w:p w14:paraId="44FBB02F" w14:textId="77777777" w:rsidR="00841351" w:rsidRPr="00841351" w:rsidRDefault="00841351" w:rsidP="00841351"/>
    <w:p w14:paraId="5240083E" w14:textId="77777777" w:rsidR="00B66438" w:rsidRPr="00AE2808" w:rsidRDefault="00B66438" w:rsidP="00B34395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AE2808">
        <w:rPr>
          <w:rFonts w:asciiTheme="minorHAnsi" w:hAnsiTheme="minorHAnsi" w:cstheme="minorHAnsi"/>
          <w:color w:val="000000"/>
        </w:rPr>
        <w:t>Zamawiający zastrzega sobie prawo zmiany terminu realizacji przedmiotu zamówienia (od daty zawarcia umowy) w sytuacji:</w:t>
      </w:r>
    </w:p>
    <w:p w14:paraId="7D890E88" w14:textId="77777777" w:rsidR="00B6643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</w:t>
      </w:r>
      <w:r w:rsidRPr="00AE2808">
        <w:rPr>
          <w:rFonts w:asciiTheme="minorHAnsi" w:hAnsiTheme="minorHAnsi" w:cstheme="minorHAnsi"/>
          <w:color w:val="000000"/>
        </w:rPr>
        <w:t>dy Wykonawca robót budowlanych (prac remontowych) opóźni się w terminowym wykonaniu robót w obiekcie, w którym ma być dokonana dostawa</w:t>
      </w:r>
      <w:r>
        <w:rPr>
          <w:rFonts w:asciiTheme="minorHAnsi" w:hAnsiTheme="minorHAnsi" w:cstheme="minorHAnsi"/>
          <w:color w:val="000000"/>
        </w:rPr>
        <w:t xml:space="preserve"> i montaż przedmiotu zamówienia;</w:t>
      </w:r>
    </w:p>
    <w:p w14:paraId="0DFF79B6" w14:textId="77777777" w:rsidR="00B6643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Pr="00AE2808">
        <w:rPr>
          <w:rFonts w:asciiTheme="minorHAnsi" w:hAnsiTheme="minorHAnsi" w:cstheme="minorHAnsi"/>
          <w:color w:val="000000"/>
        </w:rPr>
        <w:t xml:space="preserve">strzymania robót budowlanych (prac remontowych) w obiekcie, w którym ma być dokonana dostawa </w:t>
      </w:r>
      <w:r>
        <w:rPr>
          <w:rFonts w:asciiTheme="minorHAnsi" w:hAnsiTheme="minorHAnsi" w:cstheme="minorHAnsi"/>
          <w:color w:val="000000"/>
        </w:rPr>
        <w:t>i montaż przedmiotu zamówienia;</w:t>
      </w:r>
    </w:p>
    <w:p w14:paraId="1CECE9CD" w14:textId="77777777" w:rsidR="00B66438" w:rsidRPr="00AE280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Pr="00AE2808">
        <w:rPr>
          <w:rFonts w:asciiTheme="minorHAnsi" w:hAnsiTheme="minorHAnsi" w:cstheme="minorHAnsi"/>
          <w:color w:val="000000"/>
        </w:rPr>
        <w:t>rzyczyn zewnętrznych niezależnych od Zamawiającego oraz Wykonawcy, skutkujących niemoż</w:t>
      </w:r>
      <w:r>
        <w:rPr>
          <w:rFonts w:asciiTheme="minorHAnsi" w:hAnsiTheme="minorHAnsi" w:cstheme="minorHAnsi"/>
          <w:color w:val="000000"/>
        </w:rPr>
        <w:t>n</w:t>
      </w:r>
      <w:r w:rsidRPr="00AE2808">
        <w:rPr>
          <w:rFonts w:asciiTheme="minorHAnsi" w:hAnsiTheme="minorHAnsi" w:cstheme="minorHAnsi"/>
          <w:color w:val="000000"/>
        </w:rPr>
        <w:t>ością dokonani</w:t>
      </w:r>
      <w:r>
        <w:rPr>
          <w:rFonts w:asciiTheme="minorHAnsi" w:hAnsiTheme="minorHAnsi" w:cstheme="minorHAnsi"/>
          <w:color w:val="000000"/>
        </w:rPr>
        <w:t>a montażu przedmiotu zamówienia.</w:t>
      </w:r>
    </w:p>
    <w:p w14:paraId="61CFA137" w14:textId="4DC27890" w:rsidR="00B66438" w:rsidRPr="00493985" w:rsidRDefault="00B66438" w:rsidP="00B3439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493985">
        <w:rPr>
          <w:rFonts w:asciiTheme="minorHAnsi" w:hAnsiTheme="minorHAnsi" w:cstheme="minorHAnsi"/>
          <w:color w:val="000000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75689797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488C692D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w odpowiednich oryginalnych opakowaniach, zapewniających zabezpieczenie przedmiotu dostawy przed wpływem jakichkolwiek szkodliwych czynników.</w:t>
      </w:r>
    </w:p>
    <w:p w14:paraId="4DABBDC9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do pomieszczeń wskazanych przez  Bezpośredniego Użytkownika lub osobę upoważnioną.</w:t>
      </w:r>
    </w:p>
    <w:p w14:paraId="509CAB13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255BD6B0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</w:t>
      </w:r>
      <w:r w:rsidRPr="000035E4">
        <w:rPr>
          <w:rFonts w:asciiTheme="minorHAnsi" w:hAnsiTheme="minorHAnsi" w:cstheme="minorHAnsi"/>
          <w:color w:val="000000"/>
        </w:rPr>
        <w:lastRenderedPageBreak/>
        <w:t>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4F47EF29" w14:textId="77777777" w:rsidR="00B66438" w:rsidRPr="002920BB" w:rsidRDefault="00B66438" w:rsidP="00B34395">
      <w:pPr>
        <w:pStyle w:val="Akapitzlist"/>
        <w:numPr>
          <w:ilvl w:val="0"/>
          <w:numId w:val="19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2920BB">
        <w:rPr>
          <w:rFonts w:asciiTheme="minorHAnsi" w:hAnsiTheme="minorHAnsi" w:cstheme="minorHAnsi"/>
          <w:color w:val="000000"/>
        </w:rPr>
        <w:t>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14:paraId="15AECDD7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6E1B71B1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2DE5832C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58E5E9CD" w14:textId="77777777" w:rsidR="00B66438" w:rsidRPr="000035E4" w:rsidRDefault="00B66438" w:rsidP="002920BB">
      <w:pPr>
        <w:spacing w:line="360" w:lineRule="auto"/>
        <w:ind w:left="720" w:right="91" w:hanging="284"/>
        <w:jc w:val="both"/>
        <w:rPr>
          <w:rFonts w:asciiTheme="minorHAnsi" w:hAnsiTheme="minorHAnsi" w:cstheme="minorHAnsi"/>
          <w:color w:val="000000"/>
        </w:rPr>
      </w:pPr>
    </w:p>
    <w:p w14:paraId="07474DDE" w14:textId="13751B72" w:rsidR="00B66438" w:rsidRPr="00282DF3" w:rsidRDefault="00B66438" w:rsidP="00841351">
      <w:pPr>
        <w:pStyle w:val="Nagwek2"/>
        <w:widowControl/>
        <w:numPr>
          <w:ilvl w:val="2"/>
          <w:numId w:val="7"/>
        </w:numPr>
        <w:autoSpaceDE/>
        <w:autoSpaceDN/>
        <w:ind w:right="91"/>
        <w:contextualSpacing/>
        <w:jc w:val="both"/>
        <w:rPr>
          <w:color w:val="000000"/>
        </w:rPr>
      </w:pPr>
      <w:r w:rsidRPr="00282DF3">
        <w:rPr>
          <w:color w:val="000000"/>
        </w:rPr>
        <w:t>PROCEDURA ODBIORU URZĄDZENIA</w:t>
      </w:r>
    </w:p>
    <w:p w14:paraId="558302CE" w14:textId="77777777" w:rsidR="00B66438" w:rsidRPr="000035E4" w:rsidRDefault="00B66438" w:rsidP="002920BB">
      <w:pPr>
        <w:spacing w:line="360" w:lineRule="auto"/>
        <w:ind w:right="91" w:hanging="284"/>
        <w:jc w:val="both"/>
        <w:rPr>
          <w:rFonts w:asciiTheme="minorHAnsi" w:hAnsiTheme="minorHAnsi" w:cstheme="minorHAnsi"/>
          <w:color w:val="000000"/>
        </w:rPr>
      </w:pPr>
    </w:p>
    <w:p w14:paraId="1E0F8BC7" w14:textId="2B368F3B" w:rsidR="00B66438" w:rsidRPr="00754F5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754F54">
        <w:rPr>
          <w:rFonts w:asciiTheme="minorHAnsi" w:hAnsiTheme="minorHAnsi" w:cstheme="minorHAnsi"/>
          <w:color w:val="000000"/>
        </w:rPr>
        <w:t xml:space="preserve">Procedura odbioru rozpocznie się do 3 dni roboczych od daty zgłoszenia przez Wykonawcę gotowości do odbioru. Gotowość do odbioru może być zgłoszona i przyjęta przez Zamawiającego wyłącznie: po dostarczeniu i uruchomieniu </w:t>
      </w:r>
      <w:r w:rsidRPr="00B22927">
        <w:rPr>
          <w:rFonts w:asciiTheme="minorHAnsi" w:hAnsiTheme="minorHAnsi" w:cstheme="minorHAnsi"/>
          <w:color w:val="000000"/>
        </w:rPr>
        <w:t>urządzeń</w:t>
      </w:r>
      <w:r w:rsidR="0032527B" w:rsidRPr="00B22927">
        <w:rPr>
          <w:rFonts w:asciiTheme="minorHAnsi" w:hAnsiTheme="minorHAnsi" w:cstheme="minorHAnsi"/>
          <w:color w:val="000000"/>
        </w:rPr>
        <w:t>/urządzenia</w:t>
      </w:r>
      <w:r w:rsidRPr="00754F54">
        <w:rPr>
          <w:rFonts w:asciiTheme="minorHAnsi" w:hAnsiTheme="minorHAnsi" w:cstheme="minorHAnsi"/>
          <w:color w:val="000000"/>
        </w:rPr>
        <w:t xml:space="preserve"> wchodzących w skład zamówienia, wdrożeniu instrukcji stanowiskowej oraz po ustaleniu dogodnego terminu z Bezpośrednim Użytkownikiem. </w:t>
      </w:r>
    </w:p>
    <w:p w14:paraId="55721D32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28E8EE80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Odbiór zakończy się podpisaniem bezusterkowego protokołu odbioru, po realizacji przedmiotu zamówienia. Ważność protokołu odbioru potwierdzą łącznie podpisy trzech osób:</w:t>
      </w:r>
    </w:p>
    <w:p w14:paraId="6F8594E7" w14:textId="0A451E6B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Wykonawcy (lub przedstawiciela Wykonawcy) przedmiotu zamówienia;</w:t>
      </w:r>
    </w:p>
    <w:p w14:paraId="72AE5D8C" w14:textId="18AC9A1C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Bezpośredniego Użytkownika (lub osoby upoważnionej) przedmiotu zamówienia;</w:t>
      </w:r>
    </w:p>
    <w:p w14:paraId="2647B8F9" w14:textId="30A0D03B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Osoby odpowiedzialnej (lub upoważnionej) za realizację przedmiotu zamówienia z Działu Zaopatrzenia UMB.</w:t>
      </w:r>
    </w:p>
    <w:p w14:paraId="288FFEB4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Protokół odbioru będzie sporządzony w 2 egzemplarzach.</w:t>
      </w:r>
    </w:p>
    <w:p w14:paraId="372AF57D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lastRenderedPageBreak/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06189BCC" w14:textId="77777777" w:rsidR="00B66438" w:rsidRPr="000035E4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a)</w:t>
      </w:r>
      <w:r w:rsidRPr="000035E4">
        <w:rPr>
          <w:rFonts w:asciiTheme="minorHAnsi" w:hAnsiTheme="minorHAnsi" w:cstheme="minorHAnsi"/>
          <w:color w:val="000000"/>
        </w:rPr>
        <w:tab/>
        <w:t>Instrukcję stanowiskową / instrukcję obsługi urządzeń;</w:t>
      </w:r>
    </w:p>
    <w:p w14:paraId="791D9D59" w14:textId="77777777" w:rsidR="00B66438" w:rsidRPr="000035E4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b)</w:t>
      </w:r>
      <w:r w:rsidRPr="000035E4">
        <w:rPr>
          <w:rFonts w:asciiTheme="minorHAnsi" w:hAnsiTheme="minorHAnsi" w:cstheme="minorHAnsi"/>
          <w:color w:val="000000"/>
        </w:rPr>
        <w:tab/>
        <w:t>Kartę gwarancyjną.</w:t>
      </w:r>
    </w:p>
    <w:p w14:paraId="002A610A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 chwilą podpisania protokołu odbioru na Zamawiającego przechodzi ryzyko utraty lub uszkodzenia urządzenia.</w:t>
      </w:r>
    </w:p>
    <w:p w14:paraId="56B72048" w14:textId="77777777" w:rsidR="00C33586" w:rsidRDefault="00C3358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8B2D18" w14:textId="11C0933E" w:rsidR="0095537D" w:rsidRPr="003E1F20" w:rsidRDefault="0095537D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4" w:name="_GoBack"/>
      <w:bookmarkEnd w:id="4"/>
    </w:p>
    <w:sectPr w:rsidR="0095537D" w:rsidRPr="003E1F20" w:rsidSect="00AB1678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5565E" w14:textId="77777777" w:rsidR="00B13DAB" w:rsidRDefault="00B13DAB" w:rsidP="00EE7F46">
      <w:r>
        <w:separator/>
      </w:r>
    </w:p>
  </w:endnote>
  <w:endnote w:type="continuationSeparator" w:id="0">
    <w:p w14:paraId="633DED57" w14:textId="77777777" w:rsidR="00B13DAB" w:rsidRDefault="00B13DAB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1795B" w14:textId="0BA58771" w:rsidR="00993DE3" w:rsidRDefault="00993DE3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993DE3" w:rsidRDefault="00993DE3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993DE3" w:rsidRPr="00EE7F46" w:rsidRDefault="00993DE3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83DC7" w14:textId="77777777" w:rsidR="00B13DAB" w:rsidRDefault="00B13DAB" w:rsidP="00EE7F46">
      <w:r>
        <w:separator/>
      </w:r>
    </w:p>
  </w:footnote>
  <w:footnote w:type="continuationSeparator" w:id="0">
    <w:p w14:paraId="1CCA078D" w14:textId="77777777" w:rsidR="00B13DAB" w:rsidRDefault="00B13DAB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ED39" w14:textId="30FA7DA5" w:rsidR="00993DE3" w:rsidRDefault="00993D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993DE3" w:rsidRDefault="00993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F81"/>
    <w:multiLevelType w:val="hybridMultilevel"/>
    <w:tmpl w:val="F99ECCD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2E53DFE"/>
    <w:multiLevelType w:val="hybridMultilevel"/>
    <w:tmpl w:val="5BFA1E34"/>
    <w:lvl w:ilvl="0" w:tplc="9D5E9734">
      <w:start w:val="1"/>
      <w:numFmt w:val="upperRoman"/>
      <w:lvlText w:val="%1."/>
      <w:lvlJc w:val="left"/>
      <w:pPr>
        <w:ind w:left="360" w:hanging="360"/>
      </w:pPr>
      <w:rPr>
        <w:rFonts w:asciiTheme="minorHAnsi" w:eastAsia="Arial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0C9F8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6946"/>
    <w:multiLevelType w:val="hybridMultilevel"/>
    <w:tmpl w:val="C1488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57832"/>
    <w:multiLevelType w:val="hybridMultilevel"/>
    <w:tmpl w:val="CC1E4A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A11B07"/>
    <w:multiLevelType w:val="hybridMultilevel"/>
    <w:tmpl w:val="2808122C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F49"/>
    <w:multiLevelType w:val="hybridMultilevel"/>
    <w:tmpl w:val="471A0B1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F06A0E"/>
    <w:multiLevelType w:val="hybridMultilevel"/>
    <w:tmpl w:val="DB88A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CE1"/>
    <w:multiLevelType w:val="hybridMultilevel"/>
    <w:tmpl w:val="7834025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5D39E5"/>
    <w:multiLevelType w:val="hybridMultilevel"/>
    <w:tmpl w:val="9DA41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4E3891"/>
    <w:multiLevelType w:val="hybridMultilevel"/>
    <w:tmpl w:val="C6CAD4F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92A1C"/>
    <w:multiLevelType w:val="hybridMultilevel"/>
    <w:tmpl w:val="F2FEC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F79D2"/>
    <w:multiLevelType w:val="hybridMultilevel"/>
    <w:tmpl w:val="5C4077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5C1EF1"/>
    <w:multiLevelType w:val="hybridMultilevel"/>
    <w:tmpl w:val="6C86E6D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E541D3"/>
    <w:multiLevelType w:val="hybridMultilevel"/>
    <w:tmpl w:val="E424F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E289A"/>
    <w:multiLevelType w:val="hybridMultilevel"/>
    <w:tmpl w:val="ADF8A892"/>
    <w:lvl w:ilvl="0" w:tplc="26781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D92CD3"/>
    <w:multiLevelType w:val="hybridMultilevel"/>
    <w:tmpl w:val="C422C53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B63CD1"/>
    <w:multiLevelType w:val="hybridMultilevel"/>
    <w:tmpl w:val="D0003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15661"/>
    <w:multiLevelType w:val="hybridMultilevel"/>
    <w:tmpl w:val="717E6F58"/>
    <w:lvl w:ilvl="0" w:tplc="DC461CD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758A0"/>
    <w:multiLevelType w:val="hybridMultilevel"/>
    <w:tmpl w:val="65D044A6"/>
    <w:lvl w:ilvl="0" w:tplc="D66CA5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F6D9D"/>
    <w:multiLevelType w:val="hybridMultilevel"/>
    <w:tmpl w:val="F92CCC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837194A"/>
    <w:multiLevelType w:val="hybridMultilevel"/>
    <w:tmpl w:val="9E023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C4E19"/>
    <w:multiLevelType w:val="hybridMultilevel"/>
    <w:tmpl w:val="C9CE8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20C52"/>
    <w:multiLevelType w:val="hybridMultilevel"/>
    <w:tmpl w:val="BD10A026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 w15:restartNumberingAfterBreak="0">
    <w:nsid w:val="4DAD2CD7"/>
    <w:multiLevelType w:val="hybridMultilevel"/>
    <w:tmpl w:val="DD14D7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92508"/>
    <w:multiLevelType w:val="hybridMultilevel"/>
    <w:tmpl w:val="E116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52191"/>
    <w:multiLevelType w:val="hybridMultilevel"/>
    <w:tmpl w:val="1FCAE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8370B"/>
    <w:multiLevelType w:val="hybridMultilevel"/>
    <w:tmpl w:val="217A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418EF"/>
    <w:multiLevelType w:val="hybridMultilevel"/>
    <w:tmpl w:val="D4E2A45C"/>
    <w:lvl w:ilvl="0" w:tplc="04A2F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CA1549"/>
    <w:multiLevelType w:val="hybridMultilevel"/>
    <w:tmpl w:val="C144D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F08AD"/>
    <w:multiLevelType w:val="hybridMultilevel"/>
    <w:tmpl w:val="2626D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53FEB"/>
    <w:multiLevelType w:val="hybridMultilevel"/>
    <w:tmpl w:val="9FE2517E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FB825B22">
      <w:start w:val="1"/>
      <w:numFmt w:val="lowerLetter"/>
      <w:lvlText w:val="%4."/>
      <w:lvlJc w:val="left"/>
      <w:pPr>
        <w:ind w:left="1494" w:hanging="360"/>
      </w:pPr>
      <w:rPr>
        <w:rFonts w:hint="default"/>
      </w:rPr>
    </w:lvl>
    <w:lvl w:ilvl="4" w:tplc="BE740C8C">
      <w:start w:val="4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24B8F"/>
    <w:multiLevelType w:val="hybridMultilevel"/>
    <w:tmpl w:val="BDD8AF9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71C5559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BFF4457"/>
    <w:multiLevelType w:val="hybridMultilevel"/>
    <w:tmpl w:val="F230A90E"/>
    <w:lvl w:ilvl="0" w:tplc="933041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4621C"/>
    <w:multiLevelType w:val="hybridMultilevel"/>
    <w:tmpl w:val="0B562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35"/>
    <w:lvlOverride w:ilvl="0">
      <w:startOverride w:val="1"/>
    </w:lvlOverride>
  </w:num>
  <w:num w:numId="4">
    <w:abstractNumId w:val="28"/>
  </w:num>
  <w:num w:numId="5">
    <w:abstractNumId w:val="35"/>
    <w:lvlOverride w:ilvl="0">
      <w:startOverride w:val="1"/>
    </w:lvlOverride>
  </w:num>
  <w:num w:numId="6">
    <w:abstractNumId w:val="21"/>
  </w:num>
  <w:num w:numId="7">
    <w:abstractNumId w:val="1"/>
  </w:num>
  <w:num w:numId="8">
    <w:abstractNumId w:val="6"/>
  </w:num>
  <w:num w:numId="9">
    <w:abstractNumId w:val="27"/>
  </w:num>
  <w:num w:numId="10">
    <w:abstractNumId w:val="4"/>
  </w:num>
  <w:num w:numId="11">
    <w:abstractNumId w:val="17"/>
  </w:num>
  <w:num w:numId="12">
    <w:abstractNumId w:val="5"/>
  </w:num>
  <w:num w:numId="13">
    <w:abstractNumId w:val="10"/>
  </w:num>
  <w:num w:numId="14">
    <w:abstractNumId w:val="37"/>
  </w:num>
  <w:num w:numId="15">
    <w:abstractNumId w:val="14"/>
  </w:num>
  <w:num w:numId="16">
    <w:abstractNumId w:val="7"/>
  </w:num>
  <w:num w:numId="17">
    <w:abstractNumId w:val="11"/>
  </w:num>
  <w:num w:numId="18">
    <w:abstractNumId w:val="20"/>
  </w:num>
  <w:num w:numId="19">
    <w:abstractNumId w:val="38"/>
  </w:num>
  <w:num w:numId="20">
    <w:abstractNumId w:val="8"/>
  </w:num>
  <w:num w:numId="21">
    <w:abstractNumId w:val="25"/>
  </w:num>
  <w:num w:numId="22">
    <w:abstractNumId w:val="3"/>
  </w:num>
  <w:num w:numId="23">
    <w:abstractNumId w:val="19"/>
  </w:num>
  <w:num w:numId="24">
    <w:abstractNumId w:val="33"/>
  </w:num>
  <w:num w:numId="25">
    <w:abstractNumId w:val="36"/>
  </w:num>
  <w:num w:numId="26">
    <w:abstractNumId w:val="2"/>
  </w:num>
  <w:num w:numId="27">
    <w:abstractNumId w:val="26"/>
  </w:num>
  <w:num w:numId="28">
    <w:abstractNumId w:val="30"/>
  </w:num>
  <w:num w:numId="29">
    <w:abstractNumId w:val="32"/>
  </w:num>
  <w:num w:numId="30">
    <w:abstractNumId w:val="16"/>
  </w:num>
  <w:num w:numId="31">
    <w:abstractNumId w:val="15"/>
  </w:num>
  <w:num w:numId="32">
    <w:abstractNumId w:val="12"/>
  </w:num>
  <w:num w:numId="33">
    <w:abstractNumId w:val="34"/>
  </w:num>
  <w:num w:numId="34">
    <w:abstractNumId w:val="24"/>
  </w:num>
  <w:num w:numId="35">
    <w:abstractNumId w:val="18"/>
  </w:num>
  <w:num w:numId="36">
    <w:abstractNumId w:val="0"/>
  </w:num>
  <w:num w:numId="37">
    <w:abstractNumId w:val="39"/>
  </w:num>
  <w:num w:numId="38">
    <w:abstractNumId w:val="9"/>
  </w:num>
  <w:num w:numId="39">
    <w:abstractNumId w:val="13"/>
  </w:num>
  <w:num w:numId="40">
    <w:abstractNumId w:val="31"/>
  </w:num>
  <w:num w:numId="41">
    <w:abstractNumId w:val="22"/>
  </w:num>
  <w:num w:numId="42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3228"/>
    <w:rsid w:val="00012DC2"/>
    <w:rsid w:val="0001496E"/>
    <w:rsid w:val="00014F83"/>
    <w:rsid w:val="00016D2F"/>
    <w:rsid w:val="00030067"/>
    <w:rsid w:val="000309B7"/>
    <w:rsid w:val="00033F50"/>
    <w:rsid w:val="00040867"/>
    <w:rsid w:val="00044D4B"/>
    <w:rsid w:val="00045CA2"/>
    <w:rsid w:val="00046B06"/>
    <w:rsid w:val="000478D5"/>
    <w:rsid w:val="00047F68"/>
    <w:rsid w:val="000557BA"/>
    <w:rsid w:val="00055D70"/>
    <w:rsid w:val="000569BF"/>
    <w:rsid w:val="000626C6"/>
    <w:rsid w:val="00065061"/>
    <w:rsid w:val="0006645A"/>
    <w:rsid w:val="00077F8E"/>
    <w:rsid w:val="000B3022"/>
    <w:rsid w:val="000B464A"/>
    <w:rsid w:val="000B5B48"/>
    <w:rsid w:val="000B701A"/>
    <w:rsid w:val="000C3C7E"/>
    <w:rsid w:val="000D742D"/>
    <w:rsid w:val="000F13A4"/>
    <w:rsid w:val="00101D24"/>
    <w:rsid w:val="00102511"/>
    <w:rsid w:val="00103F03"/>
    <w:rsid w:val="00105C47"/>
    <w:rsid w:val="001113AD"/>
    <w:rsid w:val="00126F59"/>
    <w:rsid w:val="001450AB"/>
    <w:rsid w:val="001467EB"/>
    <w:rsid w:val="00150748"/>
    <w:rsid w:val="00153B59"/>
    <w:rsid w:val="00161D53"/>
    <w:rsid w:val="00164FF3"/>
    <w:rsid w:val="00170A80"/>
    <w:rsid w:val="001724F7"/>
    <w:rsid w:val="00172A81"/>
    <w:rsid w:val="001743A8"/>
    <w:rsid w:val="00176E65"/>
    <w:rsid w:val="0018151F"/>
    <w:rsid w:val="00184FA0"/>
    <w:rsid w:val="0018662F"/>
    <w:rsid w:val="00187B9D"/>
    <w:rsid w:val="001A2456"/>
    <w:rsid w:val="001A25A3"/>
    <w:rsid w:val="001B1256"/>
    <w:rsid w:val="001B4EF8"/>
    <w:rsid w:val="001B678D"/>
    <w:rsid w:val="001E0D8A"/>
    <w:rsid w:val="001E3E40"/>
    <w:rsid w:val="001E6902"/>
    <w:rsid w:val="001F68B0"/>
    <w:rsid w:val="001F7365"/>
    <w:rsid w:val="001F79C8"/>
    <w:rsid w:val="00204CA6"/>
    <w:rsid w:val="002135F9"/>
    <w:rsid w:val="0022241B"/>
    <w:rsid w:val="00224606"/>
    <w:rsid w:val="00226702"/>
    <w:rsid w:val="00230332"/>
    <w:rsid w:val="00230CDC"/>
    <w:rsid w:val="0023136A"/>
    <w:rsid w:val="0024083A"/>
    <w:rsid w:val="00243CAA"/>
    <w:rsid w:val="0024454C"/>
    <w:rsid w:val="00254501"/>
    <w:rsid w:val="00265CE9"/>
    <w:rsid w:val="002664D1"/>
    <w:rsid w:val="002715CD"/>
    <w:rsid w:val="002752B8"/>
    <w:rsid w:val="0027783E"/>
    <w:rsid w:val="00282DF3"/>
    <w:rsid w:val="0028627C"/>
    <w:rsid w:val="002920BB"/>
    <w:rsid w:val="002A7E3F"/>
    <w:rsid w:val="002B1B84"/>
    <w:rsid w:val="002B51F3"/>
    <w:rsid w:val="002B52C7"/>
    <w:rsid w:val="002C399F"/>
    <w:rsid w:val="002C5CF4"/>
    <w:rsid w:val="002C6A7C"/>
    <w:rsid w:val="002D1342"/>
    <w:rsid w:val="002E3BF6"/>
    <w:rsid w:val="002E5710"/>
    <w:rsid w:val="002E762A"/>
    <w:rsid w:val="002F1B17"/>
    <w:rsid w:val="002F23FD"/>
    <w:rsid w:val="003052A0"/>
    <w:rsid w:val="00315B40"/>
    <w:rsid w:val="0032203B"/>
    <w:rsid w:val="0032320B"/>
    <w:rsid w:val="0032527B"/>
    <w:rsid w:val="00334231"/>
    <w:rsid w:val="00341965"/>
    <w:rsid w:val="0034457C"/>
    <w:rsid w:val="00351385"/>
    <w:rsid w:val="0035195E"/>
    <w:rsid w:val="00353551"/>
    <w:rsid w:val="003543B1"/>
    <w:rsid w:val="00363021"/>
    <w:rsid w:val="00373607"/>
    <w:rsid w:val="00375B50"/>
    <w:rsid w:val="003820C9"/>
    <w:rsid w:val="00383D8F"/>
    <w:rsid w:val="00397805"/>
    <w:rsid w:val="00397C8C"/>
    <w:rsid w:val="003B1B88"/>
    <w:rsid w:val="003B2E7F"/>
    <w:rsid w:val="003B3DDB"/>
    <w:rsid w:val="003B4EEF"/>
    <w:rsid w:val="003B52DC"/>
    <w:rsid w:val="003E078B"/>
    <w:rsid w:val="003E1F20"/>
    <w:rsid w:val="003E2476"/>
    <w:rsid w:val="003E3192"/>
    <w:rsid w:val="003E33F2"/>
    <w:rsid w:val="003E47B0"/>
    <w:rsid w:val="003E62E9"/>
    <w:rsid w:val="003F5257"/>
    <w:rsid w:val="003F68E5"/>
    <w:rsid w:val="004005A1"/>
    <w:rsid w:val="00401BA7"/>
    <w:rsid w:val="004102A2"/>
    <w:rsid w:val="00416EFF"/>
    <w:rsid w:val="004171AA"/>
    <w:rsid w:val="00417310"/>
    <w:rsid w:val="00422458"/>
    <w:rsid w:val="004307D5"/>
    <w:rsid w:val="00433E58"/>
    <w:rsid w:val="00434EAB"/>
    <w:rsid w:val="00445001"/>
    <w:rsid w:val="004472A3"/>
    <w:rsid w:val="004507D0"/>
    <w:rsid w:val="00460685"/>
    <w:rsid w:val="00461200"/>
    <w:rsid w:val="00461E87"/>
    <w:rsid w:val="00472506"/>
    <w:rsid w:val="00472C52"/>
    <w:rsid w:val="00474743"/>
    <w:rsid w:val="00475437"/>
    <w:rsid w:val="00475C3D"/>
    <w:rsid w:val="00476447"/>
    <w:rsid w:val="0048325F"/>
    <w:rsid w:val="0048526F"/>
    <w:rsid w:val="00486896"/>
    <w:rsid w:val="004877BD"/>
    <w:rsid w:val="00490600"/>
    <w:rsid w:val="00490F35"/>
    <w:rsid w:val="00493985"/>
    <w:rsid w:val="004A0C32"/>
    <w:rsid w:val="004A1C6C"/>
    <w:rsid w:val="004B4AFF"/>
    <w:rsid w:val="004B79E8"/>
    <w:rsid w:val="004C3FEF"/>
    <w:rsid w:val="004C5F15"/>
    <w:rsid w:val="004E2853"/>
    <w:rsid w:val="004E6E71"/>
    <w:rsid w:val="004F18FF"/>
    <w:rsid w:val="004F19ED"/>
    <w:rsid w:val="004F57B2"/>
    <w:rsid w:val="004F792A"/>
    <w:rsid w:val="00501E6D"/>
    <w:rsid w:val="00502298"/>
    <w:rsid w:val="00505232"/>
    <w:rsid w:val="00513CEE"/>
    <w:rsid w:val="00516537"/>
    <w:rsid w:val="00521FE2"/>
    <w:rsid w:val="00533A72"/>
    <w:rsid w:val="00533D50"/>
    <w:rsid w:val="00554108"/>
    <w:rsid w:val="00563E5C"/>
    <w:rsid w:val="0056420A"/>
    <w:rsid w:val="00567412"/>
    <w:rsid w:val="005707D6"/>
    <w:rsid w:val="00577132"/>
    <w:rsid w:val="005854BC"/>
    <w:rsid w:val="00586EBC"/>
    <w:rsid w:val="0059176E"/>
    <w:rsid w:val="005A259C"/>
    <w:rsid w:val="005B057C"/>
    <w:rsid w:val="005B51B9"/>
    <w:rsid w:val="005C67BA"/>
    <w:rsid w:val="005D3D73"/>
    <w:rsid w:val="005D79DD"/>
    <w:rsid w:val="005F0C9C"/>
    <w:rsid w:val="005F58EA"/>
    <w:rsid w:val="00601B8F"/>
    <w:rsid w:val="00604C64"/>
    <w:rsid w:val="006110C6"/>
    <w:rsid w:val="0063237B"/>
    <w:rsid w:val="00640109"/>
    <w:rsid w:val="00640591"/>
    <w:rsid w:val="006516A1"/>
    <w:rsid w:val="006524D6"/>
    <w:rsid w:val="0065570C"/>
    <w:rsid w:val="006633D8"/>
    <w:rsid w:val="006720BC"/>
    <w:rsid w:val="00685DB8"/>
    <w:rsid w:val="006874EB"/>
    <w:rsid w:val="00687822"/>
    <w:rsid w:val="00691B35"/>
    <w:rsid w:val="00691F4E"/>
    <w:rsid w:val="00695CC3"/>
    <w:rsid w:val="006963E0"/>
    <w:rsid w:val="006A5382"/>
    <w:rsid w:val="006B32FC"/>
    <w:rsid w:val="006B5AF9"/>
    <w:rsid w:val="006C2875"/>
    <w:rsid w:val="006C6257"/>
    <w:rsid w:val="006D39DF"/>
    <w:rsid w:val="006D610D"/>
    <w:rsid w:val="006F2006"/>
    <w:rsid w:val="006F4559"/>
    <w:rsid w:val="006F53EB"/>
    <w:rsid w:val="00701C14"/>
    <w:rsid w:val="0070579C"/>
    <w:rsid w:val="00724DDB"/>
    <w:rsid w:val="007278B2"/>
    <w:rsid w:val="00731ADB"/>
    <w:rsid w:val="00737EA0"/>
    <w:rsid w:val="007409DD"/>
    <w:rsid w:val="00740D0D"/>
    <w:rsid w:val="00754F54"/>
    <w:rsid w:val="00773D41"/>
    <w:rsid w:val="007765B7"/>
    <w:rsid w:val="00784161"/>
    <w:rsid w:val="0078757C"/>
    <w:rsid w:val="00796734"/>
    <w:rsid w:val="00797AFE"/>
    <w:rsid w:val="00797FC8"/>
    <w:rsid w:val="007A3FC6"/>
    <w:rsid w:val="007A45CC"/>
    <w:rsid w:val="007A6310"/>
    <w:rsid w:val="007A6BE1"/>
    <w:rsid w:val="007A717D"/>
    <w:rsid w:val="007A7F2A"/>
    <w:rsid w:val="007B7120"/>
    <w:rsid w:val="007D27B8"/>
    <w:rsid w:val="007D317F"/>
    <w:rsid w:val="007D43CE"/>
    <w:rsid w:val="007D69CF"/>
    <w:rsid w:val="007D738F"/>
    <w:rsid w:val="007E2DA7"/>
    <w:rsid w:val="007E6909"/>
    <w:rsid w:val="007F028C"/>
    <w:rsid w:val="007F140B"/>
    <w:rsid w:val="007F194B"/>
    <w:rsid w:val="007F5694"/>
    <w:rsid w:val="00804862"/>
    <w:rsid w:val="00817C32"/>
    <w:rsid w:val="0082612E"/>
    <w:rsid w:val="00836A5B"/>
    <w:rsid w:val="00840664"/>
    <w:rsid w:val="00841351"/>
    <w:rsid w:val="008500A3"/>
    <w:rsid w:val="00864880"/>
    <w:rsid w:val="00882D2C"/>
    <w:rsid w:val="008901DD"/>
    <w:rsid w:val="008A08AC"/>
    <w:rsid w:val="008A2501"/>
    <w:rsid w:val="008A5B03"/>
    <w:rsid w:val="008A69C9"/>
    <w:rsid w:val="008A7453"/>
    <w:rsid w:val="008B05BA"/>
    <w:rsid w:val="008B1D50"/>
    <w:rsid w:val="008B42C9"/>
    <w:rsid w:val="008B7603"/>
    <w:rsid w:val="008C078F"/>
    <w:rsid w:val="008C0B5E"/>
    <w:rsid w:val="008C3028"/>
    <w:rsid w:val="008C39CA"/>
    <w:rsid w:val="008D7A77"/>
    <w:rsid w:val="009005C2"/>
    <w:rsid w:val="00900A37"/>
    <w:rsid w:val="00901FCA"/>
    <w:rsid w:val="009038CF"/>
    <w:rsid w:val="00905217"/>
    <w:rsid w:val="00911AE8"/>
    <w:rsid w:val="00915624"/>
    <w:rsid w:val="0092488E"/>
    <w:rsid w:val="009368B2"/>
    <w:rsid w:val="00941C83"/>
    <w:rsid w:val="00943F67"/>
    <w:rsid w:val="0095049F"/>
    <w:rsid w:val="0095124D"/>
    <w:rsid w:val="00952334"/>
    <w:rsid w:val="00952868"/>
    <w:rsid w:val="0095537D"/>
    <w:rsid w:val="00960696"/>
    <w:rsid w:val="00961F48"/>
    <w:rsid w:val="00964656"/>
    <w:rsid w:val="009653A5"/>
    <w:rsid w:val="00973212"/>
    <w:rsid w:val="00982769"/>
    <w:rsid w:val="00983FAC"/>
    <w:rsid w:val="00985895"/>
    <w:rsid w:val="00987CEF"/>
    <w:rsid w:val="00993DE3"/>
    <w:rsid w:val="00995822"/>
    <w:rsid w:val="009A0412"/>
    <w:rsid w:val="009A2CA8"/>
    <w:rsid w:val="009A503C"/>
    <w:rsid w:val="009A5ACF"/>
    <w:rsid w:val="009A6FCF"/>
    <w:rsid w:val="009B2D2D"/>
    <w:rsid w:val="009B7E1D"/>
    <w:rsid w:val="009C281B"/>
    <w:rsid w:val="009C6A60"/>
    <w:rsid w:val="009E1077"/>
    <w:rsid w:val="009E2828"/>
    <w:rsid w:val="009E39CF"/>
    <w:rsid w:val="009F65FE"/>
    <w:rsid w:val="00A0484F"/>
    <w:rsid w:val="00A05859"/>
    <w:rsid w:val="00A0772F"/>
    <w:rsid w:val="00A14C04"/>
    <w:rsid w:val="00A24C9D"/>
    <w:rsid w:val="00A313DA"/>
    <w:rsid w:val="00A32693"/>
    <w:rsid w:val="00A3495B"/>
    <w:rsid w:val="00A41332"/>
    <w:rsid w:val="00A46452"/>
    <w:rsid w:val="00A6300D"/>
    <w:rsid w:val="00A66C3F"/>
    <w:rsid w:val="00A71BA2"/>
    <w:rsid w:val="00A74B1E"/>
    <w:rsid w:val="00A86417"/>
    <w:rsid w:val="00A97FC5"/>
    <w:rsid w:val="00AA2DD8"/>
    <w:rsid w:val="00AB1529"/>
    <w:rsid w:val="00AB1678"/>
    <w:rsid w:val="00AB3D71"/>
    <w:rsid w:val="00AB4F36"/>
    <w:rsid w:val="00AD5B42"/>
    <w:rsid w:val="00AE0A41"/>
    <w:rsid w:val="00AF443E"/>
    <w:rsid w:val="00AF560A"/>
    <w:rsid w:val="00B101C7"/>
    <w:rsid w:val="00B12707"/>
    <w:rsid w:val="00B137A3"/>
    <w:rsid w:val="00B13DAB"/>
    <w:rsid w:val="00B16969"/>
    <w:rsid w:val="00B17CD6"/>
    <w:rsid w:val="00B22046"/>
    <w:rsid w:val="00B22927"/>
    <w:rsid w:val="00B266E3"/>
    <w:rsid w:val="00B34395"/>
    <w:rsid w:val="00B43872"/>
    <w:rsid w:val="00B54131"/>
    <w:rsid w:val="00B617AC"/>
    <w:rsid w:val="00B66438"/>
    <w:rsid w:val="00B71C8D"/>
    <w:rsid w:val="00B71C9F"/>
    <w:rsid w:val="00B75648"/>
    <w:rsid w:val="00B81217"/>
    <w:rsid w:val="00B82E97"/>
    <w:rsid w:val="00B87E66"/>
    <w:rsid w:val="00B92B41"/>
    <w:rsid w:val="00B9722A"/>
    <w:rsid w:val="00BA6471"/>
    <w:rsid w:val="00BA73CE"/>
    <w:rsid w:val="00BB2F17"/>
    <w:rsid w:val="00BB4D07"/>
    <w:rsid w:val="00BB6E6D"/>
    <w:rsid w:val="00BC260D"/>
    <w:rsid w:val="00BC4EC7"/>
    <w:rsid w:val="00BC5B0F"/>
    <w:rsid w:val="00BE3F6E"/>
    <w:rsid w:val="00BE61EA"/>
    <w:rsid w:val="00BE6DCA"/>
    <w:rsid w:val="00BF2C33"/>
    <w:rsid w:val="00BF331E"/>
    <w:rsid w:val="00BF4E8F"/>
    <w:rsid w:val="00BF62BC"/>
    <w:rsid w:val="00C101C7"/>
    <w:rsid w:val="00C12D36"/>
    <w:rsid w:val="00C253CB"/>
    <w:rsid w:val="00C27D0D"/>
    <w:rsid w:val="00C32D06"/>
    <w:rsid w:val="00C33586"/>
    <w:rsid w:val="00C4066E"/>
    <w:rsid w:val="00C41D9C"/>
    <w:rsid w:val="00C5333A"/>
    <w:rsid w:val="00C72F89"/>
    <w:rsid w:val="00C749DD"/>
    <w:rsid w:val="00C81FEE"/>
    <w:rsid w:val="00C84F1E"/>
    <w:rsid w:val="00CA3A1E"/>
    <w:rsid w:val="00CA3C42"/>
    <w:rsid w:val="00CA4BF1"/>
    <w:rsid w:val="00CB4D66"/>
    <w:rsid w:val="00CB7122"/>
    <w:rsid w:val="00CB7C37"/>
    <w:rsid w:val="00CC2736"/>
    <w:rsid w:val="00CD0040"/>
    <w:rsid w:val="00CE5ABC"/>
    <w:rsid w:val="00CE7529"/>
    <w:rsid w:val="00CF59F5"/>
    <w:rsid w:val="00D043EA"/>
    <w:rsid w:val="00D308E1"/>
    <w:rsid w:val="00D3168B"/>
    <w:rsid w:val="00D3383D"/>
    <w:rsid w:val="00D470E1"/>
    <w:rsid w:val="00D55035"/>
    <w:rsid w:val="00D6367F"/>
    <w:rsid w:val="00D85A7A"/>
    <w:rsid w:val="00DC16DD"/>
    <w:rsid w:val="00DC48C8"/>
    <w:rsid w:val="00DC57DD"/>
    <w:rsid w:val="00DC78BA"/>
    <w:rsid w:val="00DD358F"/>
    <w:rsid w:val="00DD64F8"/>
    <w:rsid w:val="00DE0F3F"/>
    <w:rsid w:val="00DE2A04"/>
    <w:rsid w:val="00DE3B31"/>
    <w:rsid w:val="00DE4527"/>
    <w:rsid w:val="00DE6D0B"/>
    <w:rsid w:val="00E01E97"/>
    <w:rsid w:val="00E061EE"/>
    <w:rsid w:val="00E13383"/>
    <w:rsid w:val="00E16814"/>
    <w:rsid w:val="00E24159"/>
    <w:rsid w:val="00E42D2D"/>
    <w:rsid w:val="00E44E82"/>
    <w:rsid w:val="00E45932"/>
    <w:rsid w:val="00E47775"/>
    <w:rsid w:val="00E50020"/>
    <w:rsid w:val="00E52676"/>
    <w:rsid w:val="00E5542B"/>
    <w:rsid w:val="00E55702"/>
    <w:rsid w:val="00E73AC0"/>
    <w:rsid w:val="00E80CC1"/>
    <w:rsid w:val="00EA79A6"/>
    <w:rsid w:val="00EB7425"/>
    <w:rsid w:val="00ED21D6"/>
    <w:rsid w:val="00ED2E18"/>
    <w:rsid w:val="00EE3D16"/>
    <w:rsid w:val="00EE7348"/>
    <w:rsid w:val="00EE7F46"/>
    <w:rsid w:val="00F00AE7"/>
    <w:rsid w:val="00F01A8C"/>
    <w:rsid w:val="00F274E5"/>
    <w:rsid w:val="00F304AD"/>
    <w:rsid w:val="00F34C2E"/>
    <w:rsid w:val="00F43301"/>
    <w:rsid w:val="00F44CEB"/>
    <w:rsid w:val="00F46AE6"/>
    <w:rsid w:val="00F5009A"/>
    <w:rsid w:val="00F52419"/>
    <w:rsid w:val="00F5472A"/>
    <w:rsid w:val="00F60C12"/>
    <w:rsid w:val="00F844E2"/>
    <w:rsid w:val="00F9030B"/>
    <w:rsid w:val="00F92A4E"/>
    <w:rsid w:val="00FA66B0"/>
    <w:rsid w:val="00FB28E9"/>
    <w:rsid w:val="00FB2B62"/>
    <w:rsid w:val="00FB6827"/>
    <w:rsid w:val="00FC1FC1"/>
    <w:rsid w:val="00FC7D9A"/>
    <w:rsid w:val="00FD0774"/>
    <w:rsid w:val="00FD1BD3"/>
    <w:rsid w:val="00FD4359"/>
    <w:rsid w:val="00FE07AA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8E1"/>
    <w:pPr>
      <w:keepNext/>
      <w:tabs>
        <w:tab w:val="right" w:leader="dot" w:pos="9639"/>
      </w:tabs>
      <w:spacing w:line="480" w:lineRule="auto"/>
      <w:ind w:right="91"/>
      <w:jc w:val="both"/>
      <w:outlineLvl w:val="2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character" w:customStyle="1" w:styleId="Nagwek3Znak">
    <w:name w:val="Nagłówek 3 Znak"/>
    <w:basedOn w:val="Domylnaczcionkaakapitu"/>
    <w:link w:val="Nagwek3"/>
    <w:uiPriority w:val="9"/>
    <w:rsid w:val="00D308E1"/>
    <w:rPr>
      <w:rFonts w:eastAsia="Arial" w:cstheme="minorHAnsi"/>
      <w:b/>
      <w:sz w:val="28"/>
      <w:szCs w:val="28"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08E1"/>
    <w:pPr>
      <w:tabs>
        <w:tab w:val="right" w:leader="dot" w:pos="9639"/>
      </w:tabs>
      <w:spacing w:line="480" w:lineRule="auto"/>
      <w:ind w:right="91"/>
      <w:jc w:val="both"/>
    </w:pPr>
    <w:rPr>
      <w:rFonts w:asciiTheme="minorHAnsi" w:hAnsiTheme="minorHAnsi" w:cstheme="minorHAns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08E1"/>
    <w:rPr>
      <w:rFonts w:eastAsia="Arial" w:cstheme="minorHAnsi"/>
      <w:sz w:val="24"/>
      <w:szCs w:val="24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308E1"/>
    <w:pPr>
      <w:tabs>
        <w:tab w:val="right" w:leader="dot" w:pos="9639"/>
      </w:tabs>
      <w:spacing w:line="480" w:lineRule="auto"/>
      <w:ind w:right="91"/>
      <w:jc w:val="both"/>
    </w:pPr>
    <w:rPr>
      <w:rFonts w:asciiTheme="minorHAnsi" w:hAnsiTheme="minorHAnsi" w:cstheme="minorHAnsi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08E1"/>
    <w:rPr>
      <w:rFonts w:eastAsia="Arial" w:cstheme="minorHAnsi"/>
      <w:u w:val="singl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57DB7-0439-4348-9D3D-6E0929E0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2099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Agnieszka Malinowska</cp:lastModifiedBy>
  <cp:revision>5</cp:revision>
  <cp:lastPrinted>2023-06-16T10:48:00Z</cp:lastPrinted>
  <dcterms:created xsi:type="dcterms:W3CDTF">2023-10-26T12:31:00Z</dcterms:created>
  <dcterms:modified xsi:type="dcterms:W3CDTF">2023-11-09T08:19:00Z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