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762" w:rsidRPr="006944A4" w:rsidRDefault="002F6762" w:rsidP="002F676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2F6762" w:rsidRPr="006944A4" w:rsidRDefault="002F6762" w:rsidP="002F676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2F6762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A24A8C" w:rsidRPr="006944A4" w:rsidRDefault="00A24A8C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2F6762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A24A8C" w:rsidRPr="006944A4" w:rsidRDefault="00A24A8C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2F6762" w:rsidRPr="006944A4" w:rsidRDefault="002F6762" w:rsidP="002F676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DANIE INSTANT</w:t>
      </w:r>
    </w:p>
    <w:p w:rsidR="002F6762" w:rsidRPr="006944A4" w:rsidRDefault="002F6762" w:rsidP="002F676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 xml:space="preserve">MAKARON </w:t>
      </w:r>
      <w:r>
        <w:rPr>
          <w:rFonts w:ascii="Arial" w:eastAsia="Times New Roman" w:hAnsi="Arial" w:cs="Arial"/>
          <w:b/>
          <w:kern w:val="1"/>
          <w:sz w:val="40"/>
          <w:szCs w:val="40"/>
        </w:rPr>
        <w:t xml:space="preserve">CARBONARA </w:t>
      </w:r>
      <w:r w:rsidR="007E4964">
        <w:rPr>
          <w:rFonts w:ascii="Arial" w:eastAsia="Times New Roman" w:hAnsi="Arial" w:cs="Arial"/>
          <w:b/>
          <w:kern w:val="1"/>
          <w:sz w:val="40"/>
          <w:szCs w:val="40"/>
        </w:rPr>
        <w:br/>
      </w: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br/>
      </w:r>
    </w:p>
    <w:p w:rsidR="002F6762" w:rsidRPr="006944A4" w:rsidRDefault="002F6762" w:rsidP="002F676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2F6762" w:rsidRPr="006944A4" w:rsidTr="002F4BF5">
        <w:tc>
          <w:tcPr>
            <w:tcW w:w="4606" w:type="dxa"/>
          </w:tcPr>
          <w:p w:rsidR="002F6762" w:rsidRPr="006944A4" w:rsidRDefault="002F6762" w:rsidP="002F4BF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24"/>
                <w:sz w:val="24"/>
                <w:szCs w:val="24"/>
              </w:rPr>
            </w:pPr>
            <w:r w:rsidRPr="006944A4">
              <w:rPr>
                <w:rFonts w:ascii="Arial" w:eastAsia="Times New Roman" w:hAnsi="Arial" w:cs="Arial"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322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</w:p>
        </w:tc>
      </w:tr>
    </w:tbl>
    <w:p w:rsidR="002F6762" w:rsidRPr="006944A4" w:rsidRDefault="002F6762" w:rsidP="002F676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0D6B9A" w:rsidRDefault="002F6762" w:rsidP="000D6B9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2F6762" w:rsidRPr="006944A4" w:rsidRDefault="002F6762" w:rsidP="000D6B9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2F6762" w:rsidRPr="006944A4" w:rsidRDefault="002F6762" w:rsidP="002F6762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dania instant – makaron </w:t>
      </w:r>
      <w:r>
        <w:rPr>
          <w:rFonts w:ascii="Arial" w:eastAsia="Calibri" w:hAnsi="Arial" w:cs="Arial"/>
          <w:sz w:val="20"/>
          <w:szCs w:val="20"/>
          <w:lang w:eastAsia="pl-PL"/>
        </w:rPr>
        <w:t>carbonara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dania instant – makaron </w:t>
      </w:r>
      <w:r>
        <w:rPr>
          <w:rFonts w:ascii="Arial" w:eastAsia="Calibri" w:hAnsi="Arial" w:cs="Arial"/>
          <w:sz w:val="20"/>
          <w:szCs w:val="20"/>
          <w:lang w:eastAsia="pl-PL"/>
        </w:rPr>
        <w:t>carbonara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2F6762" w:rsidRPr="006944A4" w:rsidRDefault="002F6762" w:rsidP="002F676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PN-A-79011-2 Koncentraty spożywcze - Metody badań - Badania organoleptyczne, sprawdzanie stanu opakowań, oznaczanie zanieczyszczeń</w:t>
      </w:r>
    </w:p>
    <w:p w:rsidR="002F6762" w:rsidRPr="006944A4" w:rsidRDefault="002F6762" w:rsidP="002F676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PN-A-79011-7 Koncentraty spożywcze - Metody badań - Oznaczanie zawartości chlorku sodu</w:t>
      </w:r>
    </w:p>
    <w:p w:rsidR="002F6762" w:rsidRPr="006944A4" w:rsidRDefault="002F6762" w:rsidP="002F676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2F6762" w:rsidRPr="006944A4" w:rsidRDefault="002F6762" w:rsidP="002F6762">
      <w:pPr>
        <w:widowControl w:val="0"/>
        <w:suppressAutoHyphens/>
        <w:spacing w:before="240" w:after="24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2F6762" w:rsidRPr="006944A4" w:rsidRDefault="002F6762" w:rsidP="002F676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Danie instant – makaron </w:t>
      </w:r>
      <w:r w:rsidRPr="002F6762">
        <w:rPr>
          <w:rFonts w:ascii="Arial" w:eastAsia="Calibri" w:hAnsi="Arial" w:cs="Arial"/>
          <w:b/>
          <w:sz w:val="20"/>
          <w:szCs w:val="20"/>
          <w:lang w:eastAsia="pl-PL"/>
        </w:rPr>
        <w:t>carbonara</w:t>
      </w:r>
      <w:r w:rsidR="007E4964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:rsidR="002F6762" w:rsidRPr="006944A4" w:rsidRDefault="002F6762" w:rsidP="002F676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 xml:space="preserve">z naturalnymi barwników organicznych oraz innych substancji dopuszczonych do stosowania,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>z</w:t>
      </w:r>
      <w:r w:rsidR="00032C65">
        <w:rPr>
          <w:rFonts w:ascii="Arial" w:eastAsia="Times New Roman" w:hAnsi="Arial" w:cs="Arial"/>
          <w:bCs/>
          <w:kern w:val="1"/>
          <w:sz w:val="20"/>
          <w:szCs w:val="20"/>
        </w:rPr>
        <w:t xml:space="preserve"> dodatkiem makaronu, z którego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po zalaniu wrzątkiem i zamieszaniu otrzymamy gotowe do spożycia danie.</w:t>
      </w:r>
    </w:p>
    <w:p w:rsidR="002F6762" w:rsidRPr="006944A4" w:rsidRDefault="002F6762" w:rsidP="002F676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Danie instant – makaron </w:t>
      </w:r>
      <w:r>
        <w:rPr>
          <w:rFonts w:ascii="Arial" w:eastAsia="Calibri" w:hAnsi="Arial" w:cs="Arial"/>
          <w:sz w:val="20"/>
          <w:szCs w:val="20"/>
          <w:lang w:eastAsia="pl-PL"/>
        </w:rPr>
        <w:t>carbonara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powinien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zawierać w składzie co najmniej: 5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0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 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makaronu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świderki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, 1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0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śmietanki w proszku, 3% suszonego boczku wędzonego, 3% sera w proszku, suszone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warzyw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a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 (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smażona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cebula,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czosnek).</w:t>
      </w:r>
    </w:p>
    <w:p w:rsidR="002F6762" w:rsidRPr="006944A4" w:rsidRDefault="002F6762" w:rsidP="002F6762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2F6762" w:rsidRPr="006944A4" w:rsidRDefault="002F6762" w:rsidP="002F6762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2F6762" w:rsidRPr="006944A4" w:rsidRDefault="002F6762" w:rsidP="002F6762">
      <w:pPr>
        <w:spacing w:before="240" w:after="240" w:line="24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2F6762" w:rsidRPr="006944A4" w:rsidRDefault="002F6762" w:rsidP="002F6762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2F6762" w:rsidRPr="006944A4" w:rsidRDefault="002F6762" w:rsidP="002F6762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1 i 2.</w:t>
      </w:r>
    </w:p>
    <w:p w:rsidR="002F6762" w:rsidRPr="006944A4" w:rsidRDefault="002F6762" w:rsidP="002F6762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52"/>
      </w:tblGrid>
      <w:tr w:rsidR="002F6762" w:rsidRPr="006944A4" w:rsidTr="002F4BF5">
        <w:trPr>
          <w:trHeight w:val="450"/>
          <w:jc w:val="center"/>
        </w:trPr>
        <w:tc>
          <w:tcPr>
            <w:tcW w:w="0" w:type="auto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2F6762" w:rsidRPr="006944A4" w:rsidRDefault="002F6762" w:rsidP="002F4B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2F6762" w:rsidRPr="006944A4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6944A4" w:rsidRDefault="002F6762" w:rsidP="002F676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Produkt sypki, widoczny makaron i cząstki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składników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zgodnie ze składem surowcowym, dopuszczalne nietrwałe zbrylenia składników rozprowadzające się w 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2F6762" w:rsidRPr="006944A4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2F6762" w:rsidRPr="006944A4" w:rsidRDefault="002F6762" w:rsidP="002F6762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bookmarkStart w:id="1" w:name="_Toc134517192"/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49"/>
      </w:tblGrid>
      <w:tr w:rsidR="002F6762" w:rsidRPr="006944A4" w:rsidTr="002F4BF5">
        <w:trPr>
          <w:trHeight w:val="450"/>
          <w:jc w:val="center"/>
        </w:trPr>
        <w:tc>
          <w:tcPr>
            <w:tcW w:w="0" w:type="auto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2F6762" w:rsidRPr="006944A4" w:rsidRDefault="002F6762" w:rsidP="002F4B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2F6762" w:rsidRPr="006944A4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konsystencja</w:t>
            </w:r>
          </w:p>
        </w:tc>
        <w:tc>
          <w:tcPr>
            <w:tcW w:w="5812" w:type="dxa"/>
          </w:tcPr>
          <w:p w:rsidR="002F6762" w:rsidRPr="006944A4" w:rsidRDefault="002F6762" w:rsidP="007449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typowa dla makaronu </w:t>
            </w:r>
            <w:r w:rsidR="00744937">
              <w:rPr>
                <w:rFonts w:ascii="Arial" w:eastAsia="Times New Roman" w:hAnsi="Arial" w:cs="Arial"/>
                <w:kern w:val="1"/>
                <w:sz w:val="18"/>
                <w:szCs w:val="18"/>
              </w:rPr>
              <w:t>carbonara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, </w:t>
            </w:r>
            <w:r w:rsidR="00744937">
              <w:rPr>
                <w:rFonts w:ascii="Arial" w:eastAsia="Times New Roman" w:hAnsi="Arial" w:cs="Arial"/>
                <w:kern w:val="1"/>
                <w:sz w:val="18"/>
                <w:szCs w:val="18"/>
              </w:rPr>
              <w:t>widoczny makaron i cząstki składników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2F6762" w:rsidRPr="006944A4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6944A4" w:rsidRDefault="002F6762" w:rsidP="0074493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Właściwa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makaronu </w:t>
            </w:r>
            <w:r w:rsidR="00744937">
              <w:rPr>
                <w:rFonts w:ascii="Arial" w:eastAsia="Times New Roman" w:hAnsi="Arial" w:cs="Arial"/>
                <w:kern w:val="1"/>
                <w:sz w:val="18"/>
                <w:szCs w:val="18"/>
              </w:rPr>
              <w:t>carbonara</w:t>
            </w:r>
          </w:p>
        </w:tc>
        <w:tc>
          <w:tcPr>
            <w:tcW w:w="1549" w:type="dxa"/>
            <w:vMerge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2F6762" w:rsidRPr="006944A4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Charakterystyczny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dania 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2F6762" w:rsidRPr="006944A4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1286" w:type="dxa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Charakterystyczny dla smak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u dania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2F6762" w:rsidRPr="006944A4" w:rsidRDefault="002F6762" w:rsidP="002F6762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2F6762" w:rsidRPr="006944A4" w:rsidRDefault="002F6762" w:rsidP="002F6762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3.</w:t>
      </w:r>
    </w:p>
    <w:p w:rsidR="002F6762" w:rsidRPr="006944A4" w:rsidRDefault="002F6762" w:rsidP="002F6762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14"/>
        <w:gridCol w:w="1984"/>
        <w:gridCol w:w="1552"/>
      </w:tblGrid>
      <w:tr w:rsidR="002F6762" w:rsidRPr="006944A4" w:rsidTr="002F4BF5">
        <w:trPr>
          <w:trHeight w:val="450"/>
          <w:jc w:val="center"/>
        </w:trPr>
        <w:tc>
          <w:tcPr>
            <w:tcW w:w="0" w:type="auto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5114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984" w:type="dxa"/>
            <w:vAlign w:val="center"/>
          </w:tcPr>
          <w:p w:rsidR="002F6762" w:rsidRPr="006944A4" w:rsidRDefault="002F6762" w:rsidP="002F4B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2F6762" w:rsidRPr="006944A4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5114" w:type="dxa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popiołu nierozpus</w:t>
            </w:r>
            <w:r w:rsidR="00611961">
              <w:rPr>
                <w:rFonts w:ascii="Arial" w:eastAsia="Times New Roman" w:hAnsi="Arial" w:cs="Arial"/>
                <w:kern w:val="1"/>
                <w:sz w:val="18"/>
                <w:szCs w:val="18"/>
              </w:rPr>
              <w:t>zczalnego w 10% roztworze HCl,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0,2</w:t>
            </w:r>
          </w:p>
        </w:tc>
        <w:tc>
          <w:tcPr>
            <w:tcW w:w="1552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PN-A-79011-8</w:t>
            </w:r>
          </w:p>
        </w:tc>
      </w:tr>
      <w:tr w:rsidR="002F6762" w:rsidRPr="006944A4" w:rsidTr="00611961">
        <w:trPr>
          <w:cantSplit/>
          <w:trHeight w:val="154"/>
          <w:jc w:val="center"/>
        </w:trPr>
        <w:tc>
          <w:tcPr>
            <w:tcW w:w="0" w:type="auto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5114" w:type="dxa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chlork</w:t>
            </w:r>
            <w:r w:rsidR="00611961">
              <w:rPr>
                <w:rFonts w:ascii="Arial" w:eastAsia="Times New Roman" w:hAnsi="Arial" w:cs="Arial"/>
                <w:kern w:val="1"/>
                <w:sz w:val="18"/>
                <w:szCs w:val="18"/>
              </w:rPr>
              <w:t>u sodu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</w:t>
            </w:r>
            <w:r w:rsidR="00611961">
              <w:rPr>
                <w:rFonts w:ascii="Arial" w:eastAsia="Times New Roman" w:hAnsi="Arial" w:cs="Arial"/>
                <w:kern w:val="1"/>
                <w:sz w:val="18"/>
                <w:szCs w:val="18"/>
              </w:rPr>
              <w:t>(m/m)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nie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5,0</w:t>
            </w:r>
          </w:p>
        </w:tc>
        <w:tc>
          <w:tcPr>
            <w:tcW w:w="1552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PN-A-79011-7</w:t>
            </w:r>
          </w:p>
        </w:tc>
      </w:tr>
      <w:tr w:rsidR="002F6762" w:rsidRPr="006944A4" w:rsidTr="002F4BF5">
        <w:trPr>
          <w:cantSplit/>
          <w:trHeight w:val="341"/>
          <w:jc w:val="center"/>
        </w:trPr>
        <w:tc>
          <w:tcPr>
            <w:tcW w:w="0" w:type="auto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5114" w:type="dxa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zeń mechanicznych, szkodników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ich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2F6762" w:rsidRPr="006944A4" w:rsidRDefault="002F6762" w:rsidP="002F4B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</w:tbl>
    <w:p w:rsidR="002F6762" w:rsidRPr="006944A4" w:rsidRDefault="002F6762" w:rsidP="002F6762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  <w:bookmarkEnd w:id="1"/>
    </w:p>
    <w:p w:rsidR="002F6762" w:rsidRPr="006944A4" w:rsidRDefault="002F6762" w:rsidP="002F6762">
      <w:pPr>
        <w:spacing w:after="0" w:line="36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  <w:r w:rsidRPr="006944A4">
        <w:rPr>
          <w:rFonts w:ascii="Arial" w:eastAsia="Calibri" w:hAnsi="Arial" w:cs="Arial"/>
          <w:sz w:val="20"/>
          <w:szCs w:val="16"/>
          <w:lang w:eastAsia="pl-PL"/>
        </w:rPr>
        <w:t>Z</w:t>
      </w:r>
      <w:r w:rsidRPr="006944A4">
        <w:rPr>
          <w:rFonts w:ascii="Arial" w:eastAsia="Calibri" w:hAnsi="Arial" w:cs="Arial"/>
          <w:sz w:val="20"/>
          <w:szCs w:val="16"/>
          <w:lang w:val="x-none" w:eastAsia="pl-PL"/>
        </w:rPr>
        <w:t>godnie z aktualnie obowiązującym prawem</w:t>
      </w:r>
      <w:r w:rsidRPr="006944A4">
        <w:rPr>
          <w:rFonts w:ascii="Arial" w:eastAsia="Calibri" w:hAnsi="Arial" w:cs="Arial"/>
          <w:sz w:val="20"/>
          <w:szCs w:val="16"/>
          <w:lang w:eastAsia="pl-PL"/>
        </w:rPr>
        <w:t>.</w:t>
      </w:r>
    </w:p>
    <w:p w:rsidR="002F6762" w:rsidRPr="006944A4" w:rsidRDefault="002F6762" w:rsidP="0061196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2F6762" w:rsidRPr="006944A4" w:rsidRDefault="002F6762" w:rsidP="002F6762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2F6762" w:rsidRPr="006944A4" w:rsidRDefault="002F6762" w:rsidP="00611961">
      <w:pPr>
        <w:spacing w:before="120"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bookmarkStart w:id="2" w:name="_GoBack"/>
      <w:r w:rsidRPr="006944A4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Masa netto powinna </w:t>
      </w:r>
      <w:r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pozwolić na przygotowanie 1 porcji dania i </w:t>
      </w:r>
      <w:r w:rsidRPr="006944A4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być zgodna z deklaracją producenta.</w:t>
      </w:r>
    </w:p>
    <w:p w:rsidR="002F6762" w:rsidRDefault="002F6762" w:rsidP="000B7CF0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Dopuszczalna ujemna wartość błędu masy netto powinna być zgodna z obowiązującym prawem</w:t>
      </w:r>
      <w:r w:rsidRPr="006944A4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:rsidR="000B7CF0" w:rsidRPr="000B7CF0" w:rsidRDefault="000B7CF0" w:rsidP="000B7CF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7CF0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0B7CF0" w:rsidRPr="000B7CF0" w:rsidRDefault="000B7CF0" w:rsidP="000B7CF0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0B7CF0">
        <w:rPr>
          <w:rFonts w:ascii="Arial" w:eastAsia="Arial Unicode MS" w:hAnsi="Arial" w:cs="Arial"/>
          <w:sz w:val="20"/>
          <w:szCs w:val="20"/>
          <w:lang w:eastAsia="pl-PL"/>
        </w:rPr>
        <w:t>50g,</w:t>
      </w:r>
    </w:p>
    <w:p w:rsidR="000B7CF0" w:rsidRPr="000B7CF0" w:rsidRDefault="000B7CF0" w:rsidP="000B7CF0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55g</w:t>
      </w:r>
      <w:r w:rsidRPr="000B7CF0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2F6762" w:rsidRPr="006944A4" w:rsidRDefault="002F6762" w:rsidP="002F6762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0B7CF0" w:rsidRDefault="000B7CF0" w:rsidP="000B7CF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>Okres minimalnej trwałości p</w:t>
      </w:r>
      <w:r>
        <w:rPr>
          <w:rFonts w:ascii="Arial" w:eastAsia="Lucida Sans Unicode" w:hAnsi="Arial" w:cs="Arial"/>
          <w:kern w:val="2"/>
          <w:sz w:val="20"/>
          <w:szCs w:val="20"/>
        </w:rPr>
        <w:t xml:space="preserve">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  <w:t>6 miesięcy</w:t>
      </w:r>
      <w:r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bookmarkEnd w:id="2"/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5 Metody badań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1 i 2.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3.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6.1.1 Opakowanie jednostkowe</w:t>
      </w:r>
    </w:p>
    <w:p w:rsidR="00032C65" w:rsidRDefault="002F6762" w:rsidP="002F6762">
      <w:pPr>
        <w:widowControl w:val="0"/>
        <w:suppressAutoHyphens/>
        <w:spacing w:before="120"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Danie instant powinno być pakowane w kubek, wykonany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 materiałów opakowaniowych przeznaczonych do kontaktu</w:t>
      </w:r>
      <w:r>
        <w:rPr>
          <w:rFonts w:ascii="Arial" w:eastAsia="Times New Roman" w:hAnsi="Arial" w:cs="Arial"/>
          <w:kern w:val="1"/>
          <w:sz w:val="20"/>
          <w:szCs w:val="24"/>
        </w:rPr>
        <w:t xml:space="preserve"> z żywnością, zamykany przy pomocy wieczka zgrzewanego do kubka.</w:t>
      </w:r>
    </w:p>
    <w:p w:rsidR="002F6762" w:rsidRPr="006944A4" w:rsidRDefault="002F6762" w:rsidP="00032C6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Opakowanie powinno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zabezpieczać produkt przed uszkodzen</w:t>
      </w:r>
      <w:r>
        <w:rPr>
          <w:rFonts w:ascii="Arial" w:eastAsia="Times New Roman" w:hAnsi="Arial" w:cs="Arial"/>
          <w:kern w:val="1"/>
          <w:sz w:val="20"/>
          <w:szCs w:val="24"/>
        </w:rPr>
        <w:t>iem i zanieczyszczeniem, powinno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być czyste, bez obcych zapa</w:t>
      </w:r>
      <w:r>
        <w:rPr>
          <w:rFonts w:ascii="Arial" w:eastAsia="Times New Roman" w:hAnsi="Arial" w:cs="Arial"/>
          <w:kern w:val="1"/>
          <w:sz w:val="20"/>
          <w:szCs w:val="24"/>
        </w:rPr>
        <w:t>chów i uszkodzeń mechanicznych.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</w:t>
      </w:r>
    </w:p>
    <w:p w:rsidR="002F6762" w:rsidRPr="006944A4" w:rsidRDefault="002F6762" w:rsidP="00032C65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2F6762" w:rsidRPr="006944A4" w:rsidRDefault="002F6762" w:rsidP="002F6762">
      <w:pPr>
        <w:spacing w:before="240" w:after="240" w:line="360" w:lineRule="auto"/>
        <w:rPr>
          <w:rFonts w:ascii="Arial" w:eastAsia="Times New Roman" w:hAnsi="Arial" w:cs="Arial"/>
          <w:b/>
          <w:kern w:val="20"/>
          <w:sz w:val="24"/>
          <w:szCs w:val="24"/>
        </w:rPr>
      </w:pPr>
      <w:r w:rsidRPr="006944A4">
        <w:rPr>
          <w:rFonts w:ascii="Arial" w:eastAsia="Times New Roman" w:hAnsi="Arial" w:cs="Arial"/>
          <w:b/>
          <w:kern w:val="20"/>
          <w:sz w:val="20"/>
          <w:szCs w:val="24"/>
        </w:rPr>
        <w:t>6.1.2. Opakowanie transportowe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2F6762" w:rsidRPr="006944A4" w:rsidRDefault="002F6762" w:rsidP="00032C6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</w:t>
      </w:r>
      <w:r>
        <w:rPr>
          <w:rFonts w:ascii="Arial" w:eastAsia="Times New Roman" w:hAnsi="Arial" w:cs="Arial"/>
          <w:kern w:val="1"/>
          <w:sz w:val="20"/>
          <w:szCs w:val="24"/>
        </w:rPr>
        <w:t>ch przeznaczonych do kontaktu z 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żywnością.</w:t>
      </w:r>
      <w:r w:rsidRPr="006944A4">
        <w:rPr>
          <w:rFonts w:ascii="Arial" w:eastAsia="Times New Roman" w:hAnsi="Arial" w:cs="Arial"/>
          <w:kern w:val="1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F6762" w:rsidRPr="006944A4" w:rsidRDefault="002F6762" w:rsidP="00032C6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2F6762" w:rsidRPr="006944A4" w:rsidRDefault="002F6762" w:rsidP="002F676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2F6762" w:rsidRDefault="002F6762" w:rsidP="002F676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p w:rsidR="00B35696" w:rsidRDefault="00B35696"/>
    <w:sectPr w:rsidR="00B35696" w:rsidSect="00F60F13">
      <w:footerReference w:type="default" r:id="rId9"/>
      <w:pgSz w:w="11906" w:h="16838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434" w:rsidRDefault="009D6434">
      <w:pPr>
        <w:spacing w:after="0" w:line="240" w:lineRule="auto"/>
      </w:pPr>
      <w:r>
        <w:separator/>
      </w:r>
    </w:p>
  </w:endnote>
  <w:endnote w:type="continuationSeparator" w:id="0">
    <w:p w:rsidR="009D6434" w:rsidRDefault="009D6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13" w:rsidRDefault="00744937" w:rsidP="00F60F13">
    <w:pPr>
      <w:pStyle w:val="Stopka"/>
      <w:pBdr>
        <w:bottom w:val="single" w:sz="4" w:space="1" w:color="auto"/>
      </w:pBdr>
      <w:tabs>
        <w:tab w:val="right" w:pos="9000"/>
      </w:tabs>
      <w:ind w:right="72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F60F13" w:rsidRDefault="00EF3DBA" w:rsidP="00F60F13">
    <w:pPr>
      <w:pStyle w:val="Stopka"/>
      <w:spacing w:before="120"/>
      <w:ind w:right="357"/>
      <w:jc w:val="center"/>
    </w:pPr>
    <w:r>
      <w:rPr>
        <w:rStyle w:val="Numerstrony"/>
        <w:rFonts w:ascii="Arial" w:hAnsi="Arial" w:cs="Arial"/>
        <w:sz w:val="16"/>
        <w:szCs w:val="16"/>
      </w:rPr>
      <w:tab/>
    </w:r>
    <w:r w:rsidR="005E5DEF">
      <w:rPr>
        <w:rStyle w:val="Numerstrony"/>
        <w:rFonts w:ascii="Arial" w:hAnsi="Arial" w:cs="Arial"/>
        <w:sz w:val="16"/>
        <w:szCs w:val="16"/>
      </w:rPr>
      <w:t>CZERWIEC 2024</w:t>
    </w:r>
    <w:r w:rsidR="000E227D">
      <w:rPr>
        <w:rStyle w:val="Numerstrony"/>
        <w:rFonts w:ascii="Arial" w:hAnsi="Arial" w:cs="Arial"/>
        <w:sz w:val="16"/>
        <w:szCs w:val="16"/>
      </w:rPr>
      <w:t xml:space="preserve"> r.</w:t>
    </w:r>
    <w:r w:rsidR="00744937">
      <w:rPr>
        <w:rStyle w:val="Numerstrony"/>
        <w:rFonts w:ascii="Arial" w:hAnsi="Arial" w:cs="Arial"/>
        <w:sz w:val="16"/>
        <w:szCs w:val="16"/>
      </w:rPr>
      <w:tab/>
      <w:t xml:space="preserve">Strona </w:t>
    </w:r>
    <w:r w:rsidR="00744937">
      <w:rPr>
        <w:rStyle w:val="Numerstrony"/>
        <w:rFonts w:ascii="Arial" w:hAnsi="Arial" w:cs="Arial"/>
        <w:sz w:val="16"/>
        <w:szCs w:val="16"/>
      </w:rPr>
      <w:fldChar w:fldCharType="begin"/>
    </w:r>
    <w:r w:rsidR="00744937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744937">
      <w:rPr>
        <w:rStyle w:val="Numerstrony"/>
        <w:rFonts w:ascii="Arial" w:hAnsi="Arial" w:cs="Arial"/>
        <w:sz w:val="16"/>
        <w:szCs w:val="16"/>
      </w:rPr>
      <w:fldChar w:fldCharType="separate"/>
    </w:r>
    <w:r w:rsidR="000B7CF0">
      <w:rPr>
        <w:rStyle w:val="Numerstrony"/>
        <w:rFonts w:ascii="Arial" w:hAnsi="Arial" w:cs="Arial"/>
        <w:noProof/>
        <w:sz w:val="16"/>
        <w:szCs w:val="16"/>
      </w:rPr>
      <w:t>3</w:t>
    </w:r>
    <w:r w:rsidR="00744937">
      <w:rPr>
        <w:rStyle w:val="Numerstrony"/>
        <w:rFonts w:ascii="Arial" w:hAnsi="Arial" w:cs="Arial"/>
        <w:sz w:val="16"/>
        <w:szCs w:val="16"/>
      </w:rPr>
      <w:fldChar w:fldCharType="end"/>
    </w:r>
    <w:r w:rsidR="00744937">
      <w:rPr>
        <w:rStyle w:val="Numerstrony"/>
        <w:rFonts w:ascii="Arial" w:hAnsi="Arial" w:cs="Arial"/>
        <w:sz w:val="16"/>
        <w:szCs w:val="16"/>
      </w:rPr>
      <w:t xml:space="preserve"> z </w:t>
    </w:r>
    <w:r w:rsidR="00744937">
      <w:rPr>
        <w:rStyle w:val="Numerstrony"/>
        <w:rFonts w:ascii="Arial" w:hAnsi="Arial" w:cs="Arial"/>
        <w:sz w:val="16"/>
        <w:szCs w:val="16"/>
      </w:rPr>
      <w:fldChar w:fldCharType="begin"/>
    </w:r>
    <w:r w:rsidR="00744937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744937">
      <w:rPr>
        <w:rStyle w:val="Numerstrony"/>
        <w:rFonts w:ascii="Arial" w:hAnsi="Arial" w:cs="Arial"/>
        <w:sz w:val="16"/>
        <w:szCs w:val="16"/>
      </w:rPr>
      <w:fldChar w:fldCharType="separate"/>
    </w:r>
    <w:r w:rsidR="000B7CF0">
      <w:rPr>
        <w:rStyle w:val="Numerstrony"/>
        <w:rFonts w:ascii="Arial" w:hAnsi="Arial" w:cs="Arial"/>
        <w:noProof/>
        <w:sz w:val="16"/>
        <w:szCs w:val="16"/>
      </w:rPr>
      <w:t>4</w:t>
    </w:r>
    <w:r w:rsidR="00744937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434" w:rsidRDefault="009D6434">
      <w:pPr>
        <w:spacing w:after="0" w:line="240" w:lineRule="auto"/>
      </w:pPr>
      <w:r>
        <w:separator/>
      </w:r>
    </w:p>
  </w:footnote>
  <w:footnote w:type="continuationSeparator" w:id="0">
    <w:p w:rsidR="009D6434" w:rsidRDefault="009D6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F30684"/>
    <w:multiLevelType w:val="hybridMultilevel"/>
    <w:tmpl w:val="3222B97E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62"/>
    <w:rsid w:val="00032C65"/>
    <w:rsid w:val="000409CC"/>
    <w:rsid w:val="000B7CF0"/>
    <w:rsid w:val="000D6B9A"/>
    <w:rsid w:val="000E227D"/>
    <w:rsid w:val="001171FA"/>
    <w:rsid w:val="002E4030"/>
    <w:rsid w:val="002F6762"/>
    <w:rsid w:val="00416100"/>
    <w:rsid w:val="00464C01"/>
    <w:rsid w:val="004F3BA1"/>
    <w:rsid w:val="005C5AF7"/>
    <w:rsid w:val="005D7537"/>
    <w:rsid w:val="005E5DEF"/>
    <w:rsid w:val="00611961"/>
    <w:rsid w:val="00744937"/>
    <w:rsid w:val="007E4964"/>
    <w:rsid w:val="008079A8"/>
    <w:rsid w:val="00940A45"/>
    <w:rsid w:val="009D6434"/>
    <w:rsid w:val="00A24A8C"/>
    <w:rsid w:val="00B35696"/>
    <w:rsid w:val="00CD70B3"/>
    <w:rsid w:val="00CD7F88"/>
    <w:rsid w:val="00CF6456"/>
    <w:rsid w:val="00E83A0E"/>
    <w:rsid w:val="00E9411A"/>
    <w:rsid w:val="00EA02FC"/>
    <w:rsid w:val="00EF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1DE1F"/>
  <w15:chartTrackingRefBased/>
  <w15:docId w15:val="{02511957-A751-411F-92B7-9FD9BC46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7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F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762"/>
  </w:style>
  <w:style w:type="character" w:styleId="Numerstrony">
    <w:name w:val="page number"/>
    <w:basedOn w:val="Domylnaczcionkaakapitu"/>
    <w:rsid w:val="002F6762"/>
  </w:style>
  <w:style w:type="paragraph" w:styleId="Nagwek">
    <w:name w:val="header"/>
    <w:basedOn w:val="Normalny"/>
    <w:link w:val="NagwekZnak"/>
    <w:uiPriority w:val="99"/>
    <w:unhideWhenUsed/>
    <w:rsid w:val="005D7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537"/>
  </w:style>
  <w:style w:type="paragraph" w:styleId="Tekstdymka">
    <w:name w:val="Balloon Text"/>
    <w:basedOn w:val="Normalny"/>
    <w:link w:val="TekstdymkaZnak"/>
    <w:uiPriority w:val="99"/>
    <w:semiHidden/>
    <w:unhideWhenUsed/>
    <w:rsid w:val="005D7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2262B-2F4B-43FD-A509-DC36FFE4AA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00F896-7DBD-46CC-A0F4-A7E85DD1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23</cp:revision>
  <cp:lastPrinted>2023-04-11T09:18:00Z</cp:lastPrinted>
  <dcterms:created xsi:type="dcterms:W3CDTF">2021-10-27T08:53:00Z</dcterms:created>
  <dcterms:modified xsi:type="dcterms:W3CDTF">2024-04-26T12:48:00Z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dea5c070-4d34-49a6-862f-4258f216e739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cHHgHLhhRrQfh0qSWfexF1dNfCgK4Cdt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