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3BBCD" w14:textId="2C054C80" w:rsidR="001B6D57" w:rsidRDefault="001B6D57" w:rsidP="00EA2FF5">
      <w:pPr>
        <w:pStyle w:val="02Subtitle"/>
        <w:jc w:val="center"/>
      </w:pPr>
      <w:r>
        <w:t xml:space="preserve">Template </w:t>
      </w:r>
      <w:r w:rsidR="00EA2FF5">
        <w:t xml:space="preserve">Agreed upon Procedures Report - </w:t>
      </w:r>
      <w:r>
        <w:rPr>
          <w:spacing w:val="-2"/>
        </w:rPr>
        <w:t>Subgrantees</w:t>
      </w:r>
    </w:p>
    <w:p w14:paraId="5B988CA0" w14:textId="77777777" w:rsidR="001B6D57" w:rsidRDefault="001B6D57" w:rsidP="001B6D57">
      <w:pPr>
        <w:pStyle w:val="Tekstpodstawowy"/>
        <w:spacing w:before="144"/>
      </w:pPr>
    </w:p>
    <w:p w14:paraId="0657B836" w14:textId="77777777" w:rsidR="001B6D57" w:rsidRDefault="001B6D57" w:rsidP="001B6D57">
      <w:pPr>
        <w:pStyle w:val="Tekstpodstawowy"/>
        <w:ind w:left="101"/>
      </w:pPr>
      <w:r>
        <w:rPr>
          <w:color w:val="323232"/>
          <w:spacing w:val="-2"/>
          <w:highlight w:val="lightGray"/>
        </w:rPr>
        <w:t>[Subgrantee]</w:t>
      </w:r>
    </w:p>
    <w:p w14:paraId="6E429A2D" w14:textId="77777777" w:rsidR="001B6D57" w:rsidRDefault="001B6D57" w:rsidP="001B6D57">
      <w:pPr>
        <w:pStyle w:val="Tekstpodstawowy"/>
      </w:pPr>
    </w:p>
    <w:p w14:paraId="0C2190C9" w14:textId="77777777" w:rsidR="001B6D57" w:rsidRDefault="001B6D57" w:rsidP="001B6D57">
      <w:pPr>
        <w:pStyle w:val="Tekstpodstawowy"/>
      </w:pPr>
    </w:p>
    <w:p w14:paraId="7EBC19CD" w14:textId="77777777" w:rsidR="001B6D57" w:rsidRDefault="001B6D57" w:rsidP="001B6D57">
      <w:pPr>
        <w:pStyle w:val="Tekstpodstawowy"/>
        <w:spacing w:before="41"/>
      </w:pPr>
    </w:p>
    <w:p w14:paraId="1136C2D0" w14:textId="77777777" w:rsidR="001B6D57" w:rsidRDefault="001B6D57" w:rsidP="001B6D57">
      <w:pPr>
        <w:ind w:left="101"/>
        <w:jc w:val="both"/>
        <w:rPr>
          <w:i/>
          <w:sz w:val="20"/>
        </w:rPr>
      </w:pPr>
      <w:r>
        <w:rPr>
          <w:i/>
          <w:color w:val="323232"/>
          <w:sz w:val="20"/>
        </w:rPr>
        <w:t>Scope</w:t>
      </w:r>
      <w:r>
        <w:rPr>
          <w:i/>
          <w:color w:val="323232"/>
          <w:spacing w:val="-2"/>
          <w:sz w:val="20"/>
        </w:rPr>
        <w:t xml:space="preserve"> </w:t>
      </w:r>
      <w:r>
        <w:rPr>
          <w:i/>
          <w:color w:val="323232"/>
          <w:sz w:val="20"/>
        </w:rPr>
        <w:t>and</w:t>
      </w:r>
      <w:r>
        <w:rPr>
          <w:i/>
          <w:color w:val="323232"/>
          <w:spacing w:val="-1"/>
          <w:sz w:val="20"/>
        </w:rPr>
        <w:t xml:space="preserve"> </w:t>
      </w:r>
      <w:r>
        <w:rPr>
          <w:i/>
          <w:color w:val="323232"/>
          <w:spacing w:val="-2"/>
          <w:sz w:val="20"/>
        </w:rPr>
        <w:t>purpose</w:t>
      </w:r>
    </w:p>
    <w:p w14:paraId="2EEB884D" w14:textId="074D798B" w:rsidR="001B6D57" w:rsidRDefault="001B6D57" w:rsidP="000E1B41">
      <w:pPr>
        <w:pStyle w:val="Tekstpodstawowy"/>
        <w:spacing w:before="60" w:line="264" w:lineRule="auto"/>
        <w:ind w:left="101" w:right="306"/>
        <w:jc w:val="both"/>
      </w:pPr>
      <w:r>
        <w:rPr>
          <w:color w:val="323232"/>
        </w:rPr>
        <w:t xml:space="preserve">As agreed under the Specific Agreement dated </w:t>
      </w:r>
      <w:r>
        <w:rPr>
          <w:color w:val="323232"/>
          <w:highlight w:val="lightGray"/>
        </w:rPr>
        <w:t>dd/mm/</w:t>
      </w:r>
      <w:proofErr w:type="spellStart"/>
      <w:r>
        <w:rPr>
          <w:color w:val="323232"/>
          <w:highlight w:val="lightGray"/>
        </w:rPr>
        <w:t>yyyy</w:t>
      </w:r>
      <w:proofErr w:type="spellEnd"/>
      <w:r w:rsidR="000E1B41">
        <w:rPr>
          <w:color w:val="323232"/>
        </w:rPr>
        <w:t>,</w:t>
      </w:r>
      <w:r>
        <w:rPr>
          <w:color w:val="323232"/>
          <w:spacing w:val="-2"/>
        </w:rPr>
        <w:t xml:space="preserve"> </w:t>
      </w:r>
      <w:r>
        <w:rPr>
          <w:color w:val="323232"/>
        </w:rPr>
        <w:t>we,</w:t>
      </w:r>
      <w:r>
        <w:rPr>
          <w:color w:val="323232"/>
          <w:spacing w:val="-2"/>
        </w:rPr>
        <w:t xml:space="preserve"> </w:t>
      </w:r>
      <w:r>
        <w:rPr>
          <w:color w:val="323232"/>
          <w:highlight w:val="lightGray"/>
        </w:rPr>
        <w:t>[name of</w:t>
      </w:r>
      <w:r>
        <w:rPr>
          <w:color w:val="323232"/>
          <w:spacing w:val="-1"/>
          <w:highlight w:val="lightGray"/>
        </w:rPr>
        <w:t xml:space="preserve"> </w:t>
      </w:r>
      <w:r>
        <w:rPr>
          <w:color w:val="323232"/>
          <w:highlight w:val="lightGray"/>
        </w:rPr>
        <w:t>the</w:t>
      </w:r>
      <w:r>
        <w:rPr>
          <w:color w:val="323232"/>
          <w:spacing w:val="-2"/>
          <w:highlight w:val="lightGray"/>
        </w:rPr>
        <w:t xml:space="preserve"> </w:t>
      </w:r>
      <w:r>
        <w:rPr>
          <w:color w:val="323232"/>
          <w:highlight w:val="lightGray"/>
        </w:rPr>
        <w:t>practitioner]</w:t>
      </w:r>
      <w:r>
        <w:rPr>
          <w:color w:val="323232"/>
          <w:spacing w:val="-3"/>
        </w:rPr>
        <w:t xml:space="preserve"> </w:t>
      </w:r>
      <w:r>
        <w:rPr>
          <w:color w:val="323232"/>
        </w:rPr>
        <w:t>(‘the</w:t>
      </w:r>
      <w:r>
        <w:rPr>
          <w:color w:val="323232"/>
          <w:spacing w:val="-2"/>
        </w:rPr>
        <w:t xml:space="preserve"> </w:t>
      </w:r>
      <w:r>
        <w:rPr>
          <w:color w:val="323232"/>
        </w:rPr>
        <w:t>Practitioner’),</w:t>
      </w:r>
      <w:r>
        <w:rPr>
          <w:color w:val="323232"/>
          <w:spacing w:val="-2"/>
        </w:rPr>
        <w:t xml:space="preserve"> </w:t>
      </w:r>
      <w:r>
        <w:rPr>
          <w:color w:val="323232"/>
        </w:rPr>
        <w:t>established</w:t>
      </w:r>
      <w:r>
        <w:rPr>
          <w:color w:val="323232"/>
          <w:spacing w:val="-2"/>
        </w:rPr>
        <w:t xml:space="preserve"> </w:t>
      </w:r>
      <w:r>
        <w:rPr>
          <w:color w:val="323232"/>
        </w:rPr>
        <w:t xml:space="preserve">at </w:t>
      </w:r>
      <w:r>
        <w:rPr>
          <w:color w:val="323232"/>
          <w:highlight w:val="lightGray"/>
        </w:rPr>
        <w:t>[full address/city/state/province/country]</w:t>
      </w:r>
      <w:r>
        <w:rPr>
          <w:i/>
          <w:color w:val="323232"/>
        </w:rPr>
        <w:t xml:space="preserve">, </w:t>
      </w:r>
      <w:r>
        <w:rPr>
          <w:color w:val="323232"/>
        </w:rPr>
        <w:t xml:space="preserve">represented by </w:t>
      </w:r>
      <w:r>
        <w:rPr>
          <w:color w:val="323232"/>
          <w:highlight w:val="lightGray"/>
        </w:rPr>
        <w:t xml:space="preserve">[name and function of an </w:t>
      </w:r>
      <w:proofErr w:type="spellStart"/>
      <w:r>
        <w:rPr>
          <w:color w:val="323232"/>
          <w:highlight w:val="lightGray"/>
        </w:rPr>
        <w:t>authorised</w:t>
      </w:r>
      <w:proofErr w:type="spellEnd"/>
      <w:r>
        <w:rPr>
          <w:color w:val="323232"/>
        </w:rPr>
        <w:t xml:space="preserve"> </w:t>
      </w:r>
      <w:r>
        <w:rPr>
          <w:color w:val="323232"/>
          <w:highlight w:val="lightGray"/>
        </w:rPr>
        <w:t>representative]</w:t>
      </w:r>
      <w:r>
        <w:rPr>
          <w:i/>
          <w:color w:val="323232"/>
        </w:rPr>
        <w:t xml:space="preserve">, </w:t>
      </w:r>
      <w:r>
        <w:rPr>
          <w:color w:val="323232"/>
        </w:rPr>
        <w:t xml:space="preserve">have performed the procedures enumerated in annex to this report, which were agreed to by EIT </w:t>
      </w:r>
      <w:r w:rsidR="000E1B41">
        <w:rPr>
          <w:color w:val="323232"/>
        </w:rPr>
        <w:t>InnoEnergy SE</w:t>
      </w:r>
      <w:r>
        <w:rPr>
          <w:color w:val="323232"/>
        </w:rPr>
        <w:t xml:space="preserve"> and the European Institute of</w:t>
      </w:r>
      <w:r>
        <w:rPr>
          <w:color w:val="323232"/>
          <w:spacing w:val="-1"/>
        </w:rPr>
        <w:t xml:space="preserve"> </w:t>
      </w:r>
      <w:r>
        <w:rPr>
          <w:color w:val="323232"/>
        </w:rPr>
        <w:t>Innovation</w:t>
      </w:r>
      <w:r>
        <w:rPr>
          <w:color w:val="323232"/>
          <w:spacing w:val="-1"/>
        </w:rPr>
        <w:t xml:space="preserve"> </w:t>
      </w:r>
      <w:r>
        <w:rPr>
          <w:color w:val="323232"/>
        </w:rPr>
        <w:t>and Technology, the ‘EIT’ (‘Granting Authority’),</w:t>
      </w:r>
      <w:r>
        <w:rPr>
          <w:color w:val="323232"/>
          <w:spacing w:val="-2"/>
        </w:rPr>
        <w:t xml:space="preserve"> </w:t>
      </w:r>
      <w:r>
        <w:rPr>
          <w:color w:val="323232"/>
        </w:rPr>
        <w:t>solely</w:t>
      </w:r>
      <w:r>
        <w:rPr>
          <w:color w:val="323232"/>
          <w:spacing w:val="-1"/>
        </w:rPr>
        <w:t xml:space="preserve"> </w:t>
      </w:r>
      <w:r>
        <w:rPr>
          <w:color w:val="323232"/>
        </w:rPr>
        <w:t>to</w:t>
      </w:r>
      <w:r>
        <w:rPr>
          <w:color w:val="323232"/>
          <w:spacing w:val="-2"/>
        </w:rPr>
        <w:t xml:space="preserve"> </w:t>
      </w:r>
      <w:r>
        <w:rPr>
          <w:color w:val="323232"/>
        </w:rPr>
        <w:t>assist</w:t>
      </w:r>
      <w:r w:rsidRPr="00E16DFF">
        <w:rPr>
          <w:color w:val="323232"/>
        </w:rPr>
        <w:t xml:space="preserve"> EIT InnoEnergy,</w:t>
      </w:r>
      <w:r>
        <w:rPr>
          <w:color w:val="323232"/>
        </w:rPr>
        <w:t xml:space="preserve"> the ‘KIC LE’ (‘the Intended User’), in evaluating whether the [Subgrantee’s] costs in the accompanying Horizon Europe Financial Statement</w:t>
      </w:r>
      <w:r>
        <w:rPr>
          <w:color w:val="323232"/>
          <w:spacing w:val="-12"/>
        </w:rPr>
        <w:t xml:space="preserve"> </w:t>
      </w:r>
      <w:r>
        <w:rPr>
          <w:color w:val="323232"/>
        </w:rPr>
        <w:t>(‘the</w:t>
      </w:r>
      <w:r>
        <w:rPr>
          <w:color w:val="323232"/>
          <w:spacing w:val="-11"/>
        </w:rPr>
        <w:t xml:space="preserve"> </w:t>
      </w:r>
      <w:r>
        <w:rPr>
          <w:color w:val="323232"/>
        </w:rPr>
        <w:t>Financial</w:t>
      </w:r>
      <w:r>
        <w:rPr>
          <w:color w:val="323232"/>
          <w:spacing w:val="-11"/>
        </w:rPr>
        <w:t xml:space="preserve"> </w:t>
      </w:r>
      <w:r>
        <w:rPr>
          <w:color w:val="323232"/>
        </w:rPr>
        <w:t>Statement’)</w:t>
      </w:r>
      <w:r>
        <w:rPr>
          <w:color w:val="323232"/>
          <w:spacing w:val="-12"/>
        </w:rPr>
        <w:t xml:space="preserve"> </w:t>
      </w:r>
      <w:r>
        <w:rPr>
          <w:color w:val="323232"/>
        </w:rPr>
        <w:t>were</w:t>
      </w:r>
      <w:r>
        <w:rPr>
          <w:color w:val="323232"/>
          <w:spacing w:val="-11"/>
        </w:rPr>
        <w:t xml:space="preserve"> </w:t>
      </w:r>
      <w:r>
        <w:rPr>
          <w:color w:val="323232"/>
        </w:rPr>
        <w:t>declared</w:t>
      </w:r>
      <w:r>
        <w:rPr>
          <w:color w:val="323232"/>
          <w:spacing w:val="-11"/>
        </w:rPr>
        <w:t xml:space="preserve"> </w:t>
      </w:r>
      <w:r>
        <w:rPr>
          <w:color w:val="323232"/>
        </w:rPr>
        <w:t>in</w:t>
      </w:r>
      <w:r>
        <w:rPr>
          <w:color w:val="323232"/>
          <w:spacing w:val="-12"/>
        </w:rPr>
        <w:t xml:space="preserve"> </w:t>
      </w:r>
      <w:r>
        <w:rPr>
          <w:color w:val="323232"/>
        </w:rPr>
        <w:t>accordance</w:t>
      </w:r>
      <w:r>
        <w:rPr>
          <w:color w:val="323232"/>
          <w:spacing w:val="-11"/>
        </w:rPr>
        <w:t xml:space="preserve"> </w:t>
      </w:r>
      <w:r>
        <w:rPr>
          <w:color w:val="323232"/>
        </w:rPr>
        <w:t>with</w:t>
      </w:r>
      <w:r>
        <w:rPr>
          <w:color w:val="323232"/>
          <w:spacing w:val="-11"/>
        </w:rPr>
        <w:t xml:space="preserve"> </w:t>
      </w:r>
      <w:r>
        <w:rPr>
          <w:color w:val="323232"/>
        </w:rPr>
        <w:t>the</w:t>
      </w:r>
      <w:r>
        <w:rPr>
          <w:color w:val="323232"/>
          <w:spacing w:val="-12"/>
        </w:rPr>
        <w:t xml:space="preserve"> </w:t>
      </w:r>
      <w:r>
        <w:rPr>
          <w:color w:val="323232"/>
        </w:rPr>
        <w:t>Subgrant</w:t>
      </w:r>
      <w:r>
        <w:rPr>
          <w:color w:val="323232"/>
          <w:spacing w:val="-11"/>
        </w:rPr>
        <w:t xml:space="preserve"> </w:t>
      </w:r>
      <w:r>
        <w:rPr>
          <w:color w:val="323232"/>
        </w:rPr>
        <w:t>Agreement</w:t>
      </w:r>
      <w:r>
        <w:rPr>
          <w:color w:val="323232"/>
          <w:spacing w:val="-11"/>
        </w:rPr>
        <w:t xml:space="preserve"> </w:t>
      </w:r>
      <w:r>
        <w:rPr>
          <w:color w:val="323232"/>
          <w:highlight w:val="lightGray"/>
        </w:rPr>
        <w:t>[</w:t>
      </w:r>
      <w:commentRangeStart w:id="0"/>
      <w:r>
        <w:rPr>
          <w:color w:val="323232"/>
          <w:highlight w:val="lightGray"/>
        </w:rPr>
        <w:t>Subgrant</w:t>
      </w:r>
      <w:r>
        <w:rPr>
          <w:color w:val="323232"/>
        </w:rPr>
        <w:t xml:space="preserve"> </w:t>
      </w:r>
      <w:r>
        <w:rPr>
          <w:color w:val="323232"/>
          <w:highlight w:val="lightGray"/>
        </w:rPr>
        <w:t>Agreement reference</w:t>
      </w:r>
      <w:commentRangeEnd w:id="0"/>
      <w:r w:rsidR="00145A71">
        <w:rPr>
          <w:rStyle w:val="Odwoaniedokomentarza"/>
        </w:rPr>
        <w:commentReference w:id="0"/>
      </w:r>
      <w:r>
        <w:rPr>
          <w:color w:val="323232"/>
          <w:highlight w:val="lightGray"/>
        </w:rPr>
        <w:t>]</w:t>
      </w:r>
      <w:r>
        <w:rPr>
          <w:color w:val="323232"/>
        </w:rPr>
        <w:t xml:space="preserve"> (‘the Agreement’), with a total cost declared of EUR </w:t>
      </w:r>
      <w:r>
        <w:rPr>
          <w:color w:val="323232"/>
          <w:highlight w:val="lightGray"/>
        </w:rPr>
        <w:t>[total amount]</w:t>
      </w:r>
      <w:r>
        <w:rPr>
          <w:color w:val="323232"/>
        </w:rPr>
        <w:t xml:space="preserve">, for the period </w:t>
      </w:r>
      <w:r w:rsidR="00145A71">
        <w:rPr>
          <w:color w:val="323232"/>
        </w:rPr>
        <w:t xml:space="preserve">01 January 2023 </w:t>
      </w:r>
      <w:r>
        <w:rPr>
          <w:color w:val="323232"/>
        </w:rPr>
        <w:t xml:space="preserve">to </w:t>
      </w:r>
      <w:r w:rsidR="00145A71">
        <w:rPr>
          <w:color w:val="323232"/>
        </w:rPr>
        <w:t>31 December 2023,</w:t>
      </w:r>
      <w:r>
        <w:rPr>
          <w:color w:val="323232"/>
        </w:rPr>
        <w:t xml:space="preserve"> the procedures performed may not be suitable for another purpose.</w:t>
      </w:r>
    </w:p>
    <w:p w14:paraId="1CD8CE83" w14:textId="77777777" w:rsidR="001B6D57" w:rsidRDefault="001B6D57" w:rsidP="001B6D57">
      <w:pPr>
        <w:pStyle w:val="Tekstpodstawowy"/>
      </w:pPr>
    </w:p>
    <w:p w14:paraId="44773794" w14:textId="77777777" w:rsidR="001B6D57" w:rsidRDefault="001B6D57" w:rsidP="001B6D57">
      <w:pPr>
        <w:pStyle w:val="Tekstpodstawowy"/>
      </w:pPr>
    </w:p>
    <w:p w14:paraId="2C9C0740" w14:textId="77777777" w:rsidR="001B6D57" w:rsidRDefault="001B6D57" w:rsidP="001B6D57">
      <w:pPr>
        <w:pStyle w:val="Tekstpodstawowy"/>
        <w:spacing w:before="16"/>
      </w:pPr>
    </w:p>
    <w:p w14:paraId="78CEFDF6" w14:textId="77777777" w:rsidR="001B6D57" w:rsidRDefault="001B6D57" w:rsidP="001B6D57">
      <w:pPr>
        <w:ind w:left="101"/>
        <w:jc w:val="both"/>
        <w:rPr>
          <w:i/>
          <w:sz w:val="20"/>
        </w:rPr>
      </w:pPr>
      <w:r>
        <w:rPr>
          <w:i/>
          <w:color w:val="323232"/>
          <w:sz w:val="20"/>
        </w:rPr>
        <w:t xml:space="preserve">Restricted </w:t>
      </w:r>
      <w:r>
        <w:rPr>
          <w:i/>
          <w:color w:val="323232"/>
          <w:spacing w:val="-5"/>
          <w:sz w:val="20"/>
        </w:rPr>
        <w:t>use</w:t>
      </w:r>
    </w:p>
    <w:p w14:paraId="37F1ACCC" w14:textId="77777777" w:rsidR="001B6D57" w:rsidRDefault="001B6D57" w:rsidP="001B6D57">
      <w:pPr>
        <w:pStyle w:val="Tekstpodstawowy"/>
        <w:spacing w:before="85" w:line="264" w:lineRule="auto"/>
        <w:ind w:left="101" w:right="308"/>
        <w:jc w:val="both"/>
      </w:pPr>
      <w:r>
        <w:rPr>
          <w:color w:val="323232"/>
        </w:rPr>
        <w:t xml:space="preserve">This Agreed-upon Procedures Report (‘Report’) may be used only for the purpose described in the above objective. It was prepared solely for the confidential use of the </w:t>
      </w:r>
      <w:r>
        <w:rPr>
          <w:color w:val="323232"/>
          <w:highlight w:val="lightGray"/>
        </w:rPr>
        <w:t>[Subgrantee]</w:t>
      </w:r>
      <w:r>
        <w:rPr>
          <w:color w:val="323232"/>
        </w:rPr>
        <w:t xml:space="preserve">, the KIC LE and the EIT, and only to be submitted to the KIC LE. The Report may not be used by the </w:t>
      </w:r>
      <w:r>
        <w:rPr>
          <w:color w:val="323232"/>
          <w:highlight w:val="lightGray"/>
        </w:rPr>
        <w:t>[Subgrantee]</w:t>
      </w:r>
      <w:r>
        <w:rPr>
          <w:color w:val="323232"/>
        </w:rPr>
        <w:t>, the KIC LE or by the EIT for any other purpose, nor may it be distributed to any other parties. The KIC LE and the EIT may only disclose</w:t>
      </w:r>
      <w:r>
        <w:rPr>
          <w:color w:val="323232"/>
          <w:spacing w:val="-6"/>
        </w:rPr>
        <w:t xml:space="preserve"> </w:t>
      </w:r>
      <w:r>
        <w:rPr>
          <w:color w:val="323232"/>
        </w:rPr>
        <w:t>the</w:t>
      </w:r>
      <w:r>
        <w:rPr>
          <w:color w:val="323232"/>
          <w:spacing w:val="-7"/>
        </w:rPr>
        <w:t xml:space="preserve"> </w:t>
      </w:r>
      <w:r>
        <w:rPr>
          <w:color w:val="323232"/>
        </w:rPr>
        <w:t>Report</w:t>
      </w:r>
      <w:r>
        <w:rPr>
          <w:color w:val="323232"/>
          <w:spacing w:val="-6"/>
        </w:rPr>
        <w:t xml:space="preserve"> </w:t>
      </w:r>
      <w:r>
        <w:rPr>
          <w:color w:val="323232"/>
        </w:rPr>
        <w:t>to</w:t>
      </w:r>
      <w:r>
        <w:rPr>
          <w:color w:val="323232"/>
          <w:spacing w:val="-6"/>
        </w:rPr>
        <w:t xml:space="preserve"> </w:t>
      </w:r>
      <w:proofErr w:type="spellStart"/>
      <w:r>
        <w:rPr>
          <w:color w:val="323232"/>
        </w:rPr>
        <w:t>authorised</w:t>
      </w:r>
      <w:proofErr w:type="spellEnd"/>
      <w:r>
        <w:rPr>
          <w:color w:val="323232"/>
          <w:spacing w:val="-6"/>
        </w:rPr>
        <w:t xml:space="preserve"> </w:t>
      </w:r>
      <w:r>
        <w:rPr>
          <w:color w:val="323232"/>
        </w:rPr>
        <w:t>parties,</w:t>
      </w:r>
      <w:r>
        <w:rPr>
          <w:color w:val="323232"/>
          <w:spacing w:val="-6"/>
        </w:rPr>
        <w:t xml:space="preserve"> </w:t>
      </w:r>
      <w:r>
        <w:rPr>
          <w:color w:val="323232"/>
        </w:rPr>
        <w:t>in</w:t>
      </w:r>
      <w:r>
        <w:rPr>
          <w:color w:val="323232"/>
          <w:spacing w:val="-6"/>
        </w:rPr>
        <w:t xml:space="preserve"> </w:t>
      </w:r>
      <w:r>
        <w:rPr>
          <w:color w:val="323232"/>
        </w:rPr>
        <w:t>particular</w:t>
      </w:r>
      <w:r>
        <w:rPr>
          <w:color w:val="323232"/>
          <w:spacing w:val="-6"/>
        </w:rPr>
        <w:t xml:space="preserve"> </w:t>
      </w:r>
      <w:r>
        <w:rPr>
          <w:color w:val="323232"/>
        </w:rPr>
        <w:t>to</w:t>
      </w:r>
      <w:r>
        <w:rPr>
          <w:color w:val="323232"/>
          <w:spacing w:val="-7"/>
        </w:rPr>
        <w:t xml:space="preserve"> </w:t>
      </w:r>
      <w:r>
        <w:rPr>
          <w:color w:val="323232"/>
        </w:rPr>
        <w:t>the</w:t>
      </w:r>
      <w:r>
        <w:rPr>
          <w:color w:val="323232"/>
          <w:spacing w:val="-6"/>
        </w:rPr>
        <w:t xml:space="preserve"> </w:t>
      </w:r>
      <w:r>
        <w:rPr>
          <w:color w:val="323232"/>
        </w:rPr>
        <w:t>European</w:t>
      </w:r>
      <w:r>
        <w:rPr>
          <w:color w:val="323232"/>
          <w:spacing w:val="-6"/>
        </w:rPr>
        <w:t xml:space="preserve"> </w:t>
      </w:r>
      <w:r>
        <w:rPr>
          <w:color w:val="323232"/>
        </w:rPr>
        <w:t>Anti-Fraud</w:t>
      </w:r>
      <w:r>
        <w:rPr>
          <w:color w:val="323232"/>
          <w:spacing w:val="-6"/>
        </w:rPr>
        <w:t xml:space="preserve"> </w:t>
      </w:r>
      <w:r>
        <w:rPr>
          <w:color w:val="323232"/>
        </w:rPr>
        <w:t>Office</w:t>
      </w:r>
      <w:r>
        <w:rPr>
          <w:color w:val="323232"/>
          <w:spacing w:val="-6"/>
        </w:rPr>
        <w:t xml:space="preserve"> </w:t>
      </w:r>
      <w:r>
        <w:rPr>
          <w:color w:val="323232"/>
        </w:rPr>
        <w:t>(OLAF),</w:t>
      </w:r>
      <w:r>
        <w:rPr>
          <w:color w:val="323232"/>
          <w:spacing w:val="-6"/>
        </w:rPr>
        <w:t xml:space="preserve"> </w:t>
      </w:r>
      <w:r>
        <w:rPr>
          <w:color w:val="323232"/>
        </w:rPr>
        <w:t>European Public Prosecutor’s Office (EPPO) and the European Court of Auditors (ECA).</w:t>
      </w:r>
    </w:p>
    <w:p w14:paraId="4D7ECD46" w14:textId="77777777" w:rsidR="001B6D57" w:rsidRDefault="001B6D57" w:rsidP="001B6D57">
      <w:pPr>
        <w:pStyle w:val="Tekstpodstawowy"/>
        <w:spacing w:before="15"/>
      </w:pPr>
    </w:p>
    <w:p w14:paraId="1495D4FE" w14:textId="77777777" w:rsidR="001B6D57" w:rsidRDefault="001B6D57" w:rsidP="001B6D57">
      <w:pPr>
        <w:pStyle w:val="Tekstpodstawowy"/>
        <w:spacing w:line="264" w:lineRule="auto"/>
        <w:ind w:left="101"/>
      </w:pPr>
      <w:r>
        <w:rPr>
          <w:color w:val="323232"/>
        </w:rPr>
        <w:t xml:space="preserve">This Report relates only to the Financial Statement submitted to the KIC LE by the </w:t>
      </w:r>
      <w:r>
        <w:rPr>
          <w:color w:val="323232"/>
          <w:highlight w:val="lightGray"/>
        </w:rPr>
        <w:t>[Subgrantee]</w:t>
      </w:r>
      <w:r>
        <w:rPr>
          <w:color w:val="323232"/>
        </w:rPr>
        <w:t xml:space="preserve"> for the</w:t>
      </w:r>
      <w:r>
        <w:rPr>
          <w:color w:val="323232"/>
          <w:spacing w:val="80"/>
        </w:rPr>
        <w:t xml:space="preserve"> </w:t>
      </w:r>
      <w:r>
        <w:rPr>
          <w:color w:val="323232"/>
        </w:rPr>
        <w:t xml:space="preserve">Agreement. Therefore, it does not extend to any other of the </w:t>
      </w:r>
      <w:r>
        <w:rPr>
          <w:color w:val="323232"/>
          <w:highlight w:val="lightGray"/>
        </w:rPr>
        <w:t>[Subgrantee's</w:t>
      </w:r>
      <w:r>
        <w:rPr>
          <w:color w:val="323232"/>
        </w:rPr>
        <w:t>] Financial Statements.</w:t>
      </w:r>
    </w:p>
    <w:p w14:paraId="5318D097" w14:textId="77777777" w:rsidR="001B6D57" w:rsidRDefault="001B6D57" w:rsidP="001B6D57">
      <w:pPr>
        <w:pStyle w:val="Tekstpodstawowy"/>
        <w:spacing w:before="16"/>
      </w:pPr>
    </w:p>
    <w:p w14:paraId="7A071328" w14:textId="77777777" w:rsidR="001B6D57" w:rsidRDefault="001B6D57" w:rsidP="001B6D57">
      <w:pPr>
        <w:ind w:left="101"/>
        <w:rPr>
          <w:i/>
          <w:sz w:val="20"/>
        </w:rPr>
      </w:pPr>
      <w:r>
        <w:rPr>
          <w:i/>
          <w:color w:val="323232"/>
          <w:sz w:val="20"/>
        </w:rPr>
        <w:t>Responsibilities</w:t>
      </w:r>
      <w:r>
        <w:rPr>
          <w:i/>
          <w:color w:val="323232"/>
          <w:spacing w:val="-6"/>
          <w:sz w:val="20"/>
        </w:rPr>
        <w:t xml:space="preserve"> </w:t>
      </w:r>
      <w:r>
        <w:rPr>
          <w:i/>
          <w:color w:val="323232"/>
          <w:sz w:val="20"/>
        </w:rPr>
        <w:t>of</w:t>
      </w:r>
      <w:r>
        <w:rPr>
          <w:i/>
          <w:color w:val="323232"/>
          <w:spacing w:val="-3"/>
          <w:sz w:val="20"/>
        </w:rPr>
        <w:t xml:space="preserve"> </w:t>
      </w:r>
      <w:r>
        <w:rPr>
          <w:i/>
          <w:color w:val="323232"/>
          <w:sz w:val="20"/>
        </w:rPr>
        <w:t>the</w:t>
      </w:r>
      <w:r>
        <w:rPr>
          <w:i/>
          <w:color w:val="323232"/>
          <w:spacing w:val="-3"/>
          <w:sz w:val="20"/>
        </w:rPr>
        <w:t xml:space="preserve"> </w:t>
      </w:r>
      <w:r>
        <w:rPr>
          <w:i/>
          <w:color w:val="323232"/>
          <w:sz w:val="20"/>
        </w:rPr>
        <w:t>Engaging</w:t>
      </w:r>
      <w:r>
        <w:rPr>
          <w:i/>
          <w:color w:val="323232"/>
          <w:spacing w:val="-1"/>
          <w:sz w:val="20"/>
        </w:rPr>
        <w:t xml:space="preserve"> </w:t>
      </w:r>
      <w:r>
        <w:rPr>
          <w:i/>
          <w:color w:val="323232"/>
          <w:sz w:val="20"/>
        </w:rPr>
        <w:t>Party,</w:t>
      </w:r>
      <w:r>
        <w:rPr>
          <w:i/>
          <w:color w:val="323232"/>
          <w:spacing w:val="-3"/>
          <w:sz w:val="20"/>
        </w:rPr>
        <w:t xml:space="preserve"> </w:t>
      </w:r>
      <w:r>
        <w:rPr>
          <w:i/>
          <w:color w:val="323232"/>
          <w:sz w:val="20"/>
        </w:rPr>
        <w:t>the</w:t>
      </w:r>
      <w:r>
        <w:rPr>
          <w:i/>
          <w:color w:val="323232"/>
          <w:spacing w:val="-2"/>
          <w:sz w:val="20"/>
        </w:rPr>
        <w:t xml:space="preserve"> </w:t>
      </w:r>
      <w:r>
        <w:rPr>
          <w:i/>
          <w:color w:val="323232"/>
          <w:sz w:val="20"/>
        </w:rPr>
        <w:t>Intended</w:t>
      </w:r>
      <w:r>
        <w:rPr>
          <w:i/>
          <w:color w:val="323232"/>
          <w:spacing w:val="-3"/>
          <w:sz w:val="20"/>
        </w:rPr>
        <w:t xml:space="preserve"> </w:t>
      </w:r>
      <w:r>
        <w:rPr>
          <w:i/>
          <w:color w:val="323232"/>
          <w:sz w:val="20"/>
        </w:rPr>
        <w:t>User,</w:t>
      </w:r>
      <w:r>
        <w:rPr>
          <w:i/>
          <w:color w:val="323232"/>
          <w:spacing w:val="-2"/>
          <w:sz w:val="20"/>
        </w:rPr>
        <w:t xml:space="preserve"> </w:t>
      </w:r>
      <w:r>
        <w:rPr>
          <w:i/>
          <w:color w:val="323232"/>
          <w:sz w:val="20"/>
        </w:rPr>
        <w:t>the</w:t>
      </w:r>
      <w:r>
        <w:rPr>
          <w:i/>
          <w:color w:val="323232"/>
          <w:spacing w:val="-2"/>
          <w:sz w:val="20"/>
        </w:rPr>
        <w:t xml:space="preserve"> </w:t>
      </w:r>
      <w:r>
        <w:rPr>
          <w:i/>
          <w:color w:val="323232"/>
          <w:sz w:val="20"/>
        </w:rPr>
        <w:t>Granting</w:t>
      </w:r>
      <w:r>
        <w:rPr>
          <w:i/>
          <w:color w:val="323232"/>
          <w:spacing w:val="-2"/>
          <w:sz w:val="20"/>
        </w:rPr>
        <w:t xml:space="preserve"> </w:t>
      </w:r>
      <w:r>
        <w:rPr>
          <w:i/>
          <w:color w:val="323232"/>
          <w:sz w:val="20"/>
        </w:rPr>
        <w:t>Authority</w:t>
      </w:r>
      <w:r>
        <w:rPr>
          <w:i/>
          <w:color w:val="323232"/>
          <w:spacing w:val="-3"/>
          <w:sz w:val="20"/>
        </w:rPr>
        <w:t xml:space="preserve"> </w:t>
      </w:r>
      <w:r>
        <w:rPr>
          <w:i/>
          <w:color w:val="323232"/>
          <w:sz w:val="20"/>
        </w:rPr>
        <w:t>and</w:t>
      </w:r>
      <w:r>
        <w:rPr>
          <w:i/>
          <w:color w:val="323232"/>
          <w:spacing w:val="-2"/>
          <w:sz w:val="20"/>
        </w:rPr>
        <w:t xml:space="preserve"> </w:t>
      </w:r>
      <w:r>
        <w:rPr>
          <w:i/>
          <w:color w:val="323232"/>
          <w:sz w:val="20"/>
        </w:rPr>
        <w:t>Responsible</w:t>
      </w:r>
      <w:r>
        <w:rPr>
          <w:i/>
          <w:color w:val="323232"/>
          <w:spacing w:val="-3"/>
          <w:sz w:val="20"/>
        </w:rPr>
        <w:t xml:space="preserve"> </w:t>
      </w:r>
      <w:r>
        <w:rPr>
          <w:i/>
          <w:color w:val="323232"/>
          <w:spacing w:val="-2"/>
          <w:sz w:val="20"/>
        </w:rPr>
        <w:t>Party</w:t>
      </w:r>
    </w:p>
    <w:p w14:paraId="7C76F1B8" w14:textId="7966B7D7" w:rsidR="001B6D57" w:rsidRDefault="001B6D57" w:rsidP="001B6D57">
      <w:pPr>
        <w:pStyle w:val="Tekstpodstawowy"/>
        <w:spacing w:before="84" w:line="264" w:lineRule="auto"/>
        <w:ind w:left="101" w:right="216"/>
      </w:pPr>
      <w:r>
        <w:rPr>
          <w:color w:val="323232"/>
        </w:rPr>
        <w:t>EIT</w:t>
      </w:r>
      <w:r>
        <w:rPr>
          <w:color w:val="323232"/>
          <w:spacing w:val="-12"/>
        </w:rPr>
        <w:t xml:space="preserve"> </w:t>
      </w:r>
      <w:r w:rsidR="00A97C42">
        <w:rPr>
          <w:color w:val="323232"/>
        </w:rPr>
        <w:t>InnoEnergy</w:t>
      </w:r>
      <w:r>
        <w:rPr>
          <w:color w:val="323232"/>
        </w:rPr>
        <w:t>.</w:t>
      </w:r>
      <w:r>
        <w:rPr>
          <w:color w:val="323232"/>
          <w:spacing w:val="-11"/>
        </w:rPr>
        <w:t xml:space="preserve"> </w:t>
      </w:r>
      <w:r>
        <w:rPr>
          <w:color w:val="323232"/>
        </w:rPr>
        <w:t>and</w:t>
      </w:r>
      <w:r>
        <w:rPr>
          <w:color w:val="323232"/>
          <w:spacing w:val="-11"/>
        </w:rPr>
        <w:t xml:space="preserve"> </w:t>
      </w:r>
      <w:r>
        <w:rPr>
          <w:color w:val="323232"/>
        </w:rPr>
        <w:t>the</w:t>
      </w:r>
      <w:r>
        <w:rPr>
          <w:color w:val="323232"/>
          <w:spacing w:val="-12"/>
        </w:rPr>
        <w:t xml:space="preserve"> </w:t>
      </w:r>
      <w:r>
        <w:rPr>
          <w:color w:val="323232"/>
        </w:rPr>
        <w:t>KIC</w:t>
      </w:r>
      <w:r>
        <w:rPr>
          <w:color w:val="323232"/>
          <w:spacing w:val="-10"/>
        </w:rPr>
        <w:t xml:space="preserve"> </w:t>
      </w:r>
      <w:r>
        <w:rPr>
          <w:color w:val="323232"/>
        </w:rPr>
        <w:t>LE</w:t>
      </w:r>
      <w:r>
        <w:rPr>
          <w:color w:val="323232"/>
          <w:spacing w:val="-12"/>
        </w:rPr>
        <w:t xml:space="preserve"> </w:t>
      </w:r>
      <w:r>
        <w:rPr>
          <w:color w:val="323232"/>
        </w:rPr>
        <w:t>have</w:t>
      </w:r>
      <w:r>
        <w:rPr>
          <w:color w:val="323232"/>
          <w:spacing w:val="-10"/>
        </w:rPr>
        <w:t xml:space="preserve"> </w:t>
      </w:r>
      <w:r>
        <w:rPr>
          <w:color w:val="323232"/>
        </w:rPr>
        <w:t>acknowledged</w:t>
      </w:r>
      <w:r>
        <w:rPr>
          <w:color w:val="323232"/>
          <w:spacing w:val="-11"/>
        </w:rPr>
        <w:t xml:space="preserve"> </w:t>
      </w:r>
      <w:r>
        <w:rPr>
          <w:color w:val="323232"/>
        </w:rPr>
        <w:t>that</w:t>
      </w:r>
      <w:r>
        <w:rPr>
          <w:color w:val="323232"/>
          <w:spacing w:val="-10"/>
        </w:rPr>
        <w:t xml:space="preserve"> </w:t>
      </w:r>
      <w:r>
        <w:rPr>
          <w:color w:val="323232"/>
        </w:rPr>
        <w:t>the</w:t>
      </w:r>
      <w:r>
        <w:rPr>
          <w:color w:val="323232"/>
          <w:spacing w:val="-11"/>
        </w:rPr>
        <w:t xml:space="preserve"> </w:t>
      </w:r>
      <w:r>
        <w:rPr>
          <w:color w:val="323232"/>
        </w:rPr>
        <w:t>Agreed-upon</w:t>
      </w:r>
      <w:r>
        <w:rPr>
          <w:color w:val="323232"/>
          <w:spacing w:val="-11"/>
        </w:rPr>
        <w:t xml:space="preserve"> </w:t>
      </w:r>
      <w:r>
        <w:rPr>
          <w:color w:val="323232"/>
        </w:rPr>
        <w:t>Procedures</w:t>
      </w:r>
      <w:r>
        <w:rPr>
          <w:color w:val="323232"/>
          <w:spacing w:val="-11"/>
        </w:rPr>
        <w:t xml:space="preserve"> </w:t>
      </w:r>
      <w:r>
        <w:rPr>
          <w:color w:val="323232"/>
        </w:rPr>
        <w:t>are</w:t>
      </w:r>
      <w:r>
        <w:rPr>
          <w:color w:val="323232"/>
          <w:spacing w:val="-11"/>
        </w:rPr>
        <w:t xml:space="preserve"> </w:t>
      </w:r>
      <w:r>
        <w:rPr>
          <w:color w:val="323232"/>
        </w:rPr>
        <w:t>appropriate for the purpose of the engagement.</w:t>
      </w:r>
    </w:p>
    <w:p w14:paraId="7A241A59" w14:textId="77777777" w:rsidR="001B6D57" w:rsidRDefault="001B6D57" w:rsidP="001B6D57">
      <w:pPr>
        <w:pStyle w:val="Tekstpodstawowy"/>
        <w:spacing w:before="241" w:line="264" w:lineRule="auto"/>
        <w:ind w:left="101"/>
      </w:pPr>
      <w:r>
        <w:rPr>
          <w:color w:val="323232"/>
        </w:rPr>
        <w:t xml:space="preserve">The </w:t>
      </w:r>
      <w:r>
        <w:rPr>
          <w:color w:val="323232"/>
          <w:highlight w:val="lightGray"/>
        </w:rPr>
        <w:t>[Subgrantee]</w:t>
      </w:r>
      <w:r>
        <w:rPr>
          <w:color w:val="323232"/>
        </w:rPr>
        <w:t xml:space="preserve"> (the ‘Responsible Party’), as identified by Engaging Party is responsible for the Financial Statement on which the Agreed-upon Procedures are performed.</w:t>
      </w:r>
    </w:p>
    <w:p w14:paraId="5613C7EF" w14:textId="77777777" w:rsidR="001B6D57" w:rsidRDefault="001B6D57" w:rsidP="001B6D57">
      <w:pPr>
        <w:pStyle w:val="Tekstpodstawowy"/>
        <w:spacing w:before="239"/>
        <w:ind w:left="101"/>
      </w:pPr>
      <w:r>
        <w:rPr>
          <w:color w:val="323232"/>
        </w:rPr>
        <w:t>The</w:t>
      </w:r>
      <w:r>
        <w:rPr>
          <w:color w:val="323232"/>
          <w:spacing w:val="-5"/>
        </w:rPr>
        <w:t xml:space="preserve"> </w:t>
      </w:r>
      <w:r>
        <w:rPr>
          <w:color w:val="323232"/>
        </w:rPr>
        <w:t>sufficiency</w:t>
      </w:r>
      <w:r>
        <w:rPr>
          <w:color w:val="323232"/>
          <w:spacing w:val="-3"/>
        </w:rPr>
        <w:t xml:space="preserve"> </w:t>
      </w:r>
      <w:r>
        <w:rPr>
          <w:color w:val="323232"/>
        </w:rPr>
        <w:t>of</w:t>
      </w:r>
      <w:r>
        <w:rPr>
          <w:color w:val="323232"/>
          <w:spacing w:val="-3"/>
        </w:rPr>
        <w:t xml:space="preserve"> </w:t>
      </w:r>
      <w:r>
        <w:rPr>
          <w:color w:val="323232"/>
        </w:rPr>
        <w:t>these</w:t>
      </w:r>
      <w:r>
        <w:rPr>
          <w:color w:val="323232"/>
          <w:spacing w:val="-2"/>
        </w:rPr>
        <w:t xml:space="preserve"> </w:t>
      </w:r>
      <w:r>
        <w:rPr>
          <w:color w:val="323232"/>
        </w:rPr>
        <w:t>procedures</w:t>
      </w:r>
      <w:r>
        <w:rPr>
          <w:color w:val="323232"/>
          <w:spacing w:val="-2"/>
        </w:rPr>
        <w:t xml:space="preserve"> </w:t>
      </w:r>
      <w:r>
        <w:rPr>
          <w:color w:val="323232"/>
        </w:rPr>
        <w:t>is</w:t>
      </w:r>
      <w:r>
        <w:rPr>
          <w:color w:val="323232"/>
          <w:spacing w:val="-4"/>
        </w:rPr>
        <w:t xml:space="preserve"> </w:t>
      </w:r>
      <w:r>
        <w:rPr>
          <w:color w:val="323232"/>
        </w:rPr>
        <w:t>solely</w:t>
      </w:r>
      <w:r>
        <w:rPr>
          <w:color w:val="323232"/>
          <w:spacing w:val="-3"/>
        </w:rPr>
        <w:t xml:space="preserve"> </w:t>
      </w:r>
      <w:r>
        <w:rPr>
          <w:color w:val="323232"/>
        </w:rPr>
        <w:t>the</w:t>
      </w:r>
      <w:r>
        <w:rPr>
          <w:color w:val="323232"/>
          <w:spacing w:val="-2"/>
        </w:rPr>
        <w:t xml:space="preserve"> </w:t>
      </w:r>
      <w:r>
        <w:rPr>
          <w:color w:val="323232"/>
        </w:rPr>
        <w:t>responsibility</w:t>
      </w:r>
      <w:r>
        <w:rPr>
          <w:color w:val="323232"/>
          <w:spacing w:val="-3"/>
        </w:rPr>
        <w:t xml:space="preserve"> </w:t>
      </w:r>
      <w:r>
        <w:rPr>
          <w:color w:val="323232"/>
        </w:rPr>
        <w:t>of</w:t>
      </w:r>
      <w:r>
        <w:rPr>
          <w:color w:val="323232"/>
          <w:spacing w:val="-3"/>
        </w:rPr>
        <w:t xml:space="preserve"> </w:t>
      </w:r>
      <w:r>
        <w:rPr>
          <w:color w:val="323232"/>
        </w:rPr>
        <w:t>the</w:t>
      </w:r>
      <w:r>
        <w:rPr>
          <w:color w:val="323232"/>
          <w:spacing w:val="-3"/>
        </w:rPr>
        <w:t xml:space="preserve"> </w:t>
      </w:r>
      <w:r>
        <w:rPr>
          <w:color w:val="323232"/>
        </w:rPr>
        <w:t>Granting</w:t>
      </w:r>
      <w:r>
        <w:rPr>
          <w:color w:val="323232"/>
          <w:spacing w:val="-2"/>
        </w:rPr>
        <w:t xml:space="preserve"> Authority.</w:t>
      </w:r>
    </w:p>
    <w:p w14:paraId="4FEA028D" w14:textId="77777777" w:rsidR="001B6D57" w:rsidRDefault="001B6D57" w:rsidP="001B6D57">
      <w:pPr>
        <w:pStyle w:val="Tekstpodstawowy"/>
      </w:pPr>
    </w:p>
    <w:p w14:paraId="5F70B62F" w14:textId="77777777" w:rsidR="001B6D57" w:rsidRDefault="001B6D57" w:rsidP="001B6D57">
      <w:pPr>
        <w:pStyle w:val="Tekstpodstawowy"/>
      </w:pPr>
    </w:p>
    <w:p w14:paraId="020A168C" w14:textId="77777777" w:rsidR="001B6D57" w:rsidRDefault="001B6D57" w:rsidP="001B6D57">
      <w:pPr>
        <w:pStyle w:val="Tekstpodstawowy"/>
        <w:spacing w:before="41"/>
      </w:pPr>
    </w:p>
    <w:p w14:paraId="580FBACC" w14:textId="77777777" w:rsidR="001B6D57" w:rsidRDefault="001B6D57" w:rsidP="001B6D57">
      <w:pPr>
        <w:ind w:left="101"/>
        <w:rPr>
          <w:i/>
          <w:sz w:val="20"/>
        </w:rPr>
      </w:pPr>
      <w:r>
        <w:rPr>
          <w:i/>
          <w:color w:val="323232"/>
          <w:sz w:val="20"/>
        </w:rPr>
        <w:t>Our</w:t>
      </w:r>
      <w:r>
        <w:rPr>
          <w:i/>
          <w:color w:val="323232"/>
          <w:spacing w:val="-2"/>
          <w:sz w:val="20"/>
        </w:rPr>
        <w:t xml:space="preserve"> responsibilities</w:t>
      </w:r>
    </w:p>
    <w:p w14:paraId="6E7DF7F4" w14:textId="77777777" w:rsidR="001B6D57" w:rsidRDefault="001B6D57" w:rsidP="001B6D57">
      <w:pPr>
        <w:rPr>
          <w:sz w:val="20"/>
        </w:rPr>
        <w:sectPr w:rsidR="001B6D57" w:rsidSect="004A0124">
          <w:headerReference w:type="default" r:id="rId15"/>
          <w:footerReference w:type="default" r:id="rId16"/>
          <w:pgSz w:w="12240" w:h="15840"/>
          <w:pgMar w:top="1780" w:right="1720" w:bottom="1020" w:left="1600" w:header="715" w:footer="830" w:gutter="0"/>
          <w:cols w:space="720"/>
        </w:sectPr>
      </w:pPr>
    </w:p>
    <w:p w14:paraId="719E464C" w14:textId="77777777" w:rsidR="001B6D57" w:rsidRDefault="001B6D57" w:rsidP="001B6D57">
      <w:pPr>
        <w:pStyle w:val="Tekstpodstawowy"/>
        <w:spacing w:before="50" w:line="264" w:lineRule="auto"/>
        <w:ind w:left="101" w:right="306"/>
        <w:jc w:val="both"/>
      </w:pPr>
      <w:r>
        <w:rPr>
          <w:color w:val="323232"/>
        </w:rPr>
        <w:lastRenderedPageBreak/>
        <w:t xml:space="preserve">We have conducted the Agreed-upon Procedures engagement in accordance with the International Standard on Related Services (ISRS) 4400 (Revised), </w:t>
      </w:r>
      <w:r>
        <w:rPr>
          <w:i/>
          <w:color w:val="323232"/>
        </w:rPr>
        <w:t>Agreed-upon Procedures Engagements</w:t>
      </w:r>
      <w:r>
        <w:rPr>
          <w:color w:val="323232"/>
        </w:rPr>
        <w:t xml:space="preserve">. An Agreed- upon Procedures engagement involves performing the procedures that have been agreed with EIT Urban Mobility </w:t>
      </w:r>
      <w:proofErr w:type="spellStart"/>
      <w:r>
        <w:rPr>
          <w:color w:val="323232"/>
        </w:rPr>
        <w:t>s.l.</w:t>
      </w:r>
      <w:proofErr w:type="spellEnd"/>
      <w:r>
        <w:rPr>
          <w:color w:val="323232"/>
        </w:rPr>
        <w:t xml:space="preserve"> and the EIT, and reporting the findings, which are the factual results of the Agreed-upon Procedures</w:t>
      </w:r>
      <w:r>
        <w:rPr>
          <w:color w:val="323232"/>
          <w:spacing w:val="-11"/>
        </w:rPr>
        <w:t xml:space="preserve"> </w:t>
      </w:r>
      <w:r>
        <w:rPr>
          <w:color w:val="323232"/>
        </w:rPr>
        <w:t>performed.</w:t>
      </w:r>
      <w:r>
        <w:rPr>
          <w:color w:val="323232"/>
          <w:spacing w:val="-10"/>
        </w:rPr>
        <w:t xml:space="preserve"> </w:t>
      </w:r>
      <w:r>
        <w:rPr>
          <w:color w:val="323232"/>
        </w:rPr>
        <w:t>We</w:t>
      </w:r>
      <w:r>
        <w:rPr>
          <w:color w:val="323232"/>
          <w:spacing w:val="-10"/>
        </w:rPr>
        <w:t xml:space="preserve"> </w:t>
      </w:r>
      <w:r>
        <w:rPr>
          <w:color w:val="323232"/>
        </w:rPr>
        <w:t>make</w:t>
      </w:r>
      <w:r>
        <w:rPr>
          <w:color w:val="323232"/>
          <w:spacing w:val="-10"/>
        </w:rPr>
        <w:t xml:space="preserve"> </w:t>
      </w:r>
      <w:r>
        <w:rPr>
          <w:color w:val="323232"/>
        </w:rPr>
        <w:t>no</w:t>
      </w:r>
      <w:r>
        <w:rPr>
          <w:color w:val="323232"/>
          <w:spacing w:val="-11"/>
        </w:rPr>
        <w:t xml:space="preserve"> </w:t>
      </w:r>
      <w:r>
        <w:rPr>
          <w:color w:val="323232"/>
        </w:rPr>
        <w:t>representation</w:t>
      </w:r>
      <w:r>
        <w:rPr>
          <w:color w:val="323232"/>
          <w:spacing w:val="-11"/>
        </w:rPr>
        <w:t xml:space="preserve"> </w:t>
      </w:r>
      <w:r>
        <w:rPr>
          <w:color w:val="323232"/>
        </w:rPr>
        <w:t>regarding</w:t>
      </w:r>
      <w:r>
        <w:rPr>
          <w:color w:val="323232"/>
          <w:spacing w:val="-10"/>
        </w:rPr>
        <w:t xml:space="preserve"> </w:t>
      </w:r>
      <w:r>
        <w:rPr>
          <w:color w:val="323232"/>
        </w:rPr>
        <w:t>the</w:t>
      </w:r>
      <w:r>
        <w:rPr>
          <w:color w:val="323232"/>
          <w:spacing w:val="-11"/>
        </w:rPr>
        <w:t xml:space="preserve"> </w:t>
      </w:r>
      <w:r>
        <w:rPr>
          <w:color w:val="323232"/>
        </w:rPr>
        <w:t>appropriateness</w:t>
      </w:r>
      <w:r>
        <w:rPr>
          <w:color w:val="323232"/>
          <w:spacing w:val="-10"/>
        </w:rPr>
        <w:t xml:space="preserve"> </w:t>
      </w:r>
      <w:r>
        <w:rPr>
          <w:color w:val="323232"/>
        </w:rPr>
        <w:t>or</w:t>
      </w:r>
      <w:r>
        <w:rPr>
          <w:color w:val="323232"/>
          <w:spacing w:val="-10"/>
        </w:rPr>
        <w:t xml:space="preserve"> </w:t>
      </w:r>
      <w:r>
        <w:rPr>
          <w:color w:val="323232"/>
        </w:rPr>
        <w:t>the</w:t>
      </w:r>
      <w:r>
        <w:rPr>
          <w:color w:val="323232"/>
          <w:spacing w:val="-10"/>
        </w:rPr>
        <w:t xml:space="preserve"> </w:t>
      </w:r>
      <w:r>
        <w:rPr>
          <w:color w:val="323232"/>
        </w:rPr>
        <w:t>sufficiency</w:t>
      </w:r>
      <w:r>
        <w:rPr>
          <w:color w:val="323232"/>
          <w:spacing w:val="-10"/>
        </w:rPr>
        <w:t xml:space="preserve"> </w:t>
      </w:r>
      <w:r>
        <w:rPr>
          <w:color w:val="323232"/>
        </w:rPr>
        <w:t>of</w:t>
      </w:r>
      <w:r>
        <w:rPr>
          <w:color w:val="323232"/>
          <w:spacing w:val="-10"/>
        </w:rPr>
        <w:t xml:space="preserve"> </w:t>
      </w:r>
      <w:r>
        <w:rPr>
          <w:color w:val="323232"/>
        </w:rPr>
        <w:t>the Agreed-upon</w:t>
      </w:r>
      <w:r>
        <w:rPr>
          <w:color w:val="323232"/>
          <w:spacing w:val="-7"/>
        </w:rPr>
        <w:t xml:space="preserve"> </w:t>
      </w:r>
      <w:r>
        <w:rPr>
          <w:color w:val="323232"/>
        </w:rPr>
        <w:t>Procedures</w:t>
      </w:r>
      <w:r>
        <w:rPr>
          <w:color w:val="323232"/>
          <w:spacing w:val="-8"/>
        </w:rPr>
        <w:t xml:space="preserve"> </w:t>
      </w:r>
      <w:r>
        <w:rPr>
          <w:color w:val="323232"/>
        </w:rPr>
        <w:t>described</w:t>
      </w:r>
      <w:r>
        <w:rPr>
          <w:color w:val="323232"/>
          <w:spacing w:val="-8"/>
        </w:rPr>
        <w:t xml:space="preserve"> </w:t>
      </w:r>
      <w:r>
        <w:rPr>
          <w:color w:val="323232"/>
        </w:rPr>
        <w:t>below</w:t>
      </w:r>
      <w:r>
        <w:rPr>
          <w:color w:val="323232"/>
          <w:spacing w:val="-7"/>
        </w:rPr>
        <w:t xml:space="preserve"> </w:t>
      </w:r>
      <w:r>
        <w:rPr>
          <w:color w:val="323232"/>
        </w:rPr>
        <w:t>either</w:t>
      </w:r>
      <w:r>
        <w:rPr>
          <w:color w:val="323232"/>
          <w:spacing w:val="-7"/>
        </w:rPr>
        <w:t xml:space="preserve"> </w:t>
      </w:r>
      <w:r>
        <w:rPr>
          <w:color w:val="323232"/>
        </w:rPr>
        <w:t>for</w:t>
      </w:r>
      <w:r>
        <w:rPr>
          <w:color w:val="323232"/>
          <w:spacing w:val="-7"/>
        </w:rPr>
        <w:t xml:space="preserve"> </w:t>
      </w:r>
      <w:r>
        <w:rPr>
          <w:color w:val="323232"/>
        </w:rPr>
        <w:t>the</w:t>
      </w:r>
      <w:r>
        <w:rPr>
          <w:color w:val="323232"/>
          <w:spacing w:val="-8"/>
        </w:rPr>
        <w:t xml:space="preserve"> </w:t>
      </w:r>
      <w:r>
        <w:rPr>
          <w:color w:val="323232"/>
        </w:rPr>
        <w:t>purpose</w:t>
      </w:r>
      <w:r>
        <w:rPr>
          <w:color w:val="323232"/>
          <w:spacing w:val="-7"/>
        </w:rPr>
        <w:t xml:space="preserve"> </w:t>
      </w:r>
      <w:r>
        <w:rPr>
          <w:color w:val="323232"/>
        </w:rPr>
        <w:t>for</w:t>
      </w:r>
      <w:r>
        <w:rPr>
          <w:color w:val="323232"/>
          <w:spacing w:val="-6"/>
        </w:rPr>
        <w:t xml:space="preserve"> </w:t>
      </w:r>
      <w:r>
        <w:rPr>
          <w:color w:val="323232"/>
        </w:rPr>
        <w:t>which</w:t>
      </w:r>
      <w:r>
        <w:rPr>
          <w:color w:val="323232"/>
          <w:spacing w:val="-8"/>
        </w:rPr>
        <w:t xml:space="preserve"> </w:t>
      </w:r>
      <w:r>
        <w:rPr>
          <w:color w:val="323232"/>
        </w:rPr>
        <w:t>this</w:t>
      </w:r>
      <w:r>
        <w:rPr>
          <w:color w:val="323232"/>
          <w:spacing w:val="-7"/>
        </w:rPr>
        <w:t xml:space="preserve"> </w:t>
      </w:r>
      <w:r>
        <w:rPr>
          <w:color w:val="323232"/>
        </w:rPr>
        <w:t>Report</w:t>
      </w:r>
      <w:r>
        <w:rPr>
          <w:color w:val="323232"/>
          <w:spacing w:val="-6"/>
        </w:rPr>
        <w:t xml:space="preserve"> </w:t>
      </w:r>
      <w:r>
        <w:rPr>
          <w:color w:val="323232"/>
        </w:rPr>
        <w:t>has</w:t>
      </w:r>
      <w:r>
        <w:rPr>
          <w:color w:val="323232"/>
          <w:spacing w:val="-7"/>
        </w:rPr>
        <w:t xml:space="preserve"> </w:t>
      </w:r>
      <w:r>
        <w:rPr>
          <w:color w:val="323232"/>
        </w:rPr>
        <w:t>been</w:t>
      </w:r>
      <w:r>
        <w:rPr>
          <w:color w:val="323232"/>
          <w:spacing w:val="-8"/>
        </w:rPr>
        <w:t xml:space="preserve"> </w:t>
      </w:r>
      <w:r>
        <w:rPr>
          <w:color w:val="323232"/>
        </w:rPr>
        <w:t>requested or for any other purpose.</w:t>
      </w:r>
    </w:p>
    <w:p w14:paraId="5FFBB8C9" w14:textId="77777777" w:rsidR="001B6D57" w:rsidRDefault="001B6D57" w:rsidP="001B6D57">
      <w:pPr>
        <w:pStyle w:val="Tekstpodstawowy"/>
        <w:spacing w:before="239" w:line="264" w:lineRule="auto"/>
        <w:ind w:left="101" w:right="307"/>
        <w:jc w:val="both"/>
      </w:pPr>
      <w:r>
        <w:rPr>
          <w:color w:val="323232"/>
        </w:rPr>
        <w:t>This Agreed-upon Procedures engagement is not an assurance engagement. Accordingly, we do not express an opinion or an assurance conclusion. Had we performed additional procedures, other matters might have come to our attention that would have been reported.</w:t>
      </w:r>
    </w:p>
    <w:p w14:paraId="56ECD581" w14:textId="77777777" w:rsidR="001B6D57" w:rsidRDefault="001B6D57" w:rsidP="001B6D57">
      <w:pPr>
        <w:pStyle w:val="Tekstpodstawowy"/>
        <w:spacing w:before="11"/>
      </w:pPr>
    </w:p>
    <w:p w14:paraId="56C79193" w14:textId="77777777" w:rsidR="001B6D57" w:rsidRDefault="001B6D57" w:rsidP="001B6D57">
      <w:pPr>
        <w:pStyle w:val="Tekstpodstawowy"/>
        <w:spacing w:line="256" w:lineRule="auto"/>
        <w:ind w:left="101" w:right="312"/>
        <w:jc w:val="both"/>
      </w:pPr>
      <w:r>
        <w:rPr>
          <w:color w:val="323232"/>
        </w:rPr>
        <w:t>Furthermore,</w:t>
      </w:r>
      <w:r>
        <w:rPr>
          <w:color w:val="323232"/>
          <w:spacing w:val="-12"/>
        </w:rPr>
        <w:t xml:space="preserve"> </w:t>
      </w:r>
      <w:r>
        <w:rPr>
          <w:color w:val="323232"/>
        </w:rPr>
        <w:t>we</w:t>
      </w:r>
      <w:r>
        <w:rPr>
          <w:color w:val="323232"/>
          <w:spacing w:val="-11"/>
        </w:rPr>
        <w:t xml:space="preserve"> </w:t>
      </w:r>
      <w:r>
        <w:rPr>
          <w:color w:val="323232"/>
        </w:rPr>
        <w:t>undertake</w:t>
      </w:r>
      <w:r>
        <w:rPr>
          <w:color w:val="323232"/>
          <w:spacing w:val="-11"/>
        </w:rPr>
        <w:t xml:space="preserve"> </w:t>
      </w:r>
      <w:r>
        <w:rPr>
          <w:color w:val="323232"/>
        </w:rPr>
        <w:t>no</w:t>
      </w:r>
      <w:r>
        <w:rPr>
          <w:color w:val="323232"/>
          <w:spacing w:val="-12"/>
        </w:rPr>
        <w:t xml:space="preserve"> </w:t>
      </w:r>
      <w:r>
        <w:rPr>
          <w:color w:val="323232"/>
        </w:rPr>
        <w:t>responsibility</w:t>
      </w:r>
      <w:r>
        <w:rPr>
          <w:color w:val="323232"/>
          <w:spacing w:val="-11"/>
        </w:rPr>
        <w:t xml:space="preserve"> </w:t>
      </w:r>
      <w:r>
        <w:rPr>
          <w:color w:val="323232"/>
        </w:rPr>
        <w:t>to</w:t>
      </w:r>
      <w:r>
        <w:rPr>
          <w:color w:val="323232"/>
          <w:spacing w:val="-11"/>
        </w:rPr>
        <w:t xml:space="preserve"> </w:t>
      </w:r>
      <w:r>
        <w:rPr>
          <w:color w:val="323232"/>
        </w:rPr>
        <w:t>update</w:t>
      </w:r>
      <w:r>
        <w:rPr>
          <w:color w:val="323232"/>
          <w:spacing w:val="-12"/>
        </w:rPr>
        <w:t xml:space="preserve"> </w:t>
      </w:r>
      <w:r>
        <w:rPr>
          <w:color w:val="323232"/>
        </w:rPr>
        <w:t>this</w:t>
      </w:r>
      <w:r>
        <w:rPr>
          <w:color w:val="323232"/>
          <w:spacing w:val="-11"/>
        </w:rPr>
        <w:t xml:space="preserve"> </w:t>
      </w:r>
      <w:r>
        <w:rPr>
          <w:color w:val="323232"/>
        </w:rPr>
        <w:t>Agreed-upon</w:t>
      </w:r>
      <w:r>
        <w:rPr>
          <w:color w:val="323232"/>
          <w:spacing w:val="-11"/>
        </w:rPr>
        <w:t xml:space="preserve"> </w:t>
      </w:r>
      <w:r>
        <w:rPr>
          <w:color w:val="323232"/>
        </w:rPr>
        <w:t>Procedures</w:t>
      </w:r>
      <w:r>
        <w:rPr>
          <w:color w:val="323232"/>
          <w:spacing w:val="-12"/>
        </w:rPr>
        <w:t xml:space="preserve"> </w:t>
      </w:r>
      <w:r>
        <w:rPr>
          <w:color w:val="323232"/>
        </w:rPr>
        <w:t>Report</w:t>
      </w:r>
      <w:r>
        <w:rPr>
          <w:color w:val="323232"/>
          <w:spacing w:val="-11"/>
        </w:rPr>
        <w:t xml:space="preserve"> </w:t>
      </w:r>
      <w:r>
        <w:rPr>
          <w:color w:val="323232"/>
        </w:rPr>
        <w:t>for</w:t>
      </w:r>
      <w:r>
        <w:rPr>
          <w:color w:val="323232"/>
          <w:spacing w:val="-11"/>
        </w:rPr>
        <w:t xml:space="preserve"> </w:t>
      </w:r>
      <w:r>
        <w:rPr>
          <w:color w:val="323232"/>
        </w:rPr>
        <w:t>events</w:t>
      </w:r>
      <w:r>
        <w:rPr>
          <w:color w:val="323232"/>
          <w:spacing w:val="-11"/>
        </w:rPr>
        <w:t xml:space="preserve"> </w:t>
      </w:r>
      <w:r>
        <w:rPr>
          <w:color w:val="323232"/>
        </w:rPr>
        <w:t>and circumstances occurring after the date of this Report.</w:t>
      </w:r>
    </w:p>
    <w:p w14:paraId="41289AD4" w14:textId="77777777" w:rsidR="001B6D57" w:rsidRDefault="001B6D57" w:rsidP="001B6D57">
      <w:pPr>
        <w:pStyle w:val="Tekstpodstawowy"/>
        <w:spacing w:before="103"/>
      </w:pPr>
    </w:p>
    <w:p w14:paraId="4DC89C78" w14:textId="77777777" w:rsidR="001B6D57" w:rsidRDefault="001B6D57" w:rsidP="001B6D57">
      <w:pPr>
        <w:ind w:left="101"/>
        <w:jc w:val="both"/>
        <w:rPr>
          <w:i/>
          <w:sz w:val="20"/>
        </w:rPr>
      </w:pPr>
      <w:r>
        <w:rPr>
          <w:i/>
          <w:color w:val="323232"/>
          <w:sz w:val="20"/>
        </w:rPr>
        <w:t>Our</w:t>
      </w:r>
      <w:r>
        <w:rPr>
          <w:i/>
          <w:color w:val="323232"/>
          <w:spacing w:val="-4"/>
          <w:sz w:val="20"/>
        </w:rPr>
        <w:t xml:space="preserve"> </w:t>
      </w:r>
      <w:r>
        <w:rPr>
          <w:i/>
          <w:color w:val="323232"/>
          <w:sz w:val="20"/>
        </w:rPr>
        <w:t>independence</w:t>
      </w:r>
      <w:r>
        <w:rPr>
          <w:i/>
          <w:color w:val="323232"/>
          <w:spacing w:val="-3"/>
          <w:sz w:val="20"/>
        </w:rPr>
        <w:t xml:space="preserve"> </w:t>
      </w:r>
      <w:r>
        <w:rPr>
          <w:i/>
          <w:color w:val="323232"/>
          <w:sz w:val="20"/>
        </w:rPr>
        <w:t>and</w:t>
      </w:r>
      <w:r>
        <w:rPr>
          <w:i/>
          <w:color w:val="323232"/>
          <w:spacing w:val="-4"/>
          <w:sz w:val="20"/>
        </w:rPr>
        <w:t xml:space="preserve"> </w:t>
      </w:r>
      <w:r>
        <w:rPr>
          <w:i/>
          <w:color w:val="323232"/>
          <w:sz w:val="20"/>
        </w:rPr>
        <w:t>quality</w:t>
      </w:r>
      <w:r>
        <w:rPr>
          <w:i/>
          <w:color w:val="323232"/>
          <w:spacing w:val="-3"/>
          <w:sz w:val="20"/>
        </w:rPr>
        <w:t xml:space="preserve"> </w:t>
      </w:r>
      <w:r>
        <w:rPr>
          <w:i/>
          <w:color w:val="323232"/>
          <w:spacing w:val="-2"/>
          <w:sz w:val="20"/>
        </w:rPr>
        <w:t>control</w:t>
      </w:r>
    </w:p>
    <w:p w14:paraId="24277F30" w14:textId="77777777" w:rsidR="001B6D57" w:rsidRDefault="001B6D57" w:rsidP="001B6D57">
      <w:pPr>
        <w:pStyle w:val="Tekstpodstawowy"/>
        <w:spacing w:before="59"/>
        <w:ind w:left="101" w:right="308"/>
        <w:jc w:val="both"/>
      </w:pPr>
      <w:r>
        <w:rPr>
          <w:color w:val="323232"/>
        </w:rPr>
        <w:t>In</w:t>
      </w:r>
      <w:r>
        <w:rPr>
          <w:color w:val="323232"/>
          <w:spacing w:val="-10"/>
        </w:rPr>
        <w:t xml:space="preserve"> </w:t>
      </w:r>
      <w:r>
        <w:rPr>
          <w:color w:val="323232"/>
        </w:rPr>
        <w:t>performing</w:t>
      </w:r>
      <w:r>
        <w:rPr>
          <w:color w:val="323232"/>
          <w:spacing w:val="-9"/>
        </w:rPr>
        <w:t xml:space="preserve"> </w:t>
      </w:r>
      <w:r>
        <w:rPr>
          <w:color w:val="323232"/>
        </w:rPr>
        <w:t>the</w:t>
      </w:r>
      <w:r>
        <w:rPr>
          <w:color w:val="323232"/>
          <w:spacing w:val="-9"/>
        </w:rPr>
        <w:t xml:space="preserve"> </w:t>
      </w:r>
      <w:r>
        <w:rPr>
          <w:color w:val="323232"/>
        </w:rPr>
        <w:t>Agreed-upon</w:t>
      </w:r>
      <w:r>
        <w:rPr>
          <w:color w:val="323232"/>
          <w:spacing w:val="-9"/>
        </w:rPr>
        <w:t xml:space="preserve"> </w:t>
      </w:r>
      <w:r>
        <w:rPr>
          <w:color w:val="323232"/>
        </w:rPr>
        <w:t>Procedures</w:t>
      </w:r>
      <w:r>
        <w:rPr>
          <w:color w:val="323232"/>
          <w:spacing w:val="-11"/>
        </w:rPr>
        <w:t xml:space="preserve"> </w:t>
      </w:r>
      <w:r>
        <w:rPr>
          <w:color w:val="323232"/>
        </w:rPr>
        <w:t>engagement,</w:t>
      </w:r>
      <w:r>
        <w:rPr>
          <w:color w:val="323232"/>
          <w:spacing w:val="-10"/>
        </w:rPr>
        <w:t xml:space="preserve"> </w:t>
      </w:r>
      <w:r>
        <w:rPr>
          <w:color w:val="323232"/>
        </w:rPr>
        <w:t>we</w:t>
      </w:r>
      <w:r>
        <w:rPr>
          <w:color w:val="323232"/>
          <w:spacing w:val="-8"/>
        </w:rPr>
        <w:t xml:space="preserve"> </w:t>
      </w:r>
      <w:r>
        <w:rPr>
          <w:color w:val="323232"/>
        </w:rPr>
        <w:t>complied</w:t>
      </w:r>
      <w:r>
        <w:rPr>
          <w:color w:val="323232"/>
          <w:spacing w:val="-10"/>
        </w:rPr>
        <w:t xml:space="preserve"> </w:t>
      </w:r>
      <w:r>
        <w:rPr>
          <w:color w:val="323232"/>
        </w:rPr>
        <w:t>with</w:t>
      </w:r>
      <w:r>
        <w:rPr>
          <w:color w:val="323232"/>
          <w:spacing w:val="-9"/>
        </w:rPr>
        <w:t xml:space="preserve"> </w:t>
      </w:r>
      <w:r>
        <w:rPr>
          <w:color w:val="323232"/>
        </w:rPr>
        <w:t>the</w:t>
      </w:r>
      <w:r>
        <w:rPr>
          <w:color w:val="323232"/>
          <w:spacing w:val="-10"/>
        </w:rPr>
        <w:t xml:space="preserve"> </w:t>
      </w:r>
      <w:r>
        <w:rPr>
          <w:color w:val="323232"/>
        </w:rPr>
        <w:t>ethical</w:t>
      </w:r>
      <w:r>
        <w:rPr>
          <w:color w:val="323232"/>
          <w:spacing w:val="-10"/>
        </w:rPr>
        <w:t xml:space="preserve"> </w:t>
      </w:r>
      <w:r>
        <w:rPr>
          <w:color w:val="323232"/>
        </w:rPr>
        <w:t>requirements</w:t>
      </w:r>
      <w:r>
        <w:rPr>
          <w:color w:val="323232"/>
          <w:spacing w:val="-10"/>
        </w:rPr>
        <w:t xml:space="preserve"> </w:t>
      </w:r>
      <w:r>
        <w:rPr>
          <w:color w:val="323232"/>
        </w:rPr>
        <w:t>in</w:t>
      </w:r>
      <w:r>
        <w:rPr>
          <w:color w:val="323232"/>
          <w:spacing w:val="-10"/>
        </w:rPr>
        <w:t xml:space="preserve"> </w:t>
      </w:r>
      <w:r>
        <w:rPr>
          <w:color w:val="323232"/>
        </w:rPr>
        <w:t>the Code of Ethics for Professional Accountants issued by the International Ethics Standards Board for Accountants</w:t>
      </w:r>
      <w:r>
        <w:rPr>
          <w:color w:val="323232"/>
          <w:spacing w:val="-12"/>
        </w:rPr>
        <w:t xml:space="preserve"> </w:t>
      </w:r>
      <w:r>
        <w:rPr>
          <w:color w:val="323232"/>
        </w:rPr>
        <w:t>(IESBA).</w:t>
      </w:r>
      <w:r>
        <w:rPr>
          <w:color w:val="323232"/>
          <w:spacing w:val="-11"/>
        </w:rPr>
        <w:t xml:space="preserve"> </w:t>
      </w:r>
      <w:r>
        <w:rPr>
          <w:color w:val="323232"/>
        </w:rPr>
        <w:t>We</w:t>
      </w:r>
      <w:r>
        <w:rPr>
          <w:color w:val="323232"/>
          <w:spacing w:val="-11"/>
        </w:rPr>
        <w:t xml:space="preserve"> </w:t>
      </w:r>
      <w:r>
        <w:rPr>
          <w:color w:val="323232"/>
        </w:rPr>
        <w:t>are</w:t>
      </w:r>
      <w:r>
        <w:rPr>
          <w:color w:val="323232"/>
          <w:spacing w:val="-12"/>
        </w:rPr>
        <w:t xml:space="preserve"> </w:t>
      </w:r>
      <w:r>
        <w:rPr>
          <w:color w:val="323232"/>
        </w:rPr>
        <w:t>not</w:t>
      </w:r>
      <w:r>
        <w:rPr>
          <w:color w:val="323232"/>
          <w:spacing w:val="-11"/>
        </w:rPr>
        <w:t xml:space="preserve"> </w:t>
      </w:r>
      <w:r>
        <w:rPr>
          <w:color w:val="323232"/>
        </w:rPr>
        <w:t>required</w:t>
      </w:r>
      <w:r>
        <w:rPr>
          <w:color w:val="323232"/>
          <w:spacing w:val="-11"/>
        </w:rPr>
        <w:t xml:space="preserve"> </w:t>
      </w:r>
      <w:r>
        <w:rPr>
          <w:color w:val="323232"/>
        </w:rPr>
        <w:t>to</w:t>
      </w:r>
      <w:r>
        <w:rPr>
          <w:color w:val="323232"/>
          <w:spacing w:val="-12"/>
        </w:rPr>
        <w:t xml:space="preserve"> </w:t>
      </w:r>
      <w:r>
        <w:rPr>
          <w:color w:val="323232"/>
        </w:rPr>
        <w:t>be</w:t>
      </w:r>
      <w:r>
        <w:rPr>
          <w:color w:val="323232"/>
          <w:spacing w:val="-11"/>
        </w:rPr>
        <w:t xml:space="preserve"> </w:t>
      </w:r>
      <w:r>
        <w:rPr>
          <w:color w:val="323232"/>
        </w:rPr>
        <w:t>independent</w:t>
      </w:r>
      <w:r>
        <w:rPr>
          <w:color w:val="323232"/>
          <w:spacing w:val="-11"/>
        </w:rPr>
        <w:t xml:space="preserve"> </w:t>
      </w:r>
      <w:r>
        <w:rPr>
          <w:color w:val="323232"/>
        </w:rPr>
        <w:t>for</w:t>
      </w:r>
      <w:r>
        <w:rPr>
          <w:color w:val="323232"/>
          <w:spacing w:val="-12"/>
        </w:rPr>
        <w:t xml:space="preserve"> </w:t>
      </w:r>
      <w:r>
        <w:rPr>
          <w:color w:val="323232"/>
        </w:rPr>
        <w:t>the</w:t>
      </w:r>
      <w:r>
        <w:rPr>
          <w:color w:val="323232"/>
          <w:spacing w:val="-11"/>
        </w:rPr>
        <w:t xml:space="preserve"> </w:t>
      </w:r>
      <w:r>
        <w:rPr>
          <w:color w:val="323232"/>
        </w:rPr>
        <w:t>purpose</w:t>
      </w:r>
      <w:r>
        <w:rPr>
          <w:color w:val="323232"/>
          <w:spacing w:val="-11"/>
        </w:rPr>
        <w:t xml:space="preserve"> </w:t>
      </w:r>
      <w:r>
        <w:rPr>
          <w:color w:val="323232"/>
        </w:rPr>
        <w:t>of</w:t>
      </w:r>
      <w:r>
        <w:rPr>
          <w:color w:val="323232"/>
          <w:spacing w:val="-11"/>
        </w:rPr>
        <w:t xml:space="preserve"> </w:t>
      </w:r>
      <w:r>
        <w:rPr>
          <w:color w:val="323232"/>
        </w:rPr>
        <w:t>this</w:t>
      </w:r>
      <w:r>
        <w:rPr>
          <w:color w:val="323232"/>
          <w:spacing w:val="-12"/>
        </w:rPr>
        <w:t xml:space="preserve"> </w:t>
      </w:r>
      <w:r>
        <w:rPr>
          <w:color w:val="323232"/>
        </w:rPr>
        <w:t>engagement;</w:t>
      </w:r>
      <w:r>
        <w:rPr>
          <w:color w:val="323232"/>
          <w:spacing w:val="-11"/>
        </w:rPr>
        <w:t xml:space="preserve"> </w:t>
      </w:r>
      <w:r>
        <w:rPr>
          <w:color w:val="323232"/>
        </w:rPr>
        <w:t>however, we</w:t>
      </w:r>
      <w:r>
        <w:rPr>
          <w:color w:val="323232"/>
          <w:spacing w:val="-10"/>
        </w:rPr>
        <w:t xml:space="preserve"> </w:t>
      </w:r>
      <w:r>
        <w:rPr>
          <w:color w:val="323232"/>
        </w:rPr>
        <w:t>complied</w:t>
      </w:r>
      <w:r>
        <w:rPr>
          <w:color w:val="323232"/>
          <w:spacing w:val="-10"/>
        </w:rPr>
        <w:t xml:space="preserve"> </w:t>
      </w:r>
      <w:r>
        <w:rPr>
          <w:color w:val="323232"/>
        </w:rPr>
        <w:t>with</w:t>
      </w:r>
      <w:r>
        <w:rPr>
          <w:color w:val="323232"/>
          <w:spacing w:val="-9"/>
        </w:rPr>
        <w:t xml:space="preserve"> </w:t>
      </w:r>
      <w:r>
        <w:rPr>
          <w:color w:val="323232"/>
        </w:rPr>
        <w:t>the</w:t>
      </w:r>
      <w:r>
        <w:rPr>
          <w:color w:val="323232"/>
          <w:spacing w:val="-10"/>
        </w:rPr>
        <w:t xml:space="preserve"> </w:t>
      </w:r>
      <w:r>
        <w:rPr>
          <w:color w:val="323232"/>
        </w:rPr>
        <w:t>independence</w:t>
      </w:r>
      <w:r>
        <w:rPr>
          <w:color w:val="323232"/>
          <w:spacing w:val="-10"/>
        </w:rPr>
        <w:t xml:space="preserve"> </w:t>
      </w:r>
      <w:r>
        <w:rPr>
          <w:color w:val="323232"/>
        </w:rPr>
        <w:t>requirements</w:t>
      </w:r>
      <w:r>
        <w:rPr>
          <w:color w:val="323232"/>
          <w:spacing w:val="-9"/>
        </w:rPr>
        <w:t xml:space="preserve"> </w:t>
      </w:r>
      <w:r>
        <w:rPr>
          <w:color w:val="323232"/>
        </w:rPr>
        <w:t>of</w:t>
      </w:r>
      <w:r>
        <w:rPr>
          <w:color w:val="323232"/>
          <w:spacing w:val="-10"/>
        </w:rPr>
        <w:t xml:space="preserve"> </w:t>
      </w:r>
      <w:r>
        <w:rPr>
          <w:color w:val="323232"/>
        </w:rPr>
        <w:t>the</w:t>
      </w:r>
      <w:r>
        <w:rPr>
          <w:color w:val="323232"/>
          <w:spacing w:val="-10"/>
        </w:rPr>
        <w:t xml:space="preserve"> </w:t>
      </w:r>
      <w:r>
        <w:rPr>
          <w:color w:val="323232"/>
        </w:rPr>
        <w:t>IESBA</w:t>
      </w:r>
      <w:r>
        <w:rPr>
          <w:color w:val="323232"/>
          <w:spacing w:val="-10"/>
        </w:rPr>
        <w:t xml:space="preserve"> </w:t>
      </w:r>
      <w:r>
        <w:rPr>
          <w:color w:val="323232"/>
        </w:rPr>
        <w:t>Code</w:t>
      </w:r>
      <w:r>
        <w:rPr>
          <w:color w:val="323232"/>
          <w:spacing w:val="-9"/>
        </w:rPr>
        <w:t xml:space="preserve"> </w:t>
      </w:r>
      <w:r>
        <w:rPr>
          <w:color w:val="323232"/>
        </w:rPr>
        <w:t>that</w:t>
      </w:r>
      <w:r>
        <w:rPr>
          <w:color w:val="323232"/>
          <w:spacing w:val="-11"/>
        </w:rPr>
        <w:t xml:space="preserve"> </w:t>
      </w:r>
      <w:r>
        <w:rPr>
          <w:color w:val="323232"/>
        </w:rPr>
        <w:t>apply</w:t>
      </w:r>
      <w:r>
        <w:rPr>
          <w:color w:val="323232"/>
          <w:spacing w:val="-10"/>
        </w:rPr>
        <w:t xml:space="preserve"> </w:t>
      </w:r>
      <w:r>
        <w:rPr>
          <w:color w:val="323232"/>
        </w:rPr>
        <w:t>to</w:t>
      </w:r>
      <w:r>
        <w:rPr>
          <w:color w:val="323232"/>
          <w:spacing w:val="-11"/>
        </w:rPr>
        <w:t xml:space="preserve"> </w:t>
      </w:r>
      <w:r>
        <w:rPr>
          <w:color w:val="323232"/>
        </w:rPr>
        <w:t>assurance</w:t>
      </w:r>
      <w:r>
        <w:rPr>
          <w:color w:val="323232"/>
          <w:spacing w:val="-10"/>
        </w:rPr>
        <w:t xml:space="preserve"> </w:t>
      </w:r>
      <w:r>
        <w:rPr>
          <w:color w:val="323232"/>
        </w:rPr>
        <w:t>engagements other than financial audit or review engagements.</w:t>
      </w:r>
    </w:p>
    <w:p w14:paraId="1A4714E1" w14:textId="77777777" w:rsidR="001B6D57" w:rsidRDefault="001B6D57" w:rsidP="001B6D57">
      <w:pPr>
        <w:pStyle w:val="Tekstpodstawowy"/>
        <w:spacing w:before="180"/>
        <w:ind w:left="101"/>
        <w:jc w:val="both"/>
      </w:pPr>
      <w:r>
        <w:rPr>
          <w:color w:val="323232"/>
        </w:rPr>
        <w:t>There</w:t>
      </w:r>
      <w:r>
        <w:rPr>
          <w:color w:val="323232"/>
          <w:spacing w:val="-4"/>
        </w:rPr>
        <w:t xml:space="preserve"> </w:t>
      </w:r>
      <w:r>
        <w:rPr>
          <w:color w:val="323232"/>
        </w:rPr>
        <w:t>was</w:t>
      </w:r>
      <w:r>
        <w:rPr>
          <w:color w:val="323232"/>
          <w:spacing w:val="-2"/>
        </w:rPr>
        <w:t xml:space="preserve"> </w:t>
      </w:r>
      <w:r>
        <w:rPr>
          <w:color w:val="323232"/>
        </w:rPr>
        <w:t>no</w:t>
      </w:r>
      <w:r>
        <w:rPr>
          <w:color w:val="323232"/>
          <w:spacing w:val="-4"/>
        </w:rPr>
        <w:t xml:space="preserve"> </w:t>
      </w:r>
      <w:r>
        <w:rPr>
          <w:color w:val="323232"/>
        </w:rPr>
        <w:t>conflict</w:t>
      </w:r>
      <w:r>
        <w:rPr>
          <w:color w:val="323232"/>
          <w:spacing w:val="-3"/>
        </w:rPr>
        <w:t xml:space="preserve"> </w:t>
      </w:r>
      <w:r>
        <w:rPr>
          <w:color w:val="323232"/>
        </w:rPr>
        <w:t>of</w:t>
      </w:r>
      <w:r>
        <w:rPr>
          <w:color w:val="323232"/>
          <w:spacing w:val="-3"/>
        </w:rPr>
        <w:t xml:space="preserve"> </w:t>
      </w:r>
      <w:r>
        <w:rPr>
          <w:color w:val="323232"/>
        </w:rPr>
        <w:t>interest</w:t>
      </w:r>
      <w:r>
        <w:rPr>
          <w:color w:val="323232"/>
          <w:vertAlign w:val="superscript"/>
        </w:rPr>
        <w:t>3</w:t>
      </w:r>
      <w:r>
        <w:rPr>
          <w:color w:val="323232"/>
          <w:spacing w:val="-3"/>
        </w:rPr>
        <w:t xml:space="preserve"> </w:t>
      </w:r>
      <w:r>
        <w:rPr>
          <w:color w:val="323232"/>
        </w:rPr>
        <w:t>between</w:t>
      </w:r>
      <w:r>
        <w:rPr>
          <w:color w:val="323232"/>
          <w:spacing w:val="-3"/>
        </w:rPr>
        <w:t xml:space="preserve"> </w:t>
      </w:r>
      <w:r>
        <w:rPr>
          <w:color w:val="323232"/>
        </w:rPr>
        <w:t>us</w:t>
      </w:r>
      <w:r>
        <w:rPr>
          <w:color w:val="323232"/>
          <w:spacing w:val="-4"/>
        </w:rPr>
        <w:t xml:space="preserve"> </w:t>
      </w:r>
      <w:r>
        <w:rPr>
          <w:color w:val="323232"/>
        </w:rPr>
        <w:t>and</w:t>
      </w:r>
      <w:r>
        <w:rPr>
          <w:color w:val="323232"/>
          <w:spacing w:val="-2"/>
        </w:rPr>
        <w:t xml:space="preserve"> </w:t>
      </w:r>
      <w:r>
        <w:rPr>
          <w:color w:val="323232"/>
        </w:rPr>
        <w:t>the</w:t>
      </w:r>
      <w:r>
        <w:rPr>
          <w:color w:val="323232"/>
          <w:spacing w:val="-3"/>
        </w:rPr>
        <w:t xml:space="preserve"> </w:t>
      </w:r>
      <w:r>
        <w:rPr>
          <w:color w:val="323232"/>
          <w:highlight w:val="lightGray"/>
        </w:rPr>
        <w:t>[Subgrantee]</w:t>
      </w:r>
      <w:r>
        <w:rPr>
          <w:color w:val="323232"/>
          <w:spacing w:val="-3"/>
        </w:rPr>
        <w:t xml:space="preserve"> </w:t>
      </w:r>
      <w:r>
        <w:rPr>
          <w:color w:val="323232"/>
        </w:rPr>
        <w:t>in</w:t>
      </w:r>
      <w:r>
        <w:rPr>
          <w:color w:val="323232"/>
          <w:spacing w:val="-3"/>
        </w:rPr>
        <w:t xml:space="preserve"> </w:t>
      </w:r>
      <w:r>
        <w:rPr>
          <w:color w:val="323232"/>
        </w:rPr>
        <w:t>establishing</w:t>
      </w:r>
      <w:r>
        <w:rPr>
          <w:color w:val="323232"/>
          <w:spacing w:val="-3"/>
        </w:rPr>
        <w:t xml:space="preserve"> </w:t>
      </w:r>
      <w:r>
        <w:rPr>
          <w:color w:val="323232"/>
        </w:rPr>
        <w:t>this</w:t>
      </w:r>
      <w:r>
        <w:rPr>
          <w:color w:val="323232"/>
          <w:spacing w:val="-1"/>
        </w:rPr>
        <w:t xml:space="preserve"> </w:t>
      </w:r>
      <w:r>
        <w:rPr>
          <w:color w:val="323232"/>
          <w:spacing w:val="-2"/>
        </w:rPr>
        <w:t>Report.</w:t>
      </w:r>
    </w:p>
    <w:p w14:paraId="33F8B74F" w14:textId="77777777" w:rsidR="001B6D57" w:rsidRDefault="001B6D57" w:rsidP="001B6D57">
      <w:pPr>
        <w:pStyle w:val="Tekstpodstawowy"/>
        <w:spacing w:before="40"/>
      </w:pPr>
    </w:p>
    <w:p w14:paraId="679D14AF" w14:textId="77777777" w:rsidR="001B6D57" w:rsidRDefault="001B6D57" w:rsidP="001B6D57">
      <w:pPr>
        <w:ind w:left="101" w:right="308"/>
        <w:jc w:val="both"/>
        <w:rPr>
          <w:sz w:val="20"/>
        </w:rPr>
      </w:pPr>
      <w:r>
        <w:rPr>
          <w:color w:val="323232"/>
          <w:sz w:val="20"/>
          <w:highlight w:val="lightGray"/>
        </w:rPr>
        <w:t>[name</w:t>
      </w:r>
      <w:r>
        <w:rPr>
          <w:color w:val="323232"/>
          <w:spacing w:val="-8"/>
          <w:sz w:val="20"/>
          <w:highlight w:val="lightGray"/>
        </w:rPr>
        <w:t xml:space="preserve"> </w:t>
      </w:r>
      <w:r>
        <w:rPr>
          <w:color w:val="323232"/>
          <w:sz w:val="20"/>
          <w:highlight w:val="lightGray"/>
        </w:rPr>
        <w:t>of</w:t>
      </w:r>
      <w:r>
        <w:rPr>
          <w:color w:val="323232"/>
          <w:spacing w:val="-8"/>
          <w:sz w:val="20"/>
          <w:highlight w:val="lightGray"/>
        </w:rPr>
        <w:t xml:space="preserve"> </w:t>
      </w:r>
      <w:r>
        <w:rPr>
          <w:color w:val="323232"/>
          <w:sz w:val="20"/>
          <w:highlight w:val="lightGray"/>
        </w:rPr>
        <w:t>the</w:t>
      </w:r>
      <w:r>
        <w:rPr>
          <w:color w:val="323232"/>
          <w:spacing w:val="-8"/>
          <w:sz w:val="20"/>
          <w:highlight w:val="lightGray"/>
        </w:rPr>
        <w:t xml:space="preserve"> </w:t>
      </w:r>
      <w:r>
        <w:rPr>
          <w:color w:val="323232"/>
          <w:sz w:val="20"/>
          <w:highlight w:val="lightGray"/>
        </w:rPr>
        <w:t>practitioner]</w:t>
      </w:r>
      <w:r>
        <w:rPr>
          <w:color w:val="323232"/>
          <w:spacing w:val="-8"/>
          <w:sz w:val="20"/>
        </w:rPr>
        <w:t xml:space="preserve"> </w:t>
      </w:r>
      <w:r>
        <w:rPr>
          <w:color w:val="323232"/>
          <w:sz w:val="20"/>
        </w:rPr>
        <w:t>applies</w:t>
      </w:r>
      <w:r>
        <w:rPr>
          <w:color w:val="323232"/>
          <w:spacing w:val="-8"/>
          <w:sz w:val="20"/>
        </w:rPr>
        <w:t xml:space="preserve"> </w:t>
      </w:r>
      <w:r>
        <w:rPr>
          <w:color w:val="323232"/>
          <w:sz w:val="20"/>
        </w:rPr>
        <w:t>the</w:t>
      </w:r>
      <w:r>
        <w:rPr>
          <w:color w:val="323232"/>
          <w:spacing w:val="-8"/>
          <w:sz w:val="20"/>
        </w:rPr>
        <w:t xml:space="preserve"> </w:t>
      </w:r>
      <w:r>
        <w:rPr>
          <w:color w:val="323232"/>
          <w:sz w:val="20"/>
        </w:rPr>
        <w:t>International</w:t>
      </w:r>
      <w:r>
        <w:rPr>
          <w:color w:val="323232"/>
          <w:spacing w:val="-9"/>
          <w:sz w:val="20"/>
        </w:rPr>
        <w:t xml:space="preserve"> </w:t>
      </w:r>
      <w:r>
        <w:rPr>
          <w:color w:val="323232"/>
          <w:sz w:val="20"/>
        </w:rPr>
        <w:t>Standard</w:t>
      </w:r>
      <w:r>
        <w:rPr>
          <w:color w:val="323232"/>
          <w:spacing w:val="-8"/>
          <w:sz w:val="20"/>
        </w:rPr>
        <w:t xml:space="preserve"> </w:t>
      </w:r>
      <w:r>
        <w:rPr>
          <w:color w:val="323232"/>
          <w:sz w:val="20"/>
        </w:rPr>
        <w:t>on</w:t>
      </w:r>
      <w:r>
        <w:rPr>
          <w:color w:val="323232"/>
          <w:spacing w:val="-8"/>
          <w:sz w:val="20"/>
        </w:rPr>
        <w:t xml:space="preserve"> </w:t>
      </w:r>
      <w:r>
        <w:rPr>
          <w:color w:val="323232"/>
          <w:sz w:val="20"/>
        </w:rPr>
        <w:t>Quality</w:t>
      </w:r>
      <w:r>
        <w:rPr>
          <w:color w:val="323232"/>
          <w:spacing w:val="-8"/>
          <w:sz w:val="20"/>
        </w:rPr>
        <w:t xml:space="preserve"> </w:t>
      </w:r>
      <w:r>
        <w:rPr>
          <w:color w:val="323232"/>
          <w:sz w:val="20"/>
        </w:rPr>
        <w:t>Control</w:t>
      </w:r>
      <w:r>
        <w:rPr>
          <w:color w:val="323232"/>
          <w:spacing w:val="-8"/>
          <w:sz w:val="20"/>
        </w:rPr>
        <w:t xml:space="preserve"> </w:t>
      </w:r>
      <w:r>
        <w:rPr>
          <w:color w:val="323232"/>
          <w:sz w:val="20"/>
        </w:rPr>
        <w:t>1,</w:t>
      </w:r>
      <w:r>
        <w:rPr>
          <w:color w:val="323232"/>
          <w:spacing w:val="-9"/>
          <w:sz w:val="20"/>
        </w:rPr>
        <w:t xml:space="preserve"> </w:t>
      </w:r>
      <w:r>
        <w:rPr>
          <w:i/>
          <w:color w:val="323232"/>
          <w:sz w:val="20"/>
        </w:rPr>
        <w:t>Quality</w:t>
      </w:r>
      <w:r>
        <w:rPr>
          <w:i/>
          <w:color w:val="323232"/>
          <w:spacing w:val="-9"/>
          <w:sz w:val="20"/>
        </w:rPr>
        <w:t xml:space="preserve"> </w:t>
      </w:r>
      <w:r>
        <w:rPr>
          <w:i/>
          <w:color w:val="323232"/>
          <w:sz w:val="20"/>
        </w:rPr>
        <w:t>Control</w:t>
      </w:r>
      <w:r>
        <w:rPr>
          <w:i/>
          <w:color w:val="323232"/>
          <w:spacing w:val="-8"/>
          <w:sz w:val="20"/>
        </w:rPr>
        <w:t xml:space="preserve"> </w:t>
      </w:r>
      <w:r>
        <w:rPr>
          <w:i/>
          <w:color w:val="323232"/>
          <w:sz w:val="20"/>
        </w:rPr>
        <w:t>for</w:t>
      </w:r>
      <w:r>
        <w:rPr>
          <w:i/>
          <w:color w:val="323232"/>
          <w:spacing w:val="-8"/>
          <w:sz w:val="20"/>
        </w:rPr>
        <w:t xml:space="preserve"> </w:t>
      </w:r>
      <w:r>
        <w:rPr>
          <w:i/>
          <w:color w:val="323232"/>
          <w:sz w:val="20"/>
        </w:rPr>
        <w:t>Firms that Perform Audits and Reviews of Financial Statements, and Other Assurance and Related Services Engagements,</w:t>
      </w:r>
      <w:r>
        <w:rPr>
          <w:i/>
          <w:color w:val="323232"/>
          <w:spacing w:val="-12"/>
          <w:sz w:val="20"/>
        </w:rPr>
        <w:t xml:space="preserve"> </w:t>
      </w:r>
      <w:r>
        <w:rPr>
          <w:color w:val="323232"/>
          <w:sz w:val="20"/>
        </w:rPr>
        <w:t>and</w:t>
      </w:r>
      <w:r>
        <w:rPr>
          <w:color w:val="323232"/>
          <w:spacing w:val="-10"/>
          <w:sz w:val="20"/>
        </w:rPr>
        <w:t xml:space="preserve"> </w:t>
      </w:r>
      <w:r>
        <w:rPr>
          <w:color w:val="323232"/>
          <w:sz w:val="20"/>
        </w:rPr>
        <w:t>accordingly</w:t>
      </w:r>
      <w:r>
        <w:rPr>
          <w:color w:val="323232"/>
          <w:spacing w:val="-9"/>
          <w:sz w:val="20"/>
        </w:rPr>
        <w:t xml:space="preserve"> </w:t>
      </w:r>
      <w:r>
        <w:rPr>
          <w:color w:val="323232"/>
          <w:sz w:val="20"/>
        </w:rPr>
        <w:t>maintains</w:t>
      </w:r>
      <w:r>
        <w:rPr>
          <w:color w:val="323232"/>
          <w:spacing w:val="-10"/>
          <w:sz w:val="20"/>
        </w:rPr>
        <w:t xml:space="preserve"> </w:t>
      </w:r>
      <w:r>
        <w:rPr>
          <w:color w:val="323232"/>
          <w:sz w:val="20"/>
        </w:rPr>
        <w:t>a</w:t>
      </w:r>
      <w:r>
        <w:rPr>
          <w:color w:val="323232"/>
          <w:spacing w:val="-10"/>
          <w:sz w:val="20"/>
        </w:rPr>
        <w:t xml:space="preserve"> </w:t>
      </w:r>
      <w:r>
        <w:rPr>
          <w:color w:val="323232"/>
          <w:sz w:val="20"/>
        </w:rPr>
        <w:t>comprehensive</w:t>
      </w:r>
      <w:r>
        <w:rPr>
          <w:color w:val="323232"/>
          <w:spacing w:val="-11"/>
          <w:sz w:val="20"/>
        </w:rPr>
        <w:t xml:space="preserve"> </w:t>
      </w:r>
      <w:r>
        <w:rPr>
          <w:color w:val="323232"/>
          <w:sz w:val="20"/>
        </w:rPr>
        <w:t>system</w:t>
      </w:r>
      <w:r>
        <w:rPr>
          <w:color w:val="323232"/>
          <w:spacing w:val="-9"/>
          <w:sz w:val="20"/>
        </w:rPr>
        <w:t xml:space="preserve"> </w:t>
      </w:r>
      <w:r>
        <w:rPr>
          <w:color w:val="323232"/>
          <w:sz w:val="20"/>
        </w:rPr>
        <w:t>of</w:t>
      </w:r>
      <w:r>
        <w:rPr>
          <w:color w:val="323232"/>
          <w:spacing w:val="-10"/>
          <w:sz w:val="20"/>
        </w:rPr>
        <w:t xml:space="preserve"> </w:t>
      </w:r>
      <w:r>
        <w:rPr>
          <w:color w:val="323232"/>
          <w:sz w:val="20"/>
        </w:rPr>
        <w:t>quality</w:t>
      </w:r>
      <w:r>
        <w:rPr>
          <w:color w:val="323232"/>
          <w:spacing w:val="-10"/>
          <w:sz w:val="20"/>
        </w:rPr>
        <w:t xml:space="preserve"> </w:t>
      </w:r>
      <w:r>
        <w:rPr>
          <w:color w:val="323232"/>
          <w:sz w:val="20"/>
        </w:rPr>
        <w:t>control</w:t>
      </w:r>
      <w:r>
        <w:rPr>
          <w:color w:val="323232"/>
          <w:spacing w:val="-10"/>
          <w:sz w:val="20"/>
        </w:rPr>
        <w:t xml:space="preserve"> </w:t>
      </w:r>
      <w:r>
        <w:rPr>
          <w:color w:val="323232"/>
          <w:sz w:val="20"/>
        </w:rPr>
        <w:t>including</w:t>
      </w:r>
      <w:r>
        <w:rPr>
          <w:color w:val="323232"/>
          <w:spacing w:val="-10"/>
          <w:sz w:val="20"/>
        </w:rPr>
        <w:t xml:space="preserve"> </w:t>
      </w:r>
      <w:r>
        <w:rPr>
          <w:color w:val="323232"/>
          <w:sz w:val="20"/>
        </w:rPr>
        <w:t>documented policies and procedures regarding compliance with ethical requirements, professional standards and applicable legal and regulatory requirements.</w:t>
      </w:r>
    </w:p>
    <w:p w14:paraId="102F6641" w14:textId="77777777" w:rsidR="001B6D57" w:rsidRDefault="001B6D57" w:rsidP="001B6D57">
      <w:pPr>
        <w:pStyle w:val="Tekstpodstawowy"/>
      </w:pPr>
    </w:p>
    <w:p w14:paraId="05727594" w14:textId="77777777" w:rsidR="001B6D57" w:rsidRDefault="001B6D57" w:rsidP="001B6D57">
      <w:pPr>
        <w:pStyle w:val="Tekstpodstawowy"/>
        <w:spacing w:before="29"/>
      </w:pPr>
    </w:p>
    <w:p w14:paraId="13155774" w14:textId="77777777" w:rsidR="001B6D57" w:rsidRDefault="001B6D57" w:rsidP="001B6D57">
      <w:pPr>
        <w:ind w:left="101"/>
        <w:jc w:val="both"/>
        <w:rPr>
          <w:i/>
          <w:sz w:val="20"/>
        </w:rPr>
      </w:pPr>
      <w:r>
        <w:rPr>
          <w:i/>
          <w:color w:val="323232"/>
          <w:sz w:val="20"/>
        </w:rPr>
        <w:t>Description</w:t>
      </w:r>
      <w:r>
        <w:rPr>
          <w:i/>
          <w:color w:val="323232"/>
          <w:spacing w:val="-2"/>
          <w:sz w:val="20"/>
        </w:rPr>
        <w:t xml:space="preserve"> </w:t>
      </w:r>
      <w:r>
        <w:rPr>
          <w:i/>
          <w:color w:val="323232"/>
          <w:sz w:val="20"/>
        </w:rPr>
        <w:t>of</w:t>
      </w:r>
      <w:r>
        <w:rPr>
          <w:i/>
          <w:color w:val="323232"/>
          <w:spacing w:val="-2"/>
          <w:sz w:val="20"/>
        </w:rPr>
        <w:t xml:space="preserve"> </w:t>
      </w:r>
      <w:r>
        <w:rPr>
          <w:i/>
          <w:color w:val="323232"/>
          <w:sz w:val="20"/>
        </w:rPr>
        <w:t>procedures</w:t>
      </w:r>
      <w:r>
        <w:rPr>
          <w:i/>
          <w:color w:val="323232"/>
          <w:spacing w:val="-1"/>
          <w:sz w:val="20"/>
        </w:rPr>
        <w:t xml:space="preserve"> </w:t>
      </w:r>
      <w:r>
        <w:rPr>
          <w:i/>
          <w:color w:val="323232"/>
          <w:spacing w:val="-2"/>
          <w:sz w:val="20"/>
        </w:rPr>
        <w:t>performed</w:t>
      </w:r>
    </w:p>
    <w:p w14:paraId="34C8C8D2" w14:textId="77777777" w:rsidR="001B6D57" w:rsidRDefault="001B6D57" w:rsidP="001B6D57">
      <w:pPr>
        <w:pStyle w:val="Tekstpodstawowy"/>
        <w:spacing w:before="59" w:line="264" w:lineRule="auto"/>
        <w:ind w:left="101" w:right="314"/>
        <w:jc w:val="both"/>
      </w:pPr>
      <w:r>
        <w:rPr>
          <w:color w:val="323232"/>
        </w:rPr>
        <w:t xml:space="preserve">We have performed the procedures included in annex to this report, which were agreed-upon with EIT Urban Mobility </w:t>
      </w:r>
      <w:proofErr w:type="spellStart"/>
      <w:r>
        <w:rPr>
          <w:color w:val="323232"/>
        </w:rPr>
        <w:t>s.l.</w:t>
      </w:r>
      <w:proofErr w:type="spellEnd"/>
      <w:r>
        <w:rPr>
          <w:color w:val="323232"/>
        </w:rPr>
        <w:t xml:space="preserve"> and the EIT, on the accompanying Financial Statement.</w:t>
      </w:r>
    </w:p>
    <w:p w14:paraId="15CCE54D" w14:textId="77777777" w:rsidR="001B6D57" w:rsidRDefault="001B6D57" w:rsidP="001B6D57">
      <w:pPr>
        <w:pStyle w:val="Tekstpodstawowy"/>
        <w:spacing w:before="120"/>
      </w:pPr>
    </w:p>
    <w:p w14:paraId="7085799C" w14:textId="77777777" w:rsidR="001B6D57" w:rsidRDefault="001B6D57" w:rsidP="001B6D57">
      <w:pPr>
        <w:pStyle w:val="Tekstpodstawowy"/>
        <w:spacing w:line="264" w:lineRule="auto"/>
        <w:ind w:left="101"/>
      </w:pPr>
      <w:r>
        <w:rPr>
          <w:color w:val="323232"/>
        </w:rPr>
        <w:t>Apart</w:t>
      </w:r>
      <w:r>
        <w:rPr>
          <w:color w:val="323232"/>
          <w:spacing w:val="-9"/>
        </w:rPr>
        <w:t xml:space="preserve"> </w:t>
      </w:r>
      <w:r>
        <w:rPr>
          <w:color w:val="323232"/>
        </w:rPr>
        <w:t>from</w:t>
      </w:r>
      <w:r>
        <w:rPr>
          <w:color w:val="323232"/>
          <w:spacing w:val="-10"/>
        </w:rPr>
        <w:t xml:space="preserve"> </w:t>
      </w:r>
      <w:r>
        <w:rPr>
          <w:color w:val="323232"/>
        </w:rPr>
        <w:t>the</w:t>
      </w:r>
      <w:r>
        <w:rPr>
          <w:color w:val="323232"/>
          <w:spacing w:val="-10"/>
        </w:rPr>
        <w:t xml:space="preserve"> </w:t>
      </w:r>
      <w:r>
        <w:rPr>
          <w:color w:val="323232"/>
        </w:rPr>
        <w:t>Findings</w:t>
      </w:r>
      <w:r>
        <w:rPr>
          <w:color w:val="323232"/>
          <w:spacing w:val="-10"/>
        </w:rPr>
        <w:t xml:space="preserve"> </w:t>
      </w:r>
      <w:r>
        <w:rPr>
          <w:color w:val="323232"/>
        </w:rPr>
        <w:t>listed</w:t>
      </w:r>
      <w:r>
        <w:rPr>
          <w:color w:val="323232"/>
          <w:spacing w:val="-10"/>
        </w:rPr>
        <w:t xml:space="preserve"> </w:t>
      </w:r>
      <w:r>
        <w:rPr>
          <w:color w:val="323232"/>
        </w:rPr>
        <w:t>below,</w:t>
      </w:r>
      <w:r>
        <w:rPr>
          <w:color w:val="323232"/>
          <w:spacing w:val="-10"/>
        </w:rPr>
        <w:t xml:space="preserve"> </w:t>
      </w:r>
      <w:r>
        <w:rPr>
          <w:color w:val="323232"/>
        </w:rPr>
        <w:t>the</w:t>
      </w:r>
      <w:r>
        <w:rPr>
          <w:color w:val="323232"/>
          <w:spacing w:val="-10"/>
        </w:rPr>
        <w:t xml:space="preserve"> </w:t>
      </w:r>
      <w:r>
        <w:rPr>
          <w:color w:val="323232"/>
          <w:highlight w:val="lightGray"/>
        </w:rPr>
        <w:t>[Subgrantee]</w:t>
      </w:r>
      <w:r>
        <w:rPr>
          <w:color w:val="323232"/>
          <w:spacing w:val="-11"/>
        </w:rPr>
        <w:t xml:space="preserve"> </w:t>
      </w:r>
      <w:r>
        <w:rPr>
          <w:color w:val="323232"/>
        </w:rPr>
        <w:t>provided</w:t>
      </w:r>
      <w:r>
        <w:rPr>
          <w:color w:val="323232"/>
          <w:spacing w:val="-9"/>
        </w:rPr>
        <w:t xml:space="preserve"> </w:t>
      </w:r>
      <w:r>
        <w:rPr>
          <w:color w:val="323232"/>
        </w:rPr>
        <w:t>the</w:t>
      </w:r>
      <w:r>
        <w:rPr>
          <w:color w:val="323232"/>
          <w:spacing w:val="-9"/>
        </w:rPr>
        <w:t xml:space="preserve"> </w:t>
      </w:r>
      <w:r>
        <w:rPr>
          <w:color w:val="323232"/>
        </w:rPr>
        <w:t>Practitioner</w:t>
      </w:r>
      <w:r>
        <w:rPr>
          <w:color w:val="323232"/>
          <w:spacing w:val="-10"/>
        </w:rPr>
        <w:t xml:space="preserve"> </w:t>
      </w:r>
      <w:r>
        <w:rPr>
          <w:color w:val="323232"/>
        </w:rPr>
        <w:t>all</w:t>
      </w:r>
      <w:r>
        <w:rPr>
          <w:color w:val="323232"/>
          <w:spacing w:val="-10"/>
        </w:rPr>
        <w:t xml:space="preserve"> </w:t>
      </w:r>
      <w:r>
        <w:rPr>
          <w:color w:val="323232"/>
        </w:rPr>
        <w:t>the</w:t>
      </w:r>
      <w:r>
        <w:rPr>
          <w:color w:val="323232"/>
          <w:spacing w:val="-10"/>
        </w:rPr>
        <w:t xml:space="preserve"> </w:t>
      </w:r>
      <w:r>
        <w:rPr>
          <w:color w:val="323232"/>
        </w:rPr>
        <w:t>documentation</w:t>
      </w:r>
      <w:r>
        <w:rPr>
          <w:color w:val="323232"/>
          <w:spacing w:val="-9"/>
        </w:rPr>
        <w:t xml:space="preserve"> </w:t>
      </w:r>
      <w:r>
        <w:rPr>
          <w:color w:val="323232"/>
        </w:rPr>
        <w:t>and accounting information needed by the Practitioner to carry out the requested Procedures.</w:t>
      </w:r>
    </w:p>
    <w:p w14:paraId="4B97502E" w14:textId="77777777" w:rsidR="001B6D57" w:rsidRDefault="001B6D57" w:rsidP="001B6D57">
      <w:pPr>
        <w:pStyle w:val="Tekstpodstawowy"/>
        <w:spacing w:before="17"/>
      </w:pPr>
    </w:p>
    <w:p w14:paraId="06EBCDF4" w14:textId="77777777" w:rsidR="001B6D57" w:rsidRDefault="001B6D57" w:rsidP="001B6D57">
      <w:pPr>
        <w:pStyle w:val="Akapitzlist"/>
        <w:numPr>
          <w:ilvl w:val="1"/>
          <w:numId w:val="2"/>
        </w:numPr>
        <w:tabs>
          <w:tab w:val="left" w:pos="394"/>
        </w:tabs>
        <w:ind w:left="394" w:hanging="293"/>
        <w:rPr>
          <w:sz w:val="20"/>
        </w:rPr>
      </w:pPr>
      <w:r>
        <w:rPr>
          <w:color w:val="323232"/>
          <w:sz w:val="20"/>
        </w:rPr>
        <w:t>–</w:t>
      </w:r>
      <w:r>
        <w:rPr>
          <w:color w:val="323232"/>
          <w:spacing w:val="-6"/>
          <w:sz w:val="20"/>
        </w:rPr>
        <w:t xml:space="preserve"> </w:t>
      </w:r>
      <w:r>
        <w:rPr>
          <w:color w:val="323232"/>
          <w:sz w:val="20"/>
          <w:highlight w:val="lightGray"/>
        </w:rPr>
        <w:t>[insert</w:t>
      </w:r>
      <w:r>
        <w:rPr>
          <w:color w:val="323232"/>
          <w:spacing w:val="-2"/>
          <w:sz w:val="20"/>
          <w:highlight w:val="lightGray"/>
        </w:rPr>
        <w:t xml:space="preserve"> </w:t>
      </w:r>
      <w:r>
        <w:rPr>
          <w:color w:val="323232"/>
          <w:sz w:val="20"/>
          <w:highlight w:val="lightGray"/>
        </w:rPr>
        <w:t>cost</w:t>
      </w:r>
      <w:r>
        <w:rPr>
          <w:color w:val="323232"/>
          <w:spacing w:val="-2"/>
          <w:sz w:val="20"/>
          <w:highlight w:val="lightGray"/>
        </w:rPr>
        <w:t xml:space="preserve"> </w:t>
      </w:r>
      <w:r>
        <w:rPr>
          <w:color w:val="323232"/>
          <w:sz w:val="20"/>
          <w:highlight w:val="lightGray"/>
        </w:rPr>
        <w:t>category]</w:t>
      </w:r>
      <w:r>
        <w:rPr>
          <w:color w:val="323232"/>
          <w:spacing w:val="-2"/>
          <w:sz w:val="20"/>
        </w:rPr>
        <w:t xml:space="preserve"> </w:t>
      </w:r>
      <w:r>
        <w:rPr>
          <w:color w:val="323232"/>
          <w:sz w:val="20"/>
        </w:rPr>
        <w:t>-</w:t>
      </w:r>
      <w:r>
        <w:rPr>
          <w:color w:val="323232"/>
          <w:spacing w:val="-3"/>
          <w:sz w:val="20"/>
        </w:rPr>
        <w:t xml:space="preserve"> </w:t>
      </w:r>
      <w:r>
        <w:rPr>
          <w:color w:val="323232"/>
          <w:sz w:val="20"/>
        </w:rPr>
        <w:t>Finding</w:t>
      </w:r>
      <w:r>
        <w:rPr>
          <w:color w:val="323232"/>
          <w:spacing w:val="-3"/>
          <w:sz w:val="20"/>
        </w:rPr>
        <w:t xml:space="preserve"> </w:t>
      </w:r>
      <w:r>
        <w:rPr>
          <w:color w:val="323232"/>
          <w:sz w:val="20"/>
          <w:highlight w:val="lightGray"/>
        </w:rPr>
        <w:t>[insert</w:t>
      </w:r>
      <w:r>
        <w:rPr>
          <w:color w:val="323232"/>
          <w:spacing w:val="-2"/>
          <w:sz w:val="20"/>
          <w:highlight w:val="lightGray"/>
        </w:rPr>
        <w:t xml:space="preserve"> </w:t>
      </w:r>
      <w:r>
        <w:rPr>
          <w:color w:val="323232"/>
          <w:sz w:val="20"/>
          <w:highlight w:val="lightGray"/>
        </w:rPr>
        <w:t>procedure</w:t>
      </w:r>
      <w:r>
        <w:rPr>
          <w:color w:val="323232"/>
          <w:spacing w:val="-2"/>
          <w:sz w:val="20"/>
          <w:highlight w:val="lightGray"/>
        </w:rPr>
        <w:t xml:space="preserve"> </w:t>
      </w:r>
      <w:r>
        <w:rPr>
          <w:color w:val="323232"/>
          <w:sz w:val="20"/>
          <w:highlight w:val="lightGray"/>
        </w:rPr>
        <w:t>number(s)]</w:t>
      </w:r>
      <w:r>
        <w:rPr>
          <w:color w:val="323232"/>
          <w:sz w:val="20"/>
        </w:rPr>
        <w:t>:</w:t>
      </w:r>
      <w:r>
        <w:rPr>
          <w:color w:val="323232"/>
          <w:spacing w:val="-4"/>
          <w:sz w:val="20"/>
        </w:rPr>
        <w:t xml:space="preserve"> </w:t>
      </w:r>
      <w:r>
        <w:rPr>
          <w:color w:val="323232"/>
          <w:sz w:val="20"/>
          <w:highlight w:val="lightGray"/>
        </w:rPr>
        <w:t>[explain</w:t>
      </w:r>
      <w:r>
        <w:rPr>
          <w:color w:val="323232"/>
          <w:spacing w:val="-2"/>
          <w:sz w:val="20"/>
          <w:highlight w:val="lightGray"/>
        </w:rPr>
        <w:t xml:space="preserve"> </w:t>
      </w:r>
      <w:r>
        <w:rPr>
          <w:color w:val="323232"/>
          <w:sz w:val="20"/>
          <w:highlight w:val="lightGray"/>
        </w:rPr>
        <w:t>finding</w:t>
      </w:r>
      <w:r>
        <w:rPr>
          <w:color w:val="323232"/>
          <w:spacing w:val="-2"/>
          <w:sz w:val="20"/>
          <w:highlight w:val="lightGray"/>
        </w:rPr>
        <w:t xml:space="preserve"> </w:t>
      </w:r>
      <w:r>
        <w:rPr>
          <w:color w:val="323232"/>
          <w:sz w:val="20"/>
          <w:highlight w:val="lightGray"/>
        </w:rPr>
        <w:t>concisely</w:t>
      </w:r>
      <w:r>
        <w:rPr>
          <w:color w:val="323232"/>
          <w:spacing w:val="-3"/>
          <w:sz w:val="20"/>
          <w:highlight w:val="lightGray"/>
        </w:rPr>
        <w:t xml:space="preserve"> </w:t>
      </w:r>
      <w:r>
        <w:rPr>
          <w:color w:val="323232"/>
          <w:sz w:val="20"/>
          <w:highlight w:val="lightGray"/>
        </w:rPr>
        <w:t>and</w:t>
      </w:r>
      <w:r>
        <w:rPr>
          <w:color w:val="323232"/>
          <w:spacing w:val="-2"/>
          <w:sz w:val="20"/>
          <w:highlight w:val="lightGray"/>
        </w:rPr>
        <w:t xml:space="preserve"> factually]</w:t>
      </w:r>
    </w:p>
    <w:p w14:paraId="1F48C9EE" w14:textId="77777777" w:rsidR="001B6D57" w:rsidRDefault="001B6D57" w:rsidP="001B6D57">
      <w:pPr>
        <w:pStyle w:val="Tekstpodstawowy"/>
      </w:pPr>
    </w:p>
    <w:p w14:paraId="46778375" w14:textId="77777777" w:rsidR="001B6D57" w:rsidRDefault="001B6D57" w:rsidP="001B6D57">
      <w:pPr>
        <w:pStyle w:val="Tekstpodstawowy"/>
        <w:spacing w:before="45"/>
      </w:pPr>
      <w:r>
        <w:rPr>
          <w:noProof/>
        </w:rPr>
        <mc:AlternateContent>
          <mc:Choice Requires="wps">
            <w:drawing>
              <wp:anchor distT="0" distB="0" distL="0" distR="0" simplePos="0" relativeHeight="251661312" behindDoc="1" locked="0" layoutInCell="1" allowOverlap="1" wp14:anchorId="12CBB2DB" wp14:editId="2B99363B">
                <wp:simplePos x="0" y="0"/>
                <wp:positionH relativeFrom="page">
                  <wp:posOffset>1080516</wp:posOffset>
                </wp:positionH>
                <wp:positionV relativeFrom="paragraph">
                  <wp:posOffset>198869</wp:posOffset>
                </wp:positionV>
                <wp:extent cx="1828800" cy="889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381"/>
                              </a:lnTo>
                              <a:lnTo>
                                <a:pt x="1828800" y="8381"/>
                              </a:lnTo>
                              <a:lnTo>
                                <a:pt x="1828800" y="0"/>
                              </a:lnTo>
                              <a:close/>
                            </a:path>
                          </a:pathLst>
                        </a:custGeom>
                        <a:solidFill>
                          <a:srgbClr val="323232"/>
                        </a:solidFill>
                      </wps:spPr>
                      <wps:bodyPr wrap="square" lIns="0" tIns="0" rIns="0" bIns="0" rtlCol="0">
                        <a:prstTxWarp prst="textNoShape">
                          <a:avLst/>
                        </a:prstTxWarp>
                        <a:noAutofit/>
                      </wps:bodyPr>
                    </wps:wsp>
                  </a:graphicData>
                </a:graphic>
              </wp:anchor>
            </w:drawing>
          </mc:Choice>
          <mc:Fallback>
            <w:pict>
              <v:shape w14:anchorId="2D5BB841" id="Graphic 9" o:spid="_x0000_s1026" style="position:absolute;margin-left:85.1pt;margin-top:15.65pt;width:2in;height:.7pt;z-index:-25165516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" path="m1828800,l,,,8381r1828800,l1828800,xe" fillcolor="#323232" stroked="f">
                <v:path arrowok="t"/>
                <w10:wrap type="topAndBottom" anchorx="page"/>
              </v:shape>
            </w:pict>
          </mc:Fallback>
        </mc:AlternateContent>
      </w:r>
    </w:p>
    <w:p w14:paraId="71FAEABB" w14:textId="77777777" w:rsidR="001B6D57" w:rsidRDefault="001B6D57" w:rsidP="001B6D57">
      <w:pPr>
        <w:spacing w:before="91"/>
        <w:ind w:left="385" w:right="216" w:hanging="285"/>
        <w:rPr>
          <w:sz w:val="16"/>
        </w:rPr>
      </w:pPr>
      <w:r>
        <w:rPr>
          <w:sz w:val="16"/>
          <w:vertAlign w:val="superscript"/>
        </w:rPr>
        <w:t>3</w:t>
      </w:r>
      <w:r>
        <w:rPr>
          <w:spacing w:val="-3"/>
          <w:sz w:val="16"/>
        </w:rPr>
        <w:t xml:space="preserve"> </w:t>
      </w:r>
      <w:r>
        <w:rPr>
          <w:sz w:val="16"/>
        </w:rPr>
        <w:t>A conflict of interest arises when the Practitioner's objectivity to establish the certificate is compromised in fact or in appearance</w:t>
      </w:r>
      <w:r>
        <w:rPr>
          <w:spacing w:val="40"/>
          <w:sz w:val="16"/>
        </w:rPr>
        <w:t xml:space="preserve"> </w:t>
      </w:r>
      <w:r>
        <w:rPr>
          <w:sz w:val="16"/>
        </w:rPr>
        <w:t>when the Practitioner for instance:</w:t>
      </w:r>
    </w:p>
    <w:p w14:paraId="420BEFDC" w14:textId="77777777" w:rsidR="001B6D57" w:rsidRDefault="001B6D57" w:rsidP="001B6D57">
      <w:pPr>
        <w:pStyle w:val="Akapitzlist"/>
        <w:numPr>
          <w:ilvl w:val="2"/>
          <w:numId w:val="2"/>
        </w:numPr>
        <w:tabs>
          <w:tab w:val="left" w:pos="668"/>
        </w:tabs>
        <w:spacing w:line="195" w:lineRule="exact"/>
        <w:rPr>
          <w:sz w:val="16"/>
        </w:rPr>
      </w:pPr>
      <w:r>
        <w:rPr>
          <w:sz w:val="16"/>
        </w:rPr>
        <w:t>was</w:t>
      </w:r>
      <w:r>
        <w:rPr>
          <w:spacing w:val="-4"/>
          <w:sz w:val="16"/>
        </w:rPr>
        <w:t xml:space="preserve"> </w:t>
      </w:r>
      <w:r>
        <w:rPr>
          <w:sz w:val="16"/>
        </w:rPr>
        <w:t>involved</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z w:val="16"/>
        </w:rPr>
        <w:t>preparation</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Financial</w:t>
      </w:r>
      <w:r>
        <w:rPr>
          <w:spacing w:val="-3"/>
          <w:sz w:val="16"/>
        </w:rPr>
        <w:t xml:space="preserve"> </w:t>
      </w:r>
      <w:r>
        <w:rPr>
          <w:spacing w:val="-2"/>
          <w:sz w:val="16"/>
        </w:rPr>
        <w:t>Statements;</w:t>
      </w:r>
    </w:p>
    <w:p w14:paraId="5EFDA25D" w14:textId="77777777" w:rsidR="001B6D57" w:rsidRDefault="001B6D57" w:rsidP="001B6D57">
      <w:pPr>
        <w:pStyle w:val="Akapitzlist"/>
        <w:numPr>
          <w:ilvl w:val="2"/>
          <w:numId w:val="2"/>
        </w:numPr>
        <w:tabs>
          <w:tab w:val="left" w:pos="668"/>
        </w:tabs>
        <w:rPr>
          <w:sz w:val="16"/>
        </w:rPr>
      </w:pPr>
      <w:r>
        <w:rPr>
          <w:sz w:val="16"/>
        </w:rPr>
        <w:t>stands</w:t>
      </w:r>
      <w:r>
        <w:rPr>
          <w:spacing w:val="-5"/>
          <w:sz w:val="16"/>
        </w:rPr>
        <w:t xml:space="preserve"> </w:t>
      </w:r>
      <w:r>
        <w:rPr>
          <w:sz w:val="16"/>
        </w:rPr>
        <w:t>to</w:t>
      </w:r>
      <w:r>
        <w:rPr>
          <w:spacing w:val="-5"/>
          <w:sz w:val="16"/>
        </w:rPr>
        <w:t xml:space="preserve"> </w:t>
      </w:r>
      <w:r>
        <w:rPr>
          <w:sz w:val="16"/>
        </w:rPr>
        <w:t>benefit</w:t>
      </w:r>
      <w:r>
        <w:rPr>
          <w:spacing w:val="-3"/>
          <w:sz w:val="16"/>
        </w:rPr>
        <w:t xml:space="preserve"> </w:t>
      </w:r>
      <w:r>
        <w:rPr>
          <w:sz w:val="16"/>
        </w:rPr>
        <w:t>directly</w:t>
      </w:r>
      <w:r>
        <w:rPr>
          <w:spacing w:val="-6"/>
          <w:sz w:val="16"/>
        </w:rPr>
        <w:t xml:space="preserve"> </w:t>
      </w:r>
      <w:r>
        <w:rPr>
          <w:sz w:val="16"/>
        </w:rPr>
        <w:t>should</w:t>
      </w:r>
      <w:r>
        <w:rPr>
          <w:spacing w:val="-3"/>
          <w:sz w:val="16"/>
        </w:rPr>
        <w:t xml:space="preserve"> </w:t>
      </w:r>
      <w:r>
        <w:rPr>
          <w:sz w:val="16"/>
        </w:rPr>
        <w:t>the</w:t>
      </w:r>
      <w:r>
        <w:rPr>
          <w:spacing w:val="-4"/>
          <w:sz w:val="16"/>
        </w:rPr>
        <w:t xml:space="preserve"> </w:t>
      </w:r>
      <w:r>
        <w:rPr>
          <w:sz w:val="16"/>
        </w:rPr>
        <w:t>certificate</w:t>
      </w:r>
      <w:r>
        <w:rPr>
          <w:spacing w:val="-5"/>
          <w:sz w:val="16"/>
        </w:rPr>
        <w:t xml:space="preserve"> </w:t>
      </w:r>
      <w:r>
        <w:rPr>
          <w:sz w:val="16"/>
        </w:rPr>
        <w:t>be</w:t>
      </w:r>
      <w:r>
        <w:rPr>
          <w:spacing w:val="-4"/>
          <w:sz w:val="16"/>
        </w:rPr>
        <w:t xml:space="preserve"> </w:t>
      </w:r>
      <w:r>
        <w:rPr>
          <w:spacing w:val="-2"/>
          <w:sz w:val="16"/>
        </w:rPr>
        <w:t>accepted;</w:t>
      </w:r>
    </w:p>
    <w:p w14:paraId="434AA2A6" w14:textId="77777777" w:rsidR="001B6D57" w:rsidRDefault="001B6D57" w:rsidP="001B6D57">
      <w:pPr>
        <w:pStyle w:val="Akapitzlist"/>
        <w:numPr>
          <w:ilvl w:val="2"/>
          <w:numId w:val="2"/>
        </w:numPr>
        <w:tabs>
          <w:tab w:val="left" w:pos="669"/>
        </w:tabs>
        <w:spacing w:before="1"/>
        <w:ind w:left="669" w:hanging="284"/>
        <w:rPr>
          <w:sz w:val="16"/>
        </w:rPr>
      </w:pPr>
      <w:r>
        <w:rPr>
          <w:sz w:val="16"/>
        </w:rPr>
        <w:t>has</w:t>
      </w:r>
      <w:r>
        <w:rPr>
          <w:spacing w:val="-6"/>
          <w:sz w:val="16"/>
        </w:rPr>
        <w:t xml:space="preserve"> </w:t>
      </w:r>
      <w:r>
        <w:rPr>
          <w:sz w:val="16"/>
        </w:rPr>
        <w:t>a</w:t>
      </w:r>
      <w:r>
        <w:rPr>
          <w:spacing w:val="-4"/>
          <w:sz w:val="16"/>
        </w:rPr>
        <w:t xml:space="preserve"> </w:t>
      </w:r>
      <w:r>
        <w:rPr>
          <w:sz w:val="16"/>
        </w:rPr>
        <w:t>close</w:t>
      </w:r>
      <w:r>
        <w:rPr>
          <w:spacing w:val="-4"/>
          <w:sz w:val="16"/>
        </w:rPr>
        <w:t xml:space="preserve"> </w:t>
      </w:r>
      <w:r>
        <w:rPr>
          <w:sz w:val="16"/>
        </w:rPr>
        <w:t>relationship</w:t>
      </w:r>
      <w:r>
        <w:rPr>
          <w:spacing w:val="-5"/>
          <w:sz w:val="16"/>
        </w:rPr>
        <w:t xml:space="preserve"> </w:t>
      </w:r>
      <w:r>
        <w:rPr>
          <w:sz w:val="16"/>
        </w:rPr>
        <w:t>with</w:t>
      </w:r>
      <w:r>
        <w:rPr>
          <w:spacing w:val="-5"/>
          <w:sz w:val="16"/>
        </w:rPr>
        <w:t xml:space="preserve"> </w:t>
      </w:r>
      <w:r>
        <w:rPr>
          <w:sz w:val="16"/>
        </w:rPr>
        <w:t>any</w:t>
      </w:r>
      <w:r>
        <w:rPr>
          <w:spacing w:val="-6"/>
          <w:sz w:val="16"/>
        </w:rPr>
        <w:t xml:space="preserve"> </w:t>
      </w:r>
      <w:r>
        <w:rPr>
          <w:sz w:val="16"/>
        </w:rPr>
        <w:t>person</w:t>
      </w:r>
      <w:r>
        <w:rPr>
          <w:spacing w:val="-4"/>
          <w:sz w:val="16"/>
        </w:rPr>
        <w:t xml:space="preserve"> </w:t>
      </w:r>
      <w:r>
        <w:rPr>
          <w:sz w:val="16"/>
        </w:rPr>
        <w:t>representing</w:t>
      </w:r>
      <w:r>
        <w:rPr>
          <w:spacing w:val="-4"/>
          <w:sz w:val="16"/>
        </w:rPr>
        <w:t xml:space="preserve"> </w:t>
      </w:r>
      <w:r>
        <w:rPr>
          <w:sz w:val="16"/>
        </w:rPr>
        <w:t>the</w:t>
      </w:r>
      <w:r>
        <w:rPr>
          <w:spacing w:val="-4"/>
          <w:sz w:val="16"/>
        </w:rPr>
        <w:t xml:space="preserve"> </w:t>
      </w:r>
      <w:r>
        <w:rPr>
          <w:spacing w:val="-2"/>
          <w:sz w:val="16"/>
        </w:rPr>
        <w:t>beneficiary;</w:t>
      </w:r>
    </w:p>
    <w:p w14:paraId="214EA47B" w14:textId="77777777" w:rsidR="001B6D57" w:rsidRDefault="001B6D57" w:rsidP="001B6D57">
      <w:pPr>
        <w:pStyle w:val="Akapitzlist"/>
        <w:numPr>
          <w:ilvl w:val="2"/>
          <w:numId w:val="2"/>
        </w:numPr>
        <w:tabs>
          <w:tab w:val="left" w:pos="668"/>
        </w:tabs>
        <w:spacing w:line="195" w:lineRule="exact"/>
        <w:rPr>
          <w:sz w:val="16"/>
        </w:rPr>
      </w:pPr>
      <w:r>
        <w:rPr>
          <w:sz w:val="16"/>
        </w:rPr>
        <w:t>is</w:t>
      </w:r>
      <w:r>
        <w:rPr>
          <w:spacing w:val="-4"/>
          <w:sz w:val="16"/>
        </w:rPr>
        <w:t xml:space="preserve"> </w:t>
      </w:r>
      <w:r>
        <w:rPr>
          <w:sz w:val="16"/>
        </w:rPr>
        <w:t>a</w:t>
      </w:r>
      <w:r>
        <w:rPr>
          <w:spacing w:val="-3"/>
          <w:sz w:val="16"/>
        </w:rPr>
        <w:t xml:space="preserve"> </w:t>
      </w:r>
      <w:r>
        <w:rPr>
          <w:sz w:val="16"/>
        </w:rPr>
        <w:t>director,</w:t>
      </w:r>
      <w:r>
        <w:rPr>
          <w:spacing w:val="-3"/>
          <w:sz w:val="16"/>
        </w:rPr>
        <w:t xml:space="preserve"> </w:t>
      </w:r>
      <w:r>
        <w:rPr>
          <w:sz w:val="16"/>
        </w:rPr>
        <w:t>trustee</w:t>
      </w:r>
      <w:r>
        <w:rPr>
          <w:spacing w:val="-3"/>
          <w:sz w:val="16"/>
        </w:rPr>
        <w:t xml:space="preserve"> </w:t>
      </w:r>
      <w:r>
        <w:rPr>
          <w:sz w:val="16"/>
        </w:rPr>
        <w:t>or</w:t>
      </w:r>
      <w:r>
        <w:rPr>
          <w:spacing w:val="-3"/>
          <w:sz w:val="16"/>
        </w:rPr>
        <w:t xml:space="preserve"> </w:t>
      </w:r>
      <w:r>
        <w:rPr>
          <w:sz w:val="16"/>
        </w:rPr>
        <w:t>partner</w:t>
      </w:r>
      <w:r>
        <w:rPr>
          <w:spacing w:val="-3"/>
          <w:sz w:val="16"/>
        </w:rPr>
        <w:t xml:space="preserve"> </w:t>
      </w:r>
      <w:r>
        <w:rPr>
          <w:sz w:val="16"/>
        </w:rPr>
        <w:t>of</w:t>
      </w:r>
      <w:r>
        <w:rPr>
          <w:spacing w:val="-3"/>
          <w:sz w:val="16"/>
        </w:rPr>
        <w:t xml:space="preserve"> </w:t>
      </w:r>
      <w:r>
        <w:rPr>
          <w:sz w:val="16"/>
        </w:rPr>
        <w:t>the</w:t>
      </w:r>
      <w:r>
        <w:rPr>
          <w:spacing w:val="-2"/>
          <w:sz w:val="16"/>
        </w:rPr>
        <w:t xml:space="preserve"> </w:t>
      </w:r>
      <w:r>
        <w:rPr>
          <w:sz w:val="16"/>
        </w:rPr>
        <w:t>beneficiary;</w:t>
      </w:r>
      <w:r>
        <w:rPr>
          <w:spacing w:val="-4"/>
          <w:sz w:val="16"/>
        </w:rPr>
        <w:t xml:space="preserve"> </w:t>
      </w:r>
      <w:r>
        <w:rPr>
          <w:spacing w:val="-5"/>
          <w:sz w:val="16"/>
        </w:rPr>
        <w:t>or</w:t>
      </w:r>
    </w:p>
    <w:p w14:paraId="6108C4EB" w14:textId="77777777" w:rsidR="001B6D57" w:rsidRDefault="001B6D57" w:rsidP="001B6D57">
      <w:pPr>
        <w:pStyle w:val="Akapitzlist"/>
        <w:numPr>
          <w:ilvl w:val="2"/>
          <w:numId w:val="2"/>
        </w:numPr>
        <w:tabs>
          <w:tab w:val="left" w:pos="668"/>
        </w:tabs>
        <w:spacing w:line="195" w:lineRule="exact"/>
        <w:rPr>
          <w:sz w:val="16"/>
        </w:rPr>
      </w:pPr>
      <w:r>
        <w:rPr>
          <w:sz w:val="16"/>
        </w:rPr>
        <w:t>is</w:t>
      </w:r>
      <w:r>
        <w:rPr>
          <w:spacing w:val="-4"/>
          <w:sz w:val="16"/>
        </w:rPr>
        <w:t xml:space="preserve"> </w:t>
      </w:r>
      <w:r>
        <w:rPr>
          <w:sz w:val="16"/>
        </w:rPr>
        <w:t>in</w:t>
      </w:r>
      <w:r>
        <w:rPr>
          <w:spacing w:val="-5"/>
          <w:sz w:val="16"/>
        </w:rPr>
        <w:t xml:space="preserve"> </w:t>
      </w:r>
      <w:r>
        <w:rPr>
          <w:sz w:val="16"/>
        </w:rPr>
        <w:t>any</w:t>
      </w:r>
      <w:r>
        <w:rPr>
          <w:spacing w:val="-4"/>
          <w:sz w:val="16"/>
        </w:rPr>
        <w:t xml:space="preserve"> </w:t>
      </w:r>
      <w:r>
        <w:rPr>
          <w:sz w:val="16"/>
        </w:rPr>
        <w:t>other</w:t>
      </w:r>
      <w:r>
        <w:rPr>
          <w:spacing w:val="-6"/>
          <w:sz w:val="16"/>
        </w:rPr>
        <w:t xml:space="preserve"> </w:t>
      </w:r>
      <w:r>
        <w:rPr>
          <w:sz w:val="16"/>
        </w:rPr>
        <w:t>situation</w:t>
      </w:r>
      <w:r>
        <w:rPr>
          <w:spacing w:val="-5"/>
          <w:sz w:val="16"/>
        </w:rPr>
        <w:t xml:space="preserve"> </w:t>
      </w:r>
      <w:r>
        <w:rPr>
          <w:sz w:val="16"/>
        </w:rPr>
        <w:t>that</w:t>
      </w:r>
      <w:r>
        <w:rPr>
          <w:spacing w:val="-4"/>
          <w:sz w:val="16"/>
        </w:rPr>
        <w:t xml:space="preserve"> </w:t>
      </w:r>
      <w:r>
        <w:rPr>
          <w:sz w:val="16"/>
        </w:rPr>
        <w:t>compromises</w:t>
      </w:r>
      <w:r>
        <w:rPr>
          <w:spacing w:val="-5"/>
          <w:sz w:val="16"/>
        </w:rPr>
        <w:t xml:space="preserve"> </w:t>
      </w:r>
      <w:r>
        <w:rPr>
          <w:sz w:val="16"/>
        </w:rPr>
        <w:t>his</w:t>
      </w:r>
      <w:r>
        <w:rPr>
          <w:spacing w:val="-4"/>
          <w:sz w:val="16"/>
        </w:rPr>
        <w:t xml:space="preserve"> </w:t>
      </w:r>
      <w:r>
        <w:rPr>
          <w:sz w:val="16"/>
        </w:rPr>
        <w:t>or</w:t>
      </w:r>
      <w:r>
        <w:rPr>
          <w:spacing w:val="-5"/>
          <w:sz w:val="16"/>
        </w:rPr>
        <w:t xml:space="preserve"> </w:t>
      </w:r>
      <w:r>
        <w:rPr>
          <w:sz w:val="16"/>
        </w:rPr>
        <w:t>her</w:t>
      </w:r>
      <w:r>
        <w:rPr>
          <w:spacing w:val="-4"/>
          <w:sz w:val="16"/>
        </w:rPr>
        <w:t xml:space="preserve"> </w:t>
      </w:r>
      <w:r>
        <w:rPr>
          <w:sz w:val="16"/>
        </w:rPr>
        <w:t>independence</w:t>
      </w:r>
      <w:r>
        <w:rPr>
          <w:spacing w:val="-4"/>
          <w:sz w:val="16"/>
        </w:rPr>
        <w:t xml:space="preserve"> </w:t>
      </w:r>
      <w:r>
        <w:rPr>
          <w:sz w:val="16"/>
        </w:rPr>
        <w:t>or</w:t>
      </w:r>
      <w:r>
        <w:rPr>
          <w:spacing w:val="-4"/>
          <w:sz w:val="16"/>
        </w:rPr>
        <w:t xml:space="preserve"> </w:t>
      </w:r>
      <w:r>
        <w:rPr>
          <w:sz w:val="16"/>
        </w:rPr>
        <w:t>ability</w:t>
      </w:r>
      <w:r>
        <w:rPr>
          <w:spacing w:val="-5"/>
          <w:sz w:val="16"/>
        </w:rPr>
        <w:t xml:space="preserve"> </w:t>
      </w:r>
      <w:r>
        <w:rPr>
          <w:sz w:val="16"/>
        </w:rPr>
        <w:t>to</w:t>
      </w:r>
      <w:r>
        <w:rPr>
          <w:spacing w:val="-4"/>
          <w:sz w:val="16"/>
        </w:rPr>
        <w:t xml:space="preserve"> </w:t>
      </w:r>
      <w:r>
        <w:rPr>
          <w:sz w:val="16"/>
        </w:rPr>
        <w:t>establish</w:t>
      </w:r>
      <w:r>
        <w:rPr>
          <w:spacing w:val="-5"/>
          <w:sz w:val="16"/>
        </w:rPr>
        <w:t xml:space="preserve"> </w:t>
      </w:r>
      <w:r>
        <w:rPr>
          <w:sz w:val="16"/>
        </w:rPr>
        <w:t>the</w:t>
      </w:r>
      <w:r>
        <w:rPr>
          <w:spacing w:val="-4"/>
          <w:sz w:val="16"/>
        </w:rPr>
        <w:t xml:space="preserve"> </w:t>
      </w:r>
      <w:r>
        <w:rPr>
          <w:sz w:val="16"/>
        </w:rPr>
        <w:t>certificate</w:t>
      </w:r>
      <w:r>
        <w:rPr>
          <w:spacing w:val="-4"/>
          <w:sz w:val="16"/>
        </w:rPr>
        <w:t xml:space="preserve"> </w:t>
      </w:r>
      <w:r>
        <w:rPr>
          <w:spacing w:val="-2"/>
          <w:sz w:val="16"/>
        </w:rPr>
        <w:t>impartially.</w:t>
      </w:r>
    </w:p>
    <w:p w14:paraId="28775B17" w14:textId="77777777" w:rsidR="001B6D57" w:rsidRDefault="001B6D57" w:rsidP="001B6D57">
      <w:pPr>
        <w:spacing w:line="195" w:lineRule="exact"/>
        <w:rPr>
          <w:sz w:val="16"/>
        </w:rPr>
        <w:sectPr w:rsidR="001B6D57" w:rsidSect="004A0124">
          <w:pgSz w:w="12240" w:h="15840"/>
          <w:pgMar w:top="1780" w:right="1720" w:bottom="1020" w:left="1600" w:header="715" w:footer="830" w:gutter="0"/>
          <w:cols w:space="720"/>
        </w:sectPr>
      </w:pPr>
    </w:p>
    <w:p w14:paraId="05EE5488" w14:textId="77777777" w:rsidR="001B6D57" w:rsidRDefault="001B6D57" w:rsidP="001B6D57">
      <w:pPr>
        <w:pStyle w:val="Akapitzlist"/>
        <w:numPr>
          <w:ilvl w:val="1"/>
          <w:numId w:val="2"/>
        </w:numPr>
        <w:tabs>
          <w:tab w:val="left" w:pos="394"/>
        </w:tabs>
        <w:spacing w:before="50"/>
        <w:ind w:left="394" w:hanging="293"/>
        <w:rPr>
          <w:sz w:val="20"/>
        </w:rPr>
      </w:pPr>
      <w:r>
        <w:rPr>
          <w:color w:val="323232"/>
          <w:sz w:val="20"/>
        </w:rPr>
        <w:t>–</w:t>
      </w:r>
      <w:r>
        <w:rPr>
          <w:color w:val="323232"/>
          <w:spacing w:val="-6"/>
          <w:sz w:val="20"/>
        </w:rPr>
        <w:t xml:space="preserve"> </w:t>
      </w:r>
      <w:r>
        <w:rPr>
          <w:color w:val="323232"/>
          <w:sz w:val="20"/>
          <w:highlight w:val="lightGray"/>
        </w:rPr>
        <w:t>[insert</w:t>
      </w:r>
      <w:r>
        <w:rPr>
          <w:color w:val="323232"/>
          <w:spacing w:val="-2"/>
          <w:sz w:val="20"/>
          <w:highlight w:val="lightGray"/>
        </w:rPr>
        <w:t xml:space="preserve"> </w:t>
      </w:r>
      <w:r>
        <w:rPr>
          <w:color w:val="323232"/>
          <w:sz w:val="20"/>
          <w:highlight w:val="lightGray"/>
        </w:rPr>
        <w:t>cost</w:t>
      </w:r>
      <w:r>
        <w:rPr>
          <w:color w:val="323232"/>
          <w:spacing w:val="-2"/>
          <w:sz w:val="20"/>
          <w:highlight w:val="lightGray"/>
        </w:rPr>
        <w:t xml:space="preserve"> </w:t>
      </w:r>
      <w:r>
        <w:rPr>
          <w:color w:val="323232"/>
          <w:sz w:val="20"/>
          <w:highlight w:val="lightGray"/>
        </w:rPr>
        <w:t>category]</w:t>
      </w:r>
      <w:r>
        <w:rPr>
          <w:color w:val="323232"/>
          <w:spacing w:val="-2"/>
          <w:sz w:val="20"/>
        </w:rPr>
        <w:t xml:space="preserve"> </w:t>
      </w:r>
      <w:r>
        <w:rPr>
          <w:color w:val="323232"/>
          <w:sz w:val="20"/>
        </w:rPr>
        <w:t>-</w:t>
      </w:r>
      <w:r>
        <w:rPr>
          <w:color w:val="323232"/>
          <w:spacing w:val="-3"/>
          <w:sz w:val="20"/>
        </w:rPr>
        <w:t xml:space="preserve"> </w:t>
      </w:r>
      <w:r>
        <w:rPr>
          <w:color w:val="323232"/>
          <w:sz w:val="20"/>
        </w:rPr>
        <w:t>Finding</w:t>
      </w:r>
      <w:r>
        <w:rPr>
          <w:color w:val="323232"/>
          <w:spacing w:val="-3"/>
          <w:sz w:val="20"/>
        </w:rPr>
        <w:t xml:space="preserve"> </w:t>
      </w:r>
      <w:r>
        <w:rPr>
          <w:color w:val="323232"/>
          <w:sz w:val="20"/>
          <w:highlight w:val="lightGray"/>
        </w:rPr>
        <w:t>[insert</w:t>
      </w:r>
      <w:r>
        <w:rPr>
          <w:color w:val="323232"/>
          <w:spacing w:val="-2"/>
          <w:sz w:val="20"/>
          <w:highlight w:val="lightGray"/>
        </w:rPr>
        <w:t xml:space="preserve"> </w:t>
      </w:r>
      <w:r>
        <w:rPr>
          <w:color w:val="323232"/>
          <w:sz w:val="20"/>
          <w:highlight w:val="lightGray"/>
        </w:rPr>
        <w:t>procedure</w:t>
      </w:r>
      <w:r>
        <w:rPr>
          <w:color w:val="323232"/>
          <w:spacing w:val="-2"/>
          <w:sz w:val="20"/>
          <w:highlight w:val="lightGray"/>
        </w:rPr>
        <w:t xml:space="preserve"> </w:t>
      </w:r>
      <w:r>
        <w:rPr>
          <w:color w:val="323232"/>
          <w:sz w:val="20"/>
          <w:highlight w:val="lightGray"/>
        </w:rPr>
        <w:t>number(s)]</w:t>
      </w:r>
      <w:r>
        <w:rPr>
          <w:color w:val="323232"/>
          <w:sz w:val="20"/>
        </w:rPr>
        <w:t>:</w:t>
      </w:r>
      <w:r>
        <w:rPr>
          <w:color w:val="323232"/>
          <w:spacing w:val="-4"/>
          <w:sz w:val="20"/>
        </w:rPr>
        <w:t xml:space="preserve"> </w:t>
      </w:r>
      <w:r>
        <w:rPr>
          <w:color w:val="323232"/>
          <w:sz w:val="20"/>
          <w:highlight w:val="lightGray"/>
        </w:rPr>
        <w:t>[explain</w:t>
      </w:r>
      <w:r>
        <w:rPr>
          <w:color w:val="323232"/>
          <w:spacing w:val="-2"/>
          <w:sz w:val="20"/>
          <w:highlight w:val="lightGray"/>
        </w:rPr>
        <w:t xml:space="preserve"> </w:t>
      </w:r>
      <w:r>
        <w:rPr>
          <w:color w:val="323232"/>
          <w:sz w:val="20"/>
          <w:highlight w:val="lightGray"/>
        </w:rPr>
        <w:t>finding</w:t>
      </w:r>
      <w:r>
        <w:rPr>
          <w:color w:val="323232"/>
          <w:spacing w:val="-2"/>
          <w:sz w:val="20"/>
          <w:highlight w:val="lightGray"/>
        </w:rPr>
        <w:t xml:space="preserve"> </w:t>
      </w:r>
      <w:r>
        <w:rPr>
          <w:color w:val="323232"/>
          <w:sz w:val="20"/>
          <w:highlight w:val="lightGray"/>
        </w:rPr>
        <w:t>concisely</w:t>
      </w:r>
      <w:r>
        <w:rPr>
          <w:color w:val="323232"/>
          <w:spacing w:val="-3"/>
          <w:sz w:val="20"/>
          <w:highlight w:val="lightGray"/>
        </w:rPr>
        <w:t xml:space="preserve"> </w:t>
      </w:r>
      <w:r>
        <w:rPr>
          <w:color w:val="323232"/>
          <w:sz w:val="20"/>
          <w:highlight w:val="lightGray"/>
        </w:rPr>
        <w:t>and</w:t>
      </w:r>
      <w:r>
        <w:rPr>
          <w:color w:val="323232"/>
          <w:spacing w:val="-2"/>
          <w:sz w:val="20"/>
          <w:highlight w:val="lightGray"/>
        </w:rPr>
        <w:t xml:space="preserve"> factually]</w:t>
      </w:r>
    </w:p>
    <w:p w14:paraId="232D8A59" w14:textId="77777777" w:rsidR="001B6D57" w:rsidRDefault="001B6D57" w:rsidP="001B6D57">
      <w:pPr>
        <w:pStyle w:val="Tekstpodstawowy"/>
        <w:spacing w:before="55"/>
      </w:pPr>
    </w:p>
    <w:p w14:paraId="252140DD" w14:textId="77777777" w:rsidR="001B6D57" w:rsidRDefault="001B6D57" w:rsidP="001B6D57">
      <w:pPr>
        <w:ind w:left="101"/>
        <w:rPr>
          <w:i/>
          <w:sz w:val="20"/>
        </w:rPr>
      </w:pPr>
      <w:r>
        <w:rPr>
          <w:i/>
          <w:color w:val="323232"/>
          <w:sz w:val="20"/>
        </w:rPr>
        <w:t>Restrictions</w:t>
      </w:r>
      <w:r>
        <w:rPr>
          <w:i/>
          <w:color w:val="323232"/>
          <w:spacing w:val="-2"/>
          <w:sz w:val="20"/>
        </w:rPr>
        <w:t xml:space="preserve"> </w:t>
      </w:r>
      <w:r>
        <w:rPr>
          <w:i/>
          <w:color w:val="323232"/>
          <w:sz w:val="20"/>
        </w:rPr>
        <w:t>on</w:t>
      </w:r>
      <w:r>
        <w:rPr>
          <w:i/>
          <w:color w:val="323232"/>
          <w:spacing w:val="-2"/>
          <w:sz w:val="20"/>
        </w:rPr>
        <w:t xml:space="preserve"> </w:t>
      </w:r>
      <w:r>
        <w:rPr>
          <w:i/>
          <w:color w:val="323232"/>
          <w:sz w:val="20"/>
        </w:rPr>
        <w:t>the</w:t>
      </w:r>
      <w:r>
        <w:rPr>
          <w:i/>
          <w:color w:val="323232"/>
          <w:spacing w:val="-1"/>
          <w:sz w:val="20"/>
        </w:rPr>
        <w:t xml:space="preserve"> </w:t>
      </w:r>
      <w:r>
        <w:rPr>
          <w:i/>
          <w:color w:val="323232"/>
          <w:sz w:val="20"/>
        </w:rPr>
        <w:t>performance</w:t>
      </w:r>
      <w:r>
        <w:rPr>
          <w:i/>
          <w:color w:val="323232"/>
          <w:spacing w:val="-1"/>
          <w:sz w:val="20"/>
        </w:rPr>
        <w:t xml:space="preserve"> </w:t>
      </w:r>
      <w:r>
        <w:rPr>
          <w:i/>
          <w:color w:val="323232"/>
          <w:sz w:val="20"/>
        </w:rPr>
        <w:t>of</w:t>
      </w:r>
      <w:r>
        <w:rPr>
          <w:i/>
          <w:color w:val="323232"/>
          <w:spacing w:val="-2"/>
          <w:sz w:val="20"/>
        </w:rPr>
        <w:t xml:space="preserve"> </w:t>
      </w:r>
      <w:r>
        <w:rPr>
          <w:i/>
          <w:color w:val="323232"/>
          <w:sz w:val="20"/>
        </w:rPr>
        <w:t>the</w:t>
      </w:r>
      <w:r>
        <w:rPr>
          <w:i/>
          <w:color w:val="323232"/>
          <w:spacing w:val="-1"/>
          <w:sz w:val="20"/>
        </w:rPr>
        <w:t xml:space="preserve"> </w:t>
      </w:r>
      <w:r>
        <w:rPr>
          <w:i/>
          <w:color w:val="323232"/>
          <w:spacing w:val="-2"/>
          <w:sz w:val="20"/>
        </w:rPr>
        <w:t>procedures</w:t>
      </w:r>
    </w:p>
    <w:p w14:paraId="07C23189" w14:textId="77777777" w:rsidR="001B6D57" w:rsidRDefault="001B6D57" w:rsidP="001B6D57">
      <w:pPr>
        <w:pStyle w:val="Tekstpodstawowy"/>
        <w:spacing w:before="61"/>
        <w:ind w:left="101"/>
      </w:pPr>
      <w:r>
        <w:rPr>
          <w:color w:val="323232"/>
        </w:rPr>
        <w:t>We</w:t>
      </w:r>
      <w:r>
        <w:rPr>
          <w:color w:val="323232"/>
          <w:spacing w:val="-5"/>
        </w:rPr>
        <w:t xml:space="preserve"> </w:t>
      </w:r>
      <w:r>
        <w:rPr>
          <w:color w:val="323232"/>
        </w:rPr>
        <w:t>considered</w:t>
      </w:r>
      <w:r>
        <w:rPr>
          <w:color w:val="323232"/>
          <w:spacing w:val="-3"/>
        </w:rPr>
        <w:t xml:space="preserve"> </w:t>
      </w:r>
      <w:r>
        <w:rPr>
          <w:color w:val="323232"/>
        </w:rPr>
        <w:t>the</w:t>
      </w:r>
      <w:r>
        <w:rPr>
          <w:color w:val="323232"/>
          <w:spacing w:val="-3"/>
        </w:rPr>
        <w:t xml:space="preserve"> </w:t>
      </w:r>
      <w:r>
        <w:rPr>
          <w:color w:val="323232"/>
        </w:rPr>
        <w:t>following</w:t>
      </w:r>
      <w:r>
        <w:rPr>
          <w:color w:val="323232"/>
          <w:spacing w:val="-3"/>
        </w:rPr>
        <w:t xml:space="preserve"> </w:t>
      </w:r>
      <w:r>
        <w:rPr>
          <w:color w:val="323232"/>
        </w:rPr>
        <w:t>Procedures</w:t>
      </w:r>
      <w:r>
        <w:rPr>
          <w:color w:val="323232"/>
          <w:spacing w:val="-4"/>
        </w:rPr>
        <w:t xml:space="preserve"> </w:t>
      </w:r>
      <w:r>
        <w:rPr>
          <w:color w:val="323232"/>
        </w:rPr>
        <w:t>as</w:t>
      </w:r>
      <w:r>
        <w:rPr>
          <w:color w:val="323232"/>
          <w:spacing w:val="-3"/>
        </w:rPr>
        <w:t xml:space="preserve"> </w:t>
      </w:r>
      <w:r>
        <w:rPr>
          <w:color w:val="323232"/>
        </w:rPr>
        <w:t>not</w:t>
      </w:r>
      <w:r>
        <w:rPr>
          <w:color w:val="323232"/>
          <w:spacing w:val="-3"/>
        </w:rPr>
        <w:t xml:space="preserve"> </w:t>
      </w:r>
      <w:r>
        <w:rPr>
          <w:color w:val="323232"/>
        </w:rPr>
        <w:t>applicable:</w:t>
      </w:r>
      <w:r>
        <w:rPr>
          <w:color w:val="323232"/>
          <w:spacing w:val="-4"/>
        </w:rPr>
        <w:t xml:space="preserve"> </w:t>
      </w:r>
      <w:r>
        <w:rPr>
          <w:color w:val="323232"/>
          <w:highlight w:val="lightGray"/>
        </w:rPr>
        <w:t>[insert</w:t>
      </w:r>
      <w:r>
        <w:rPr>
          <w:color w:val="323232"/>
          <w:spacing w:val="-3"/>
          <w:highlight w:val="lightGray"/>
        </w:rPr>
        <w:t xml:space="preserve"> </w:t>
      </w:r>
      <w:r>
        <w:rPr>
          <w:color w:val="323232"/>
          <w:highlight w:val="lightGray"/>
        </w:rPr>
        <w:t>procedure</w:t>
      </w:r>
      <w:r>
        <w:rPr>
          <w:color w:val="323232"/>
          <w:spacing w:val="-2"/>
          <w:highlight w:val="lightGray"/>
        </w:rPr>
        <w:t xml:space="preserve"> numbers]</w:t>
      </w:r>
      <w:r>
        <w:rPr>
          <w:color w:val="323232"/>
          <w:spacing w:val="-2"/>
        </w:rPr>
        <w:t>.</w:t>
      </w:r>
    </w:p>
    <w:p w14:paraId="3FF300AE" w14:textId="77777777" w:rsidR="001B6D57" w:rsidRDefault="001B6D57" w:rsidP="001B6D57">
      <w:pPr>
        <w:pStyle w:val="Tekstpodstawowy"/>
        <w:spacing w:before="39"/>
      </w:pPr>
    </w:p>
    <w:p w14:paraId="686DD79E" w14:textId="77777777" w:rsidR="001B6D57" w:rsidRDefault="001B6D57" w:rsidP="001B6D57">
      <w:pPr>
        <w:pStyle w:val="Tekstpodstawowy"/>
        <w:spacing w:line="264" w:lineRule="auto"/>
        <w:ind w:left="101"/>
      </w:pPr>
      <w:r>
        <w:rPr>
          <w:color w:val="323232"/>
        </w:rPr>
        <w:t>The reason</w:t>
      </w:r>
      <w:r>
        <w:rPr>
          <w:color w:val="323232"/>
          <w:spacing w:val="22"/>
        </w:rPr>
        <w:t xml:space="preserve"> </w:t>
      </w:r>
      <w:r>
        <w:rPr>
          <w:color w:val="323232"/>
        </w:rPr>
        <w:t>for the non-applicability of</w:t>
      </w:r>
      <w:r>
        <w:rPr>
          <w:color w:val="323232"/>
          <w:spacing w:val="22"/>
        </w:rPr>
        <w:t xml:space="preserve"> </w:t>
      </w:r>
      <w:r>
        <w:rPr>
          <w:color w:val="323232"/>
        </w:rPr>
        <w:t>the above-mentioned Procedures</w:t>
      </w:r>
      <w:r>
        <w:rPr>
          <w:color w:val="323232"/>
          <w:spacing w:val="22"/>
        </w:rPr>
        <w:t xml:space="preserve"> </w:t>
      </w:r>
      <w:r>
        <w:rPr>
          <w:color w:val="323232"/>
        </w:rPr>
        <w:t>is</w:t>
      </w:r>
      <w:r>
        <w:rPr>
          <w:color w:val="323232"/>
          <w:spacing w:val="22"/>
        </w:rPr>
        <w:t xml:space="preserve"> </w:t>
      </w:r>
      <w:r>
        <w:rPr>
          <w:color w:val="323232"/>
        </w:rPr>
        <w:t>the</w:t>
      </w:r>
      <w:r>
        <w:rPr>
          <w:color w:val="323232"/>
          <w:spacing w:val="22"/>
        </w:rPr>
        <w:t xml:space="preserve"> </w:t>
      </w:r>
      <w:r>
        <w:rPr>
          <w:color w:val="323232"/>
        </w:rPr>
        <w:t>absence</w:t>
      </w:r>
      <w:r>
        <w:rPr>
          <w:color w:val="323232"/>
          <w:spacing w:val="22"/>
        </w:rPr>
        <w:t xml:space="preserve"> </w:t>
      </w:r>
      <w:r>
        <w:rPr>
          <w:color w:val="323232"/>
        </w:rPr>
        <w:t>of</w:t>
      </w:r>
      <w:r>
        <w:rPr>
          <w:color w:val="323232"/>
          <w:spacing w:val="22"/>
        </w:rPr>
        <w:t xml:space="preserve"> </w:t>
      </w:r>
      <w:r>
        <w:rPr>
          <w:color w:val="323232"/>
        </w:rPr>
        <w:t>these costs and/or the non-application of the respective methodologies.</w:t>
      </w:r>
    </w:p>
    <w:p w14:paraId="58F5C261" w14:textId="77777777" w:rsidR="001B6D57" w:rsidRDefault="001B6D57" w:rsidP="001B6D57">
      <w:pPr>
        <w:pStyle w:val="Tekstpodstawowy"/>
        <w:spacing w:before="32"/>
      </w:pPr>
    </w:p>
    <w:p w14:paraId="672EF859" w14:textId="77777777" w:rsidR="001B6D57" w:rsidRDefault="001B6D57" w:rsidP="001B6D57">
      <w:pPr>
        <w:spacing w:before="1"/>
        <w:ind w:left="101"/>
        <w:rPr>
          <w:i/>
          <w:sz w:val="20"/>
        </w:rPr>
      </w:pPr>
      <w:r>
        <w:rPr>
          <w:i/>
          <w:color w:val="323232"/>
          <w:sz w:val="20"/>
        </w:rPr>
        <w:t>Explanatory</w:t>
      </w:r>
      <w:r>
        <w:rPr>
          <w:i/>
          <w:color w:val="323232"/>
          <w:spacing w:val="-6"/>
          <w:sz w:val="20"/>
        </w:rPr>
        <w:t xml:space="preserve"> </w:t>
      </w:r>
      <w:r>
        <w:rPr>
          <w:i/>
          <w:color w:val="323232"/>
          <w:spacing w:val="-2"/>
          <w:sz w:val="20"/>
        </w:rPr>
        <w:t>paragraph</w:t>
      </w:r>
    </w:p>
    <w:p w14:paraId="0FFA6ADE" w14:textId="77777777" w:rsidR="001B6D57" w:rsidRDefault="001B6D57" w:rsidP="001B6D57">
      <w:pPr>
        <w:pStyle w:val="Tekstpodstawowy"/>
        <w:spacing w:before="59" w:line="264" w:lineRule="auto"/>
        <w:ind w:left="101"/>
      </w:pPr>
      <w:r>
        <w:rPr>
          <w:color w:val="323232"/>
        </w:rPr>
        <w:t>In</w:t>
      </w:r>
      <w:r>
        <w:rPr>
          <w:color w:val="323232"/>
          <w:spacing w:val="-10"/>
        </w:rPr>
        <w:t xml:space="preserve"> </w:t>
      </w:r>
      <w:r>
        <w:rPr>
          <w:color w:val="323232"/>
        </w:rPr>
        <w:t>addition</w:t>
      </w:r>
      <w:r>
        <w:rPr>
          <w:color w:val="323232"/>
          <w:spacing w:val="-9"/>
        </w:rPr>
        <w:t xml:space="preserve"> </w:t>
      </w:r>
      <w:r>
        <w:rPr>
          <w:color w:val="323232"/>
        </w:rPr>
        <w:t>to</w:t>
      </w:r>
      <w:r>
        <w:rPr>
          <w:color w:val="323232"/>
          <w:spacing w:val="-10"/>
        </w:rPr>
        <w:t xml:space="preserve"> </w:t>
      </w:r>
      <w:r>
        <w:rPr>
          <w:color w:val="323232"/>
        </w:rPr>
        <w:t>reporting</w:t>
      </w:r>
      <w:r>
        <w:rPr>
          <w:color w:val="323232"/>
          <w:spacing w:val="-9"/>
        </w:rPr>
        <w:t xml:space="preserve"> </w:t>
      </w:r>
      <w:r>
        <w:rPr>
          <w:color w:val="323232"/>
        </w:rPr>
        <w:t>on</w:t>
      </w:r>
      <w:r>
        <w:rPr>
          <w:color w:val="323232"/>
          <w:spacing w:val="-10"/>
        </w:rPr>
        <w:t xml:space="preserve"> </w:t>
      </w:r>
      <w:r>
        <w:rPr>
          <w:color w:val="323232"/>
        </w:rPr>
        <w:t>the</w:t>
      </w:r>
      <w:r>
        <w:rPr>
          <w:color w:val="323232"/>
          <w:spacing w:val="-9"/>
        </w:rPr>
        <w:t xml:space="preserve"> </w:t>
      </w:r>
      <w:r>
        <w:rPr>
          <w:color w:val="323232"/>
        </w:rPr>
        <w:t>results</w:t>
      </w:r>
      <w:r>
        <w:rPr>
          <w:color w:val="323232"/>
          <w:spacing w:val="-9"/>
        </w:rPr>
        <w:t xml:space="preserve"> </w:t>
      </w:r>
      <w:r>
        <w:rPr>
          <w:color w:val="323232"/>
        </w:rPr>
        <w:t>of</w:t>
      </w:r>
      <w:r>
        <w:rPr>
          <w:color w:val="323232"/>
          <w:spacing w:val="-9"/>
        </w:rPr>
        <w:t xml:space="preserve"> </w:t>
      </w:r>
      <w:r>
        <w:rPr>
          <w:color w:val="323232"/>
        </w:rPr>
        <w:t>the</w:t>
      </w:r>
      <w:r>
        <w:rPr>
          <w:color w:val="323232"/>
          <w:spacing w:val="-10"/>
        </w:rPr>
        <w:t xml:space="preserve"> </w:t>
      </w:r>
      <w:r>
        <w:rPr>
          <w:color w:val="323232"/>
        </w:rPr>
        <w:t>procedures</w:t>
      </w:r>
      <w:r>
        <w:rPr>
          <w:color w:val="323232"/>
          <w:spacing w:val="-10"/>
        </w:rPr>
        <w:t xml:space="preserve"> </w:t>
      </w:r>
      <w:r>
        <w:rPr>
          <w:color w:val="323232"/>
        </w:rPr>
        <w:t>carried</w:t>
      </w:r>
      <w:r>
        <w:rPr>
          <w:color w:val="323232"/>
          <w:spacing w:val="-9"/>
        </w:rPr>
        <w:t xml:space="preserve"> </w:t>
      </w:r>
      <w:r>
        <w:rPr>
          <w:color w:val="323232"/>
        </w:rPr>
        <w:t>out,</w:t>
      </w:r>
      <w:r>
        <w:rPr>
          <w:color w:val="323232"/>
          <w:spacing w:val="-10"/>
        </w:rPr>
        <w:t xml:space="preserve"> </w:t>
      </w:r>
      <w:r>
        <w:rPr>
          <w:color w:val="323232"/>
        </w:rPr>
        <w:t>the</w:t>
      </w:r>
      <w:r>
        <w:rPr>
          <w:color w:val="323232"/>
          <w:spacing w:val="-9"/>
        </w:rPr>
        <w:t xml:space="preserve"> </w:t>
      </w:r>
      <w:r>
        <w:rPr>
          <w:color w:val="323232"/>
        </w:rPr>
        <w:t>Practitioner</w:t>
      </w:r>
      <w:r>
        <w:rPr>
          <w:color w:val="323232"/>
          <w:spacing w:val="-10"/>
        </w:rPr>
        <w:t xml:space="preserve"> </w:t>
      </w:r>
      <w:r>
        <w:rPr>
          <w:color w:val="323232"/>
        </w:rPr>
        <w:t>has</w:t>
      </w:r>
      <w:r>
        <w:rPr>
          <w:color w:val="323232"/>
          <w:spacing w:val="-10"/>
        </w:rPr>
        <w:t xml:space="preserve"> </w:t>
      </w:r>
      <w:r>
        <w:rPr>
          <w:color w:val="323232"/>
        </w:rPr>
        <w:t>no</w:t>
      </w:r>
      <w:r>
        <w:rPr>
          <w:color w:val="323232"/>
          <w:spacing w:val="-9"/>
        </w:rPr>
        <w:t xml:space="preserve"> </w:t>
      </w:r>
      <w:r>
        <w:rPr>
          <w:color w:val="323232"/>
        </w:rPr>
        <w:t>further</w:t>
      </w:r>
      <w:r>
        <w:rPr>
          <w:color w:val="323232"/>
          <w:spacing w:val="-9"/>
        </w:rPr>
        <w:t xml:space="preserve"> </w:t>
      </w:r>
      <w:r>
        <w:rPr>
          <w:color w:val="323232"/>
        </w:rPr>
        <w:t>general remarks to report.</w:t>
      </w:r>
    </w:p>
    <w:p w14:paraId="14E275C8" w14:textId="77777777" w:rsidR="001B6D57" w:rsidRDefault="001B6D57" w:rsidP="001B6D57">
      <w:pPr>
        <w:pStyle w:val="Tekstpodstawowy"/>
        <w:spacing w:before="17"/>
      </w:pPr>
    </w:p>
    <w:p w14:paraId="4ECD36CC" w14:textId="77777777" w:rsidR="001B6D57" w:rsidRDefault="001B6D57" w:rsidP="001B6D57">
      <w:pPr>
        <w:pStyle w:val="Tekstpodstawowy"/>
        <w:ind w:left="101"/>
      </w:pPr>
      <w:r>
        <w:rPr>
          <w:color w:val="323232"/>
          <w:spacing w:val="-4"/>
          <w:highlight w:val="lightGray"/>
        </w:rPr>
        <w:t>[or]</w:t>
      </w:r>
    </w:p>
    <w:p w14:paraId="31BC1257" w14:textId="77777777" w:rsidR="001B6D57" w:rsidRDefault="001B6D57" w:rsidP="001B6D57">
      <w:pPr>
        <w:pStyle w:val="Tekstpodstawowy"/>
        <w:spacing w:before="39"/>
      </w:pPr>
    </w:p>
    <w:p w14:paraId="17187278" w14:textId="77777777" w:rsidR="001B6D57" w:rsidRDefault="001B6D57" w:rsidP="001B6D57">
      <w:pPr>
        <w:pStyle w:val="Tekstpodstawowy"/>
        <w:spacing w:before="1" w:line="264" w:lineRule="auto"/>
        <w:ind w:left="101"/>
      </w:pPr>
      <w:r>
        <w:rPr>
          <w:color w:val="323232"/>
        </w:rPr>
        <w:t>In</w:t>
      </w:r>
      <w:r>
        <w:rPr>
          <w:color w:val="323232"/>
          <w:spacing w:val="-3"/>
        </w:rPr>
        <w:t xml:space="preserve"> </w:t>
      </w:r>
      <w:r>
        <w:rPr>
          <w:color w:val="323232"/>
        </w:rPr>
        <w:t>addition</w:t>
      </w:r>
      <w:r>
        <w:rPr>
          <w:color w:val="323232"/>
          <w:spacing w:val="-3"/>
        </w:rPr>
        <w:t xml:space="preserve"> </w:t>
      </w:r>
      <w:r>
        <w:rPr>
          <w:color w:val="323232"/>
        </w:rPr>
        <w:t>to</w:t>
      </w:r>
      <w:r>
        <w:rPr>
          <w:color w:val="323232"/>
          <w:spacing w:val="-3"/>
        </w:rPr>
        <w:t xml:space="preserve"> </w:t>
      </w:r>
      <w:r>
        <w:rPr>
          <w:color w:val="323232"/>
        </w:rPr>
        <w:t>reporting</w:t>
      </w:r>
      <w:r>
        <w:rPr>
          <w:color w:val="323232"/>
          <w:spacing w:val="-2"/>
        </w:rPr>
        <w:t xml:space="preserve"> </w:t>
      </w:r>
      <w:r>
        <w:rPr>
          <w:color w:val="323232"/>
        </w:rPr>
        <w:t>on</w:t>
      </w:r>
      <w:r>
        <w:rPr>
          <w:color w:val="323232"/>
          <w:spacing w:val="-3"/>
        </w:rPr>
        <w:t xml:space="preserve"> </w:t>
      </w:r>
      <w:r>
        <w:rPr>
          <w:color w:val="323232"/>
        </w:rPr>
        <w:t>the</w:t>
      </w:r>
      <w:r>
        <w:rPr>
          <w:color w:val="323232"/>
          <w:spacing w:val="-3"/>
        </w:rPr>
        <w:t xml:space="preserve"> </w:t>
      </w:r>
      <w:r>
        <w:rPr>
          <w:color w:val="323232"/>
        </w:rPr>
        <w:t>results</w:t>
      </w:r>
      <w:r>
        <w:rPr>
          <w:color w:val="323232"/>
          <w:spacing w:val="-3"/>
        </w:rPr>
        <w:t xml:space="preserve"> </w:t>
      </w:r>
      <w:r>
        <w:rPr>
          <w:color w:val="323232"/>
        </w:rPr>
        <w:t>of</w:t>
      </w:r>
      <w:r>
        <w:rPr>
          <w:color w:val="323232"/>
          <w:spacing w:val="-3"/>
        </w:rPr>
        <w:t xml:space="preserve"> </w:t>
      </w:r>
      <w:r>
        <w:rPr>
          <w:color w:val="323232"/>
        </w:rPr>
        <w:t>the</w:t>
      </w:r>
      <w:r>
        <w:rPr>
          <w:color w:val="323232"/>
          <w:spacing w:val="-3"/>
        </w:rPr>
        <w:t xml:space="preserve"> </w:t>
      </w:r>
      <w:r>
        <w:rPr>
          <w:color w:val="323232"/>
        </w:rPr>
        <w:t>specific</w:t>
      </w:r>
      <w:r>
        <w:rPr>
          <w:color w:val="323232"/>
          <w:spacing w:val="-4"/>
        </w:rPr>
        <w:t xml:space="preserve"> </w:t>
      </w:r>
      <w:r>
        <w:rPr>
          <w:color w:val="323232"/>
        </w:rPr>
        <w:t>procedures</w:t>
      </w:r>
      <w:r>
        <w:rPr>
          <w:color w:val="323232"/>
          <w:spacing w:val="-2"/>
        </w:rPr>
        <w:t xml:space="preserve"> </w:t>
      </w:r>
      <w:r>
        <w:rPr>
          <w:color w:val="323232"/>
        </w:rPr>
        <w:t>carried</w:t>
      </w:r>
      <w:r>
        <w:rPr>
          <w:color w:val="323232"/>
          <w:spacing w:val="-2"/>
        </w:rPr>
        <w:t xml:space="preserve"> </w:t>
      </w:r>
      <w:r>
        <w:rPr>
          <w:color w:val="323232"/>
        </w:rPr>
        <w:t>out,</w:t>
      </w:r>
      <w:r>
        <w:rPr>
          <w:color w:val="323232"/>
          <w:spacing w:val="-3"/>
        </w:rPr>
        <w:t xml:space="preserve"> </w:t>
      </w:r>
      <w:r>
        <w:rPr>
          <w:color w:val="323232"/>
        </w:rPr>
        <w:t>the</w:t>
      </w:r>
      <w:r>
        <w:rPr>
          <w:color w:val="323232"/>
          <w:spacing w:val="-3"/>
        </w:rPr>
        <w:t xml:space="preserve"> </w:t>
      </w:r>
      <w:r>
        <w:rPr>
          <w:color w:val="323232"/>
        </w:rPr>
        <w:t>Practitioner</w:t>
      </w:r>
      <w:r>
        <w:rPr>
          <w:color w:val="323232"/>
          <w:spacing w:val="-3"/>
        </w:rPr>
        <w:t xml:space="preserve"> </w:t>
      </w:r>
      <w:r>
        <w:rPr>
          <w:color w:val="323232"/>
        </w:rPr>
        <w:t>would</w:t>
      </w:r>
      <w:r>
        <w:rPr>
          <w:color w:val="323232"/>
          <w:spacing w:val="-3"/>
        </w:rPr>
        <w:t xml:space="preserve"> </w:t>
      </w:r>
      <w:r>
        <w:rPr>
          <w:color w:val="323232"/>
        </w:rPr>
        <w:t>like</w:t>
      </w:r>
      <w:r>
        <w:rPr>
          <w:color w:val="323232"/>
          <w:spacing w:val="-2"/>
        </w:rPr>
        <w:t xml:space="preserve"> </w:t>
      </w:r>
      <w:r>
        <w:rPr>
          <w:color w:val="323232"/>
        </w:rPr>
        <w:t>to make the following general remarks:</w:t>
      </w:r>
    </w:p>
    <w:p w14:paraId="1FEC176C" w14:textId="77777777" w:rsidR="001B6D57" w:rsidRDefault="001B6D57" w:rsidP="001B6D57">
      <w:pPr>
        <w:pStyle w:val="Tekstpodstawowy"/>
        <w:spacing w:before="15"/>
      </w:pPr>
    </w:p>
    <w:p w14:paraId="3F4B5C0E" w14:textId="77777777" w:rsidR="001B6D57" w:rsidRDefault="001B6D57" w:rsidP="001B6D57">
      <w:pPr>
        <w:pStyle w:val="Tekstpodstawowy"/>
        <w:ind w:left="101"/>
      </w:pPr>
      <w:r>
        <w:rPr>
          <w:color w:val="323232"/>
          <w:highlight w:val="lightGray"/>
        </w:rPr>
        <w:t>[free</w:t>
      </w:r>
      <w:r>
        <w:rPr>
          <w:color w:val="323232"/>
          <w:spacing w:val="-4"/>
          <w:highlight w:val="lightGray"/>
        </w:rPr>
        <w:t xml:space="preserve"> </w:t>
      </w:r>
      <w:r>
        <w:rPr>
          <w:color w:val="323232"/>
          <w:highlight w:val="lightGray"/>
        </w:rPr>
        <w:t>text</w:t>
      </w:r>
      <w:r>
        <w:rPr>
          <w:color w:val="323232"/>
          <w:spacing w:val="-2"/>
          <w:highlight w:val="lightGray"/>
        </w:rPr>
        <w:t xml:space="preserve"> </w:t>
      </w:r>
      <w:r>
        <w:rPr>
          <w:color w:val="323232"/>
          <w:highlight w:val="lightGray"/>
        </w:rPr>
        <w:t>to</w:t>
      </w:r>
      <w:r>
        <w:rPr>
          <w:color w:val="323232"/>
          <w:spacing w:val="-3"/>
          <w:highlight w:val="lightGray"/>
        </w:rPr>
        <w:t xml:space="preserve"> </w:t>
      </w:r>
      <w:r>
        <w:rPr>
          <w:color w:val="323232"/>
          <w:highlight w:val="lightGray"/>
        </w:rPr>
        <w:t>describe</w:t>
      </w:r>
      <w:r>
        <w:rPr>
          <w:color w:val="323232"/>
          <w:spacing w:val="-2"/>
          <w:highlight w:val="lightGray"/>
        </w:rPr>
        <w:t xml:space="preserve"> </w:t>
      </w:r>
      <w:r>
        <w:rPr>
          <w:color w:val="323232"/>
          <w:highlight w:val="lightGray"/>
        </w:rPr>
        <w:t>general</w:t>
      </w:r>
      <w:r>
        <w:rPr>
          <w:color w:val="323232"/>
          <w:spacing w:val="-2"/>
          <w:highlight w:val="lightGray"/>
        </w:rPr>
        <w:t xml:space="preserve"> </w:t>
      </w:r>
      <w:r>
        <w:rPr>
          <w:color w:val="323232"/>
          <w:highlight w:val="lightGray"/>
        </w:rPr>
        <w:t>remarks</w:t>
      </w:r>
      <w:r>
        <w:rPr>
          <w:color w:val="323232"/>
          <w:spacing w:val="-2"/>
          <w:highlight w:val="lightGray"/>
        </w:rPr>
        <w:t xml:space="preserve"> </w:t>
      </w:r>
      <w:r>
        <w:rPr>
          <w:color w:val="323232"/>
          <w:highlight w:val="lightGray"/>
        </w:rPr>
        <w:t>concisely</w:t>
      </w:r>
      <w:r>
        <w:rPr>
          <w:color w:val="323232"/>
          <w:spacing w:val="-2"/>
          <w:highlight w:val="lightGray"/>
        </w:rPr>
        <w:t xml:space="preserve"> </w:t>
      </w:r>
      <w:r>
        <w:rPr>
          <w:color w:val="323232"/>
          <w:highlight w:val="lightGray"/>
        </w:rPr>
        <w:t>and</w:t>
      </w:r>
      <w:r>
        <w:rPr>
          <w:color w:val="323232"/>
          <w:spacing w:val="-2"/>
          <w:highlight w:val="lightGray"/>
        </w:rPr>
        <w:t xml:space="preserve"> factually]</w:t>
      </w:r>
    </w:p>
    <w:p w14:paraId="49176C69" w14:textId="77777777" w:rsidR="001B6D57" w:rsidRDefault="001B6D57" w:rsidP="001B6D57">
      <w:pPr>
        <w:pStyle w:val="Tekstpodstawowy"/>
      </w:pPr>
    </w:p>
    <w:p w14:paraId="22A6E47E" w14:textId="77777777" w:rsidR="001B6D57" w:rsidRDefault="001B6D57" w:rsidP="001B6D57">
      <w:pPr>
        <w:pStyle w:val="Tekstpodstawowy"/>
      </w:pPr>
    </w:p>
    <w:p w14:paraId="77988246" w14:textId="77777777" w:rsidR="001B6D57" w:rsidRDefault="001B6D57" w:rsidP="001B6D57">
      <w:pPr>
        <w:pStyle w:val="Tekstpodstawowy"/>
        <w:spacing w:before="61"/>
      </w:pPr>
    </w:p>
    <w:p w14:paraId="30CAA2BA" w14:textId="77777777" w:rsidR="001B6D57" w:rsidRDefault="001B6D57" w:rsidP="001B6D57">
      <w:pPr>
        <w:pStyle w:val="Tekstpodstawowy"/>
        <w:spacing w:before="1"/>
        <w:ind w:left="101"/>
      </w:pPr>
      <w:r>
        <w:rPr>
          <w:color w:val="323232"/>
          <w:spacing w:val="-2"/>
        </w:rPr>
        <w:t>[Signature]</w:t>
      </w:r>
    </w:p>
    <w:p w14:paraId="68D1979A" w14:textId="77777777" w:rsidR="001B6D57" w:rsidRDefault="001B6D57" w:rsidP="001B6D57">
      <w:pPr>
        <w:pStyle w:val="Tekstpodstawowy"/>
        <w:spacing w:before="19"/>
      </w:pPr>
    </w:p>
    <w:p w14:paraId="4BB1ED93" w14:textId="77777777" w:rsidR="001B6D57" w:rsidRDefault="001B6D57" w:rsidP="001B6D57">
      <w:pPr>
        <w:pStyle w:val="Tekstpodstawowy"/>
        <w:spacing w:line="499" w:lineRule="auto"/>
        <w:ind w:left="101" w:right="6473"/>
      </w:pPr>
      <w:r>
        <w:rPr>
          <w:color w:val="323232"/>
        </w:rPr>
        <w:t>[Date</w:t>
      </w:r>
      <w:r>
        <w:rPr>
          <w:color w:val="323232"/>
          <w:spacing w:val="-12"/>
        </w:rPr>
        <w:t xml:space="preserve"> </w:t>
      </w:r>
      <w:r>
        <w:rPr>
          <w:color w:val="323232"/>
        </w:rPr>
        <w:t>of</w:t>
      </w:r>
      <w:r>
        <w:rPr>
          <w:color w:val="323232"/>
          <w:spacing w:val="-11"/>
        </w:rPr>
        <w:t xml:space="preserve"> </w:t>
      </w:r>
      <w:r>
        <w:rPr>
          <w:color w:val="323232"/>
        </w:rPr>
        <w:t>the</w:t>
      </w:r>
      <w:r>
        <w:rPr>
          <w:color w:val="323232"/>
          <w:spacing w:val="-11"/>
        </w:rPr>
        <w:t xml:space="preserve"> </w:t>
      </w:r>
      <w:r>
        <w:rPr>
          <w:color w:val="323232"/>
        </w:rPr>
        <w:t xml:space="preserve">Report] </w:t>
      </w:r>
      <w:r>
        <w:rPr>
          <w:color w:val="323232"/>
          <w:spacing w:val="-2"/>
        </w:rPr>
        <w:t>[Location]</w:t>
      </w:r>
    </w:p>
    <w:p w14:paraId="03F3F932" w14:textId="77777777" w:rsidR="001B6D57" w:rsidRDefault="001B6D57" w:rsidP="001B6D57">
      <w:pPr>
        <w:pStyle w:val="Tekstpodstawowy"/>
      </w:pPr>
    </w:p>
    <w:p w14:paraId="41ABB002" w14:textId="77777777" w:rsidR="001B6D57" w:rsidRDefault="001B6D57" w:rsidP="001B6D57">
      <w:pPr>
        <w:pStyle w:val="Tekstpodstawowy"/>
      </w:pPr>
    </w:p>
    <w:p w14:paraId="728C0315" w14:textId="77777777" w:rsidR="001B6D57" w:rsidRDefault="001B6D57" w:rsidP="001B6D57">
      <w:pPr>
        <w:pStyle w:val="Tekstpodstawowy"/>
      </w:pPr>
    </w:p>
    <w:p w14:paraId="005F2BFA" w14:textId="77777777" w:rsidR="001B6D57" w:rsidRDefault="001B6D57" w:rsidP="001B6D57">
      <w:pPr>
        <w:pStyle w:val="Tekstpodstawowy"/>
      </w:pPr>
    </w:p>
    <w:p w14:paraId="5E26C64C" w14:textId="77777777" w:rsidR="001B6D57" w:rsidRDefault="001B6D57" w:rsidP="001B6D57">
      <w:pPr>
        <w:pStyle w:val="Tekstpodstawowy"/>
      </w:pPr>
    </w:p>
    <w:p w14:paraId="10923F75" w14:textId="77777777" w:rsidR="001B6D57" w:rsidRDefault="001B6D57" w:rsidP="001B6D57">
      <w:pPr>
        <w:pStyle w:val="Tekstpodstawowy"/>
        <w:spacing w:before="62"/>
      </w:pPr>
    </w:p>
    <w:p w14:paraId="5599384E" w14:textId="77777777" w:rsidR="001B6D57" w:rsidRDefault="001B6D57" w:rsidP="001B6D57">
      <w:pPr>
        <w:pStyle w:val="Tekstpodstawowy"/>
        <w:ind w:left="101"/>
      </w:pPr>
      <w:r>
        <w:rPr>
          <w:color w:val="323232"/>
          <w:spacing w:val="-2"/>
        </w:rPr>
        <w:t>Annexes</w:t>
      </w:r>
    </w:p>
    <w:p w14:paraId="7211E924" w14:textId="77777777" w:rsidR="001B6D57" w:rsidRDefault="001B6D57" w:rsidP="001B6D57">
      <w:pPr>
        <w:pStyle w:val="Tekstpodstawowy"/>
        <w:spacing w:before="19"/>
      </w:pPr>
    </w:p>
    <w:p w14:paraId="3429FDFE" w14:textId="77777777" w:rsidR="001B6D57" w:rsidRDefault="001B6D57" w:rsidP="001B6D57">
      <w:pPr>
        <w:pStyle w:val="Akapitzlist"/>
        <w:numPr>
          <w:ilvl w:val="0"/>
          <w:numId w:val="1"/>
        </w:numPr>
        <w:tabs>
          <w:tab w:val="left" w:pos="821"/>
        </w:tabs>
        <w:rPr>
          <w:sz w:val="20"/>
        </w:rPr>
      </w:pPr>
      <w:r>
        <w:rPr>
          <w:color w:val="323232"/>
          <w:sz w:val="20"/>
        </w:rPr>
        <w:t>Agreed-upon</w:t>
      </w:r>
      <w:r>
        <w:rPr>
          <w:color w:val="323232"/>
          <w:spacing w:val="-4"/>
          <w:sz w:val="20"/>
        </w:rPr>
        <w:t xml:space="preserve"> </w:t>
      </w:r>
      <w:r>
        <w:rPr>
          <w:color w:val="323232"/>
          <w:spacing w:val="-2"/>
          <w:sz w:val="20"/>
        </w:rPr>
        <w:t>Procedures</w:t>
      </w:r>
    </w:p>
    <w:p w14:paraId="4A01D31D" w14:textId="77777777" w:rsidR="001B6D57" w:rsidRDefault="001B6D57" w:rsidP="001B6D57">
      <w:pPr>
        <w:pStyle w:val="Akapitzlist"/>
        <w:numPr>
          <w:ilvl w:val="0"/>
          <w:numId w:val="1"/>
        </w:numPr>
        <w:tabs>
          <w:tab w:val="left" w:pos="821"/>
        </w:tabs>
        <w:spacing w:before="1"/>
        <w:rPr>
          <w:sz w:val="20"/>
        </w:rPr>
      </w:pPr>
      <w:r>
        <w:rPr>
          <w:color w:val="323232"/>
          <w:sz w:val="20"/>
        </w:rPr>
        <w:t>Financial</w:t>
      </w:r>
      <w:r>
        <w:rPr>
          <w:color w:val="323232"/>
          <w:spacing w:val="-5"/>
          <w:sz w:val="20"/>
        </w:rPr>
        <w:t xml:space="preserve"> </w:t>
      </w:r>
      <w:r>
        <w:rPr>
          <w:color w:val="323232"/>
          <w:spacing w:val="-2"/>
          <w:sz w:val="20"/>
        </w:rPr>
        <w:t>Statement</w:t>
      </w:r>
    </w:p>
    <w:p w14:paraId="0301F1E4" w14:textId="77777777" w:rsidR="00A17012" w:rsidRDefault="00A17012"/>
    <w:sectPr w:rsidR="00A17012" w:rsidSect="004A0124">
      <w:headerReference w:type="even" r:id="rId17"/>
      <w:headerReference w:type="default" r:id="rId18"/>
      <w:footerReference w:type="even" r:id="rId19"/>
      <w:footerReference w:type="default" r:id="rId20"/>
      <w:headerReference w:type="first" r:id="rId21"/>
      <w:pgSz w:w="11907" w:h="16839" w:code="9"/>
      <w:pgMar w:top="2041" w:right="1134" w:bottom="1134" w:left="2041" w:header="0" w:footer="4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guel Galdiz" w:date="2024-02-27T21:11:00Z" w:initials="MG">
    <w:p w14:paraId="6ACC309C" w14:textId="77777777" w:rsidR="00145A71" w:rsidRDefault="00145A71" w:rsidP="00145A71">
      <w:pPr>
        <w:pStyle w:val="Tekstkomentarza"/>
      </w:pPr>
      <w:r>
        <w:rPr>
          <w:rStyle w:val="Odwoaniedokomentarza"/>
        </w:rPr>
        <w:annotationRef/>
      </w:r>
      <w:r>
        <w:t>‘KIC SE BP2023-2024’ for the main grant.</w:t>
      </w:r>
    </w:p>
    <w:p w14:paraId="3671BD9E" w14:textId="77777777" w:rsidR="00145A71" w:rsidRDefault="00145A71" w:rsidP="00145A71">
      <w:pPr>
        <w:pStyle w:val="Tekstkomentarza"/>
      </w:pPr>
    </w:p>
    <w:p w14:paraId="33409FE5" w14:textId="77777777" w:rsidR="00145A71" w:rsidRDefault="00145A71" w:rsidP="00145A71">
      <w:pPr>
        <w:pStyle w:val="Tekstkomentarza"/>
      </w:pPr>
      <w:r>
        <w:t xml:space="preserve">‘HEI Initiative’ for the HEI Initiative activities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409F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B33EFFE" w16cex:dateUtc="2024-02-27T20: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409FE5" w16cid:durableId="5B33EF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A693C" w14:textId="77777777" w:rsidR="004A0124" w:rsidRDefault="004A0124" w:rsidP="00B702CA">
      <w:r>
        <w:separator/>
      </w:r>
    </w:p>
    <w:p w14:paraId="4833F298" w14:textId="77777777" w:rsidR="004A0124" w:rsidRDefault="004A0124"/>
    <w:p w14:paraId="0BEE9C38" w14:textId="77777777" w:rsidR="004A0124" w:rsidRDefault="004A0124" w:rsidP="004D3322"/>
    <w:p w14:paraId="5BEBD281" w14:textId="77777777" w:rsidR="004A0124" w:rsidRDefault="004A0124"/>
    <w:p w14:paraId="00F7879E" w14:textId="77777777" w:rsidR="004A0124" w:rsidRDefault="004A0124" w:rsidP="00737D65"/>
    <w:p w14:paraId="331A6954" w14:textId="77777777" w:rsidR="004A0124" w:rsidRDefault="004A0124" w:rsidP="00737D65"/>
  </w:endnote>
  <w:endnote w:type="continuationSeparator" w:id="0">
    <w:p w14:paraId="2DFD9AF8" w14:textId="77777777" w:rsidR="004A0124" w:rsidRDefault="004A0124" w:rsidP="00B702CA">
      <w:r>
        <w:continuationSeparator/>
      </w:r>
    </w:p>
    <w:p w14:paraId="752EEC3A" w14:textId="77777777" w:rsidR="004A0124" w:rsidRDefault="004A0124"/>
    <w:p w14:paraId="2429643F" w14:textId="77777777" w:rsidR="004A0124" w:rsidRDefault="004A0124" w:rsidP="004D3322"/>
    <w:p w14:paraId="62F787CC" w14:textId="77777777" w:rsidR="004A0124" w:rsidRDefault="004A0124"/>
    <w:p w14:paraId="4D217ED1" w14:textId="77777777" w:rsidR="004A0124" w:rsidRDefault="004A0124" w:rsidP="00737D65"/>
    <w:p w14:paraId="190AEC5F" w14:textId="77777777" w:rsidR="004A0124" w:rsidRDefault="004A0124" w:rsidP="00737D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EE"/>
    <w:family w:val="swiss"/>
    <w:pitch w:val="variable"/>
    <w:sig w:usb0="E4002EFF" w:usb1="C000247B" w:usb2="00000009" w:usb3="00000000" w:csb0="000001FF" w:csb1="00000000"/>
    <w:embedRegular r:id="rId1" w:fontKey="{7C723ADB-911C-4575-9048-7F0E6FA49A6D}"/>
    <w:embedBold r:id="rId2" w:fontKey="{8192A7AA-81E7-4CDA-9E88-3687E90A7F3E}"/>
    <w:embedItalic r:id="rId3" w:fontKey="{59A59C46-C926-4716-B468-031553FA98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4" w:fontKey="{AE0A3398-7CB1-4866-A0E2-385733DCBF99}"/>
    <w:embedBold r:id="rId5" w:fontKey="{ED16D1D9-43D0-4F8A-96DF-E57BEB84F249}"/>
  </w:font>
  <w:font w:name="Tahoma">
    <w:panose1 w:val="020B0604030504040204"/>
    <w:charset w:val="EE"/>
    <w:family w:val="swiss"/>
    <w:pitch w:val="variable"/>
    <w:sig w:usb0="E1002EFF" w:usb1="C000605B" w:usb2="00000029" w:usb3="00000000" w:csb0="000101FF" w:csb1="00000000"/>
    <w:embedRegular r:id="rId6" w:fontKey="{1AD7C81D-B4BF-4268-A7CB-4FDDFF6CC218}"/>
  </w:font>
  <w:font w:name="Georgia">
    <w:panose1 w:val="02040502050405020303"/>
    <w:charset w:val="EE"/>
    <w:family w:val="roman"/>
    <w:pitch w:val="variable"/>
    <w:sig w:usb0="00000287" w:usb1="00000000" w:usb2="00000000" w:usb3="00000000" w:csb0="0000009F" w:csb1="00000000"/>
    <w:embedRegular r:id="rId7" w:fontKey="{56E634AE-81BE-431D-AECF-3D505E38DB4B}"/>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Titillium Web Light">
    <w:charset w:val="EE"/>
    <w:family w:val="auto"/>
    <w:pitch w:val="variable"/>
    <w:sig w:usb0="00000007" w:usb1="00000001" w:usb2="00000000" w:usb3="00000000" w:csb0="00000093" w:csb1="00000000"/>
  </w:font>
  <w:font w:name="Cambria">
    <w:panose1 w:val="02040503050406030204"/>
    <w:charset w:val="EE"/>
    <w:family w:val="roman"/>
    <w:pitch w:val="variable"/>
    <w:sig w:usb0="E00006FF" w:usb1="420024FF" w:usb2="02000000" w:usb3="00000000" w:csb0="0000019F" w:csb1="00000000"/>
    <w:embedRegular r:id="rId8" w:fontKey="{93D895E3-9842-44E2-8A5C-F8B454D67534}"/>
  </w:font>
  <w:font w:name="Titillium Web SemiBold">
    <w:charset w:val="EE"/>
    <w:family w:val="auto"/>
    <w:pitch w:val="variable"/>
    <w:sig w:usb0="00000007" w:usb1="00000001" w:usb2="00000000" w:usb3="00000000" w:csb0="00000093" w:csb1="00000000"/>
  </w:font>
  <w:font w:name="Titillium-Regular">
    <w:altName w:val="Calibri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11779" w14:textId="5214D303" w:rsidR="001B6D57" w:rsidRDefault="001B6D57">
    <w:pPr>
      <w:pStyle w:val="Tekstpodstawowy"/>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13BEC" w14:textId="77777777" w:rsidR="00442AFE" w:rsidRDefault="00442AFE">
    <w:pPr>
      <w:pStyle w:val="Stopka"/>
    </w:pPr>
  </w:p>
  <w:p w14:paraId="3E149D5C" w14:textId="77777777" w:rsidR="00442AFE" w:rsidRDefault="00442AFE"/>
  <w:p w14:paraId="37E596FB" w14:textId="77777777" w:rsidR="00442AFE" w:rsidRDefault="00442AFE" w:rsidP="00737D65"/>
  <w:p w14:paraId="7DDDFCBD" w14:textId="77777777" w:rsidR="00442AFE" w:rsidRDefault="00442AFE" w:rsidP="00737D65"/>
  <w:p w14:paraId="156447EA" w14:textId="77777777" w:rsidR="00F13F69" w:rsidRDefault="00F13F6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DF766" w14:textId="77777777" w:rsidR="00442AFE" w:rsidRPr="001D7C8E" w:rsidRDefault="00742741" w:rsidP="00742741">
    <w:pPr>
      <w:pStyle w:val="Nagwek"/>
      <w:ind w:right="-184"/>
      <w:rPr>
        <w:rFonts w:ascii="Titillium Web Light" w:hAnsi="Titillium Web Light" w:cstheme="minorHAnsi"/>
        <w:sz w:val="20"/>
        <w:szCs w:val="20"/>
      </w:rPr>
    </w:pPr>
    <w:r w:rsidRPr="001D7C8E">
      <w:rPr>
        <w:rFonts w:ascii="Titillium Web Light" w:hAnsi="Titillium Web Light" w:cstheme="majorHAnsi"/>
        <w:noProof/>
        <w:sz w:val="16"/>
        <w:szCs w:val="16"/>
      </w:rPr>
      <mc:AlternateContent>
        <mc:Choice Requires="wps">
          <w:drawing>
            <wp:anchor distT="0" distB="0" distL="114300" distR="114300" simplePos="0" relativeHeight="251663360" behindDoc="0" locked="0" layoutInCell="1" allowOverlap="1" wp14:anchorId="4DD9DAA4" wp14:editId="39A5B466">
              <wp:simplePos x="0" y="0"/>
              <wp:positionH relativeFrom="page">
                <wp:posOffset>827515</wp:posOffset>
              </wp:positionH>
              <wp:positionV relativeFrom="page">
                <wp:posOffset>10241280</wp:posOffset>
              </wp:positionV>
              <wp:extent cx="2832652"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8326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EF6132" id="Straight Connector 2" o:spid="_x0000_s1026" style="position:absolute;z-index:251663360;visibility:visible;mso-wrap-style:square;mso-wrap-distance-left:9pt;mso-wrap-distance-top:0;mso-wrap-distance-right:9pt;mso-wrap-distance-bottom:0;mso-position-horizontal:absolute;mso-position-horizontal-relative:page;mso-position-vertical:absolute;mso-position-vertical-relative:page" from="65.15pt,806.4pt" to="288.2pt,8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" strokecolor="black [3213]">
              <w10:wrap anchorx="page" anchory="page"/>
            </v:line>
          </w:pict>
        </mc:Fallback>
      </mc:AlternateContent>
    </w:r>
    <w:r w:rsidRPr="001D7C8E">
      <w:rPr>
        <w:rStyle w:val="Numerstrony"/>
        <w:rFonts w:ascii="Titillium Web Light" w:hAnsi="Titillium Web Light" w:cstheme="minorHAnsi"/>
        <w:noProof/>
        <w:sz w:val="16"/>
        <w:szCs w:val="16"/>
      </w:rPr>
      <w:fldChar w:fldCharType="begin"/>
    </w:r>
    <w:r w:rsidRPr="001D7C8E">
      <w:rPr>
        <w:rStyle w:val="Numerstrony"/>
        <w:rFonts w:ascii="Titillium Web Light" w:hAnsi="Titillium Web Light" w:cstheme="minorHAnsi"/>
        <w:noProof/>
        <w:sz w:val="16"/>
        <w:szCs w:val="16"/>
      </w:rPr>
      <w:instrText xml:space="preserve"> PAGE  \# "00" </w:instrText>
    </w:r>
    <w:r w:rsidRPr="001D7C8E">
      <w:rPr>
        <w:rStyle w:val="Numerstrony"/>
        <w:rFonts w:ascii="Titillium Web Light" w:hAnsi="Titillium Web Light" w:cstheme="minorHAnsi"/>
        <w:noProof/>
        <w:sz w:val="16"/>
        <w:szCs w:val="16"/>
      </w:rPr>
      <w:fldChar w:fldCharType="separate"/>
    </w:r>
    <w:r w:rsidRPr="001D7C8E">
      <w:rPr>
        <w:rStyle w:val="Numerstrony"/>
        <w:rFonts w:ascii="Titillium Web Light" w:hAnsi="Titillium Web Light" w:cstheme="minorHAnsi"/>
        <w:noProof/>
        <w:sz w:val="16"/>
        <w:szCs w:val="16"/>
      </w:rPr>
      <w:t>01</w:t>
    </w:r>
    <w:r w:rsidRPr="001D7C8E">
      <w:rPr>
        <w:rStyle w:val="Numerstrony"/>
        <w:rFonts w:ascii="Titillium Web Light" w:hAnsi="Titillium Web Light" w:cstheme="minorHAnsi"/>
        <w:noProof/>
        <w:sz w:val="16"/>
        <w:szCs w:val="16"/>
      </w:rPr>
      <w:fldChar w:fldCharType="end"/>
    </w:r>
    <w:r w:rsidR="001D7C8E">
      <w:rPr>
        <w:rStyle w:val="Numerstrony"/>
        <w:rFonts w:ascii="Titillium Web Light" w:hAnsi="Titillium Web Light" w:cstheme="minorHAnsi"/>
        <w:noProof/>
        <w:sz w:val="16"/>
        <w:szCs w:val="16"/>
      </w:rPr>
      <w:t xml:space="preserve">    </w:t>
    </w:r>
    <w:r w:rsidR="001D7C8E" w:rsidRPr="001D7C8E">
      <w:rPr>
        <w:rFonts w:ascii="Titillium Web SemiBold" w:hAnsi="Titillium Web SemiBold" w:cs="Titillium-Regular"/>
        <w:b/>
        <w:bCs/>
        <w:color w:val="004394"/>
        <w:w w:val="99"/>
        <w:sz w:val="16"/>
        <w:szCs w:val="16"/>
        <w:lang w:val="es-ES_tradnl"/>
      </w:rPr>
      <w:t>www.innoenergy.com</w:t>
    </w:r>
  </w:p>
  <w:p w14:paraId="40931CAB" w14:textId="77777777" w:rsidR="00F13F69" w:rsidRDefault="00F13F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4EA49" w14:textId="77777777" w:rsidR="004A0124" w:rsidRDefault="004A0124" w:rsidP="00B702CA">
      <w:r>
        <w:separator/>
      </w:r>
    </w:p>
    <w:p w14:paraId="5CCCE7B5" w14:textId="77777777" w:rsidR="004A0124" w:rsidRDefault="004A0124"/>
    <w:p w14:paraId="3BE1F35B" w14:textId="77777777" w:rsidR="004A0124" w:rsidRDefault="004A0124" w:rsidP="004D3322"/>
    <w:p w14:paraId="6641B369" w14:textId="77777777" w:rsidR="004A0124" w:rsidRDefault="004A0124"/>
    <w:p w14:paraId="018CBCAF" w14:textId="77777777" w:rsidR="004A0124" w:rsidRDefault="004A0124" w:rsidP="00737D65"/>
    <w:p w14:paraId="0F2F2A84" w14:textId="77777777" w:rsidR="004A0124" w:rsidRDefault="004A0124" w:rsidP="00737D65"/>
  </w:footnote>
  <w:footnote w:type="continuationSeparator" w:id="0">
    <w:p w14:paraId="5F5DBDCB" w14:textId="77777777" w:rsidR="004A0124" w:rsidRDefault="004A0124" w:rsidP="00B702CA">
      <w:r>
        <w:continuationSeparator/>
      </w:r>
    </w:p>
    <w:p w14:paraId="2A46F5AB" w14:textId="77777777" w:rsidR="004A0124" w:rsidRDefault="004A0124"/>
    <w:p w14:paraId="7F4B65E7" w14:textId="77777777" w:rsidR="004A0124" w:rsidRDefault="004A0124" w:rsidP="004D3322"/>
    <w:p w14:paraId="0A914562" w14:textId="77777777" w:rsidR="004A0124" w:rsidRDefault="004A0124"/>
    <w:p w14:paraId="021F7AD3" w14:textId="77777777" w:rsidR="004A0124" w:rsidRDefault="004A0124" w:rsidP="00737D65"/>
    <w:p w14:paraId="0CB7A94D" w14:textId="77777777" w:rsidR="004A0124" w:rsidRDefault="004A0124" w:rsidP="00737D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2D572" w14:textId="3CF409D3" w:rsidR="001B6D57" w:rsidRDefault="001B6D57">
    <w:pPr>
      <w:pStyle w:val="Tekstpodstawowy"/>
      <w:spacing w:line="14" w:lineRule="auto"/>
    </w:pPr>
    <w:r>
      <w:rPr>
        <w:noProof/>
      </w:rPr>
      <w:drawing>
        <wp:anchor distT="0" distB="0" distL="114300" distR="114300" simplePos="0" relativeHeight="251665408" behindDoc="1" locked="1" layoutInCell="1" allowOverlap="0" wp14:anchorId="7929A5F6" wp14:editId="17F0ACC0">
          <wp:simplePos x="0" y="0"/>
          <wp:positionH relativeFrom="column">
            <wp:posOffset>-352425</wp:posOffset>
          </wp:positionH>
          <wp:positionV relativeFrom="page">
            <wp:posOffset>453390</wp:posOffset>
          </wp:positionV>
          <wp:extent cx="6403975" cy="500380"/>
          <wp:effectExtent l="0" t="0" r="0" b="0"/>
          <wp:wrapNone/>
          <wp:docPr id="1873915731" name="Picture 187391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stretch>
                    <a:fillRect/>
                  </a:stretch>
                </pic:blipFill>
                <pic:spPr bwMode="auto">
                  <a:xfrm>
                    <a:off x="0" y="0"/>
                    <a:ext cx="6403975" cy="500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6121" w14:textId="77777777" w:rsidR="00442AFE" w:rsidRDefault="00442AFE" w:rsidP="00202F11">
    <w:pPr>
      <w:pStyle w:val="Nagwek"/>
      <w:framePr w:wrap="around" w:vAnchor="text" w:hAnchor="margin" w:xAlign="right" w:y="1"/>
      <w:rPr>
        <w:rStyle w:val="Numerstrony"/>
      </w:rPr>
    </w:pPr>
    <w:r>
      <w:rPr>
        <w:rStyle w:val="Numerstrony"/>
      </w:rPr>
      <w:fldChar w:fldCharType="begin"/>
    </w:r>
    <w:r w:rsidR="00075A48">
      <w:rPr>
        <w:rStyle w:val="Numerstrony"/>
      </w:rPr>
      <w:instrText>PAGE</w:instrText>
    </w:r>
    <w:r>
      <w:rPr>
        <w:rStyle w:val="Numerstrony"/>
      </w:rPr>
      <w:instrText xml:space="preserve">  </w:instrText>
    </w:r>
    <w:r>
      <w:rPr>
        <w:rStyle w:val="Numerstrony"/>
      </w:rPr>
      <w:fldChar w:fldCharType="end"/>
    </w:r>
  </w:p>
  <w:p w14:paraId="547FF87E" w14:textId="77777777" w:rsidR="00442AFE" w:rsidRDefault="00442AFE" w:rsidP="00E745FC">
    <w:pPr>
      <w:pStyle w:val="Nagwek"/>
      <w:ind w:right="360"/>
    </w:pPr>
  </w:p>
  <w:p w14:paraId="4C6CDAE1" w14:textId="77777777" w:rsidR="00442AFE" w:rsidRDefault="00442AFE"/>
  <w:p w14:paraId="0715D32B" w14:textId="77777777" w:rsidR="00442AFE" w:rsidRDefault="00442AFE" w:rsidP="004D3322"/>
  <w:p w14:paraId="6B52BB89" w14:textId="77777777" w:rsidR="00442AFE" w:rsidRDefault="00442AFE" w:rsidP="002D27C1"/>
  <w:p w14:paraId="5FF16955" w14:textId="77777777" w:rsidR="00442AFE" w:rsidRDefault="00442AFE" w:rsidP="00737D65"/>
  <w:p w14:paraId="4B62D7BE" w14:textId="77777777" w:rsidR="00442AFE" w:rsidRDefault="00442AFE" w:rsidP="00737D65"/>
  <w:p w14:paraId="70A265FE" w14:textId="77777777" w:rsidR="00F13F69" w:rsidRDefault="00F13F6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77B74" w14:textId="77777777" w:rsidR="00742741" w:rsidRDefault="00742741">
    <w:pPr>
      <w:pStyle w:val="Nagwek"/>
    </w:pPr>
    <w:r>
      <w:rPr>
        <w:noProof/>
      </w:rPr>
      <w:drawing>
        <wp:anchor distT="0" distB="0" distL="114300" distR="114300" simplePos="0" relativeHeight="251661312" behindDoc="1" locked="1" layoutInCell="1" allowOverlap="0" wp14:anchorId="207CB6A1" wp14:editId="6B76F675">
          <wp:simplePos x="0" y="0"/>
          <wp:positionH relativeFrom="column">
            <wp:posOffset>-676910</wp:posOffset>
          </wp:positionH>
          <wp:positionV relativeFrom="page">
            <wp:posOffset>374650</wp:posOffset>
          </wp:positionV>
          <wp:extent cx="6404400" cy="500400"/>
          <wp:effectExtent l="0" t="0" r="0" b="0"/>
          <wp:wrapNone/>
          <wp:docPr id="1282318823" name="Picture 128231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stretch>
                    <a:fillRect/>
                  </a:stretch>
                </pic:blipFill>
                <pic:spPr bwMode="auto">
                  <a:xfrm>
                    <a:off x="0" y="0"/>
                    <a:ext cx="6404400" cy="5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C0A67" w14:textId="77777777" w:rsidR="00F13F69" w:rsidRDefault="00F13F6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BD37D" w14:textId="77777777" w:rsidR="00742741" w:rsidRDefault="00742741">
    <w:pPr>
      <w:pStyle w:val="Nagwek"/>
    </w:pPr>
    <w:r>
      <w:rPr>
        <w:noProof/>
      </w:rPr>
      <w:drawing>
        <wp:anchor distT="0" distB="0" distL="114300" distR="114300" simplePos="0" relativeHeight="251659264" behindDoc="1" locked="1" layoutInCell="1" allowOverlap="0" wp14:anchorId="25067955" wp14:editId="04698846">
          <wp:simplePos x="0" y="0"/>
          <wp:positionH relativeFrom="column">
            <wp:posOffset>-676910</wp:posOffset>
          </wp:positionH>
          <wp:positionV relativeFrom="page">
            <wp:posOffset>374650</wp:posOffset>
          </wp:positionV>
          <wp:extent cx="6404400" cy="500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stretch>
                    <a:fillRect/>
                  </a:stretch>
                </pic:blipFill>
                <pic:spPr bwMode="auto">
                  <a:xfrm>
                    <a:off x="0" y="0"/>
                    <a:ext cx="6404400" cy="50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53C95"/>
    <w:multiLevelType w:val="hybridMultilevel"/>
    <w:tmpl w:val="A416543E"/>
    <w:lvl w:ilvl="0" w:tplc="582E47C8">
      <w:start w:val="1"/>
      <w:numFmt w:val="decimal"/>
      <w:lvlText w:val="%1."/>
      <w:lvlJc w:val="left"/>
      <w:pPr>
        <w:ind w:left="821" w:hanging="360"/>
      </w:pPr>
      <w:rPr>
        <w:rFonts w:ascii="Calibri Light" w:eastAsia="Calibri Light" w:hAnsi="Calibri Light" w:cs="Calibri Light" w:hint="default"/>
        <w:b w:val="0"/>
        <w:bCs w:val="0"/>
        <w:i w:val="0"/>
        <w:iCs w:val="0"/>
        <w:color w:val="323232"/>
        <w:spacing w:val="0"/>
        <w:w w:val="100"/>
        <w:sz w:val="20"/>
        <w:szCs w:val="20"/>
        <w:lang w:val="en-US" w:eastAsia="en-US" w:bidi="ar-SA"/>
      </w:rPr>
    </w:lvl>
    <w:lvl w:ilvl="1" w:tplc="3550C2C8">
      <w:numFmt w:val="bullet"/>
      <w:lvlText w:val="•"/>
      <w:lvlJc w:val="left"/>
      <w:pPr>
        <w:ind w:left="1630" w:hanging="360"/>
      </w:pPr>
      <w:rPr>
        <w:rFonts w:hint="default"/>
        <w:lang w:val="en-US" w:eastAsia="en-US" w:bidi="ar-SA"/>
      </w:rPr>
    </w:lvl>
    <w:lvl w:ilvl="2" w:tplc="055AB0FA">
      <w:numFmt w:val="bullet"/>
      <w:lvlText w:val="•"/>
      <w:lvlJc w:val="left"/>
      <w:pPr>
        <w:ind w:left="2440" w:hanging="360"/>
      </w:pPr>
      <w:rPr>
        <w:rFonts w:hint="default"/>
        <w:lang w:val="en-US" w:eastAsia="en-US" w:bidi="ar-SA"/>
      </w:rPr>
    </w:lvl>
    <w:lvl w:ilvl="3" w:tplc="0E1455D4">
      <w:numFmt w:val="bullet"/>
      <w:lvlText w:val="•"/>
      <w:lvlJc w:val="left"/>
      <w:pPr>
        <w:ind w:left="3250" w:hanging="360"/>
      </w:pPr>
      <w:rPr>
        <w:rFonts w:hint="default"/>
        <w:lang w:val="en-US" w:eastAsia="en-US" w:bidi="ar-SA"/>
      </w:rPr>
    </w:lvl>
    <w:lvl w:ilvl="4" w:tplc="3E04AFE8">
      <w:numFmt w:val="bullet"/>
      <w:lvlText w:val="•"/>
      <w:lvlJc w:val="left"/>
      <w:pPr>
        <w:ind w:left="4060" w:hanging="360"/>
      </w:pPr>
      <w:rPr>
        <w:rFonts w:hint="default"/>
        <w:lang w:val="en-US" w:eastAsia="en-US" w:bidi="ar-SA"/>
      </w:rPr>
    </w:lvl>
    <w:lvl w:ilvl="5" w:tplc="E44CC5AE">
      <w:numFmt w:val="bullet"/>
      <w:lvlText w:val="•"/>
      <w:lvlJc w:val="left"/>
      <w:pPr>
        <w:ind w:left="4870" w:hanging="360"/>
      </w:pPr>
      <w:rPr>
        <w:rFonts w:hint="default"/>
        <w:lang w:val="en-US" w:eastAsia="en-US" w:bidi="ar-SA"/>
      </w:rPr>
    </w:lvl>
    <w:lvl w:ilvl="6" w:tplc="5BA88E96">
      <w:numFmt w:val="bullet"/>
      <w:lvlText w:val="•"/>
      <w:lvlJc w:val="left"/>
      <w:pPr>
        <w:ind w:left="5680" w:hanging="360"/>
      </w:pPr>
      <w:rPr>
        <w:rFonts w:hint="default"/>
        <w:lang w:val="en-US" w:eastAsia="en-US" w:bidi="ar-SA"/>
      </w:rPr>
    </w:lvl>
    <w:lvl w:ilvl="7" w:tplc="8B328928">
      <w:numFmt w:val="bullet"/>
      <w:lvlText w:val="•"/>
      <w:lvlJc w:val="left"/>
      <w:pPr>
        <w:ind w:left="6490" w:hanging="360"/>
      </w:pPr>
      <w:rPr>
        <w:rFonts w:hint="default"/>
        <w:lang w:val="en-US" w:eastAsia="en-US" w:bidi="ar-SA"/>
      </w:rPr>
    </w:lvl>
    <w:lvl w:ilvl="8" w:tplc="43B87E34">
      <w:numFmt w:val="bullet"/>
      <w:lvlText w:val="•"/>
      <w:lvlJc w:val="left"/>
      <w:pPr>
        <w:ind w:left="7300" w:hanging="360"/>
      </w:pPr>
      <w:rPr>
        <w:rFonts w:hint="default"/>
        <w:lang w:val="en-US" w:eastAsia="en-US" w:bidi="ar-SA"/>
      </w:rPr>
    </w:lvl>
  </w:abstractNum>
  <w:abstractNum w:abstractNumId="1" w15:restartNumberingAfterBreak="0">
    <w:nsid w:val="4EA67DC4"/>
    <w:multiLevelType w:val="multilevel"/>
    <w:tmpl w:val="299CCBC2"/>
    <w:lvl w:ilvl="0">
      <w:start w:val="1"/>
      <w:numFmt w:val="decimal"/>
      <w:lvlText w:val="%1"/>
      <w:lvlJc w:val="left"/>
      <w:pPr>
        <w:ind w:left="2487" w:hanging="424"/>
      </w:pPr>
      <w:rPr>
        <w:rFonts w:hint="default"/>
        <w:lang w:val="en-US" w:eastAsia="en-US" w:bidi="ar-SA"/>
      </w:rPr>
    </w:lvl>
    <w:lvl w:ilvl="1">
      <w:start w:val="5"/>
      <w:numFmt w:val="decimal"/>
      <w:lvlText w:val="%1.%2"/>
      <w:lvlJc w:val="left"/>
      <w:pPr>
        <w:ind w:left="2487" w:hanging="424"/>
      </w:pPr>
      <w:rPr>
        <w:rFonts w:ascii="Calibri Light" w:eastAsia="Calibri Light" w:hAnsi="Calibri Light" w:cs="Calibri Light" w:hint="default"/>
        <w:b w:val="0"/>
        <w:bCs w:val="0"/>
        <w:i w:val="0"/>
        <w:iCs w:val="0"/>
        <w:color w:val="034DA2"/>
        <w:spacing w:val="0"/>
        <w:w w:val="99"/>
        <w:sz w:val="28"/>
        <w:szCs w:val="28"/>
        <w:lang w:val="en-US" w:eastAsia="en-US" w:bidi="ar-SA"/>
      </w:rPr>
    </w:lvl>
    <w:lvl w:ilvl="2">
      <w:start w:val="1"/>
      <w:numFmt w:val="decimal"/>
      <w:lvlText w:val="%1.%2.%3"/>
      <w:lvlJc w:val="left"/>
      <w:pPr>
        <w:ind w:left="639" w:hanging="539"/>
      </w:pPr>
      <w:rPr>
        <w:rFonts w:ascii="Calibri Light" w:eastAsia="Calibri Light" w:hAnsi="Calibri Light" w:cs="Calibri Light" w:hint="default"/>
        <w:b w:val="0"/>
        <w:bCs w:val="0"/>
        <w:i w:val="0"/>
        <w:iCs w:val="0"/>
        <w:color w:val="6AB744"/>
        <w:spacing w:val="0"/>
        <w:w w:val="99"/>
        <w:sz w:val="24"/>
        <w:szCs w:val="24"/>
        <w:lang w:val="en-US" w:eastAsia="en-US" w:bidi="ar-SA"/>
      </w:rPr>
    </w:lvl>
    <w:lvl w:ilvl="3">
      <w:numFmt w:val="bullet"/>
      <w:lvlText w:val="•"/>
      <w:lvlJc w:val="left"/>
      <w:pPr>
        <w:ind w:left="3911" w:hanging="539"/>
      </w:pPr>
      <w:rPr>
        <w:rFonts w:hint="default"/>
        <w:lang w:val="en-US" w:eastAsia="en-US" w:bidi="ar-SA"/>
      </w:rPr>
    </w:lvl>
    <w:lvl w:ilvl="4">
      <w:numFmt w:val="bullet"/>
      <w:lvlText w:val="•"/>
      <w:lvlJc w:val="left"/>
      <w:pPr>
        <w:ind w:left="4626" w:hanging="539"/>
      </w:pPr>
      <w:rPr>
        <w:rFonts w:hint="default"/>
        <w:lang w:val="en-US" w:eastAsia="en-US" w:bidi="ar-SA"/>
      </w:rPr>
    </w:lvl>
    <w:lvl w:ilvl="5">
      <w:numFmt w:val="bullet"/>
      <w:lvlText w:val="•"/>
      <w:lvlJc w:val="left"/>
      <w:pPr>
        <w:ind w:left="5342" w:hanging="539"/>
      </w:pPr>
      <w:rPr>
        <w:rFonts w:hint="default"/>
        <w:lang w:val="en-US" w:eastAsia="en-US" w:bidi="ar-SA"/>
      </w:rPr>
    </w:lvl>
    <w:lvl w:ilvl="6">
      <w:numFmt w:val="bullet"/>
      <w:lvlText w:val="•"/>
      <w:lvlJc w:val="left"/>
      <w:pPr>
        <w:ind w:left="6057" w:hanging="539"/>
      </w:pPr>
      <w:rPr>
        <w:rFonts w:hint="default"/>
        <w:lang w:val="en-US" w:eastAsia="en-US" w:bidi="ar-SA"/>
      </w:rPr>
    </w:lvl>
    <w:lvl w:ilvl="7">
      <w:numFmt w:val="bullet"/>
      <w:lvlText w:val="•"/>
      <w:lvlJc w:val="left"/>
      <w:pPr>
        <w:ind w:left="6773" w:hanging="539"/>
      </w:pPr>
      <w:rPr>
        <w:rFonts w:hint="default"/>
        <w:lang w:val="en-US" w:eastAsia="en-US" w:bidi="ar-SA"/>
      </w:rPr>
    </w:lvl>
    <w:lvl w:ilvl="8">
      <w:numFmt w:val="bullet"/>
      <w:lvlText w:val="•"/>
      <w:lvlJc w:val="left"/>
      <w:pPr>
        <w:ind w:left="7488" w:hanging="539"/>
      </w:pPr>
      <w:rPr>
        <w:rFonts w:hint="default"/>
        <w:lang w:val="en-US" w:eastAsia="en-US" w:bidi="ar-SA"/>
      </w:rPr>
    </w:lvl>
  </w:abstractNum>
  <w:abstractNum w:abstractNumId="2" w15:restartNumberingAfterBreak="0">
    <w:nsid w:val="5840533C"/>
    <w:multiLevelType w:val="multilevel"/>
    <w:tmpl w:val="EF88F210"/>
    <w:lvl w:ilvl="0">
      <w:start w:val="5"/>
      <w:numFmt w:val="upperLetter"/>
      <w:lvlText w:val="%1"/>
      <w:lvlJc w:val="left"/>
      <w:pPr>
        <w:ind w:left="396" w:hanging="295"/>
      </w:pPr>
      <w:rPr>
        <w:rFonts w:hint="default"/>
        <w:lang w:val="en-US" w:eastAsia="en-US" w:bidi="ar-SA"/>
      </w:rPr>
    </w:lvl>
    <w:lvl w:ilvl="1">
      <w:start w:val="1"/>
      <w:numFmt w:val="decimal"/>
      <w:lvlText w:val="%1.%2"/>
      <w:lvlJc w:val="left"/>
      <w:pPr>
        <w:ind w:left="396" w:hanging="295"/>
      </w:pPr>
      <w:rPr>
        <w:rFonts w:ascii="Calibri Light" w:eastAsia="Calibri Light" w:hAnsi="Calibri Light" w:cs="Calibri Light" w:hint="default"/>
        <w:b w:val="0"/>
        <w:bCs w:val="0"/>
        <w:i w:val="0"/>
        <w:iCs w:val="0"/>
        <w:color w:val="323232"/>
        <w:spacing w:val="0"/>
        <w:w w:val="100"/>
        <w:sz w:val="20"/>
        <w:szCs w:val="20"/>
        <w:lang w:val="en-US" w:eastAsia="en-US" w:bidi="ar-SA"/>
      </w:rPr>
    </w:lvl>
    <w:lvl w:ilvl="2">
      <w:start w:val="1"/>
      <w:numFmt w:val="decimal"/>
      <w:lvlText w:val="%3."/>
      <w:lvlJc w:val="left"/>
      <w:pPr>
        <w:ind w:left="821" w:hanging="360"/>
      </w:pPr>
      <w:rPr>
        <w:rFonts w:ascii="Calibri Light" w:eastAsia="Calibri Light" w:hAnsi="Calibri Light" w:cs="Calibri Light" w:hint="default"/>
        <w:b w:val="0"/>
        <w:bCs w:val="0"/>
        <w:i w:val="0"/>
        <w:iCs w:val="0"/>
        <w:color w:val="323232"/>
        <w:spacing w:val="0"/>
        <w:w w:val="100"/>
        <w:sz w:val="20"/>
        <w:szCs w:val="20"/>
        <w:lang w:val="en-US" w:eastAsia="en-US" w:bidi="ar-SA"/>
      </w:rPr>
    </w:lvl>
    <w:lvl w:ilvl="3">
      <w:numFmt w:val="bullet"/>
      <w:lvlText w:val="•"/>
      <w:lvlJc w:val="left"/>
      <w:pPr>
        <w:ind w:left="2620" w:hanging="360"/>
      </w:pPr>
      <w:rPr>
        <w:rFonts w:hint="default"/>
        <w:lang w:val="en-US" w:eastAsia="en-US" w:bidi="ar-SA"/>
      </w:rPr>
    </w:lvl>
    <w:lvl w:ilvl="4">
      <w:numFmt w:val="bullet"/>
      <w:lvlText w:val="•"/>
      <w:lvlJc w:val="left"/>
      <w:pPr>
        <w:ind w:left="3520" w:hanging="360"/>
      </w:pPr>
      <w:rPr>
        <w:rFonts w:hint="default"/>
        <w:lang w:val="en-US" w:eastAsia="en-US" w:bidi="ar-SA"/>
      </w:rPr>
    </w:lvl>
    <w:lvl w:ilvl="5">
      <w:numFmt w:val="bullet"/>
      <w:lvlText w:val="•"/>
      <w:lvlJc w:val="left"/>
      <w:pPr>
        <w:ind w:left="4420" w:hanging="360"/>
      </w:pPr>
      <w:rPr>
        <w:rFonts w:hint="default"/>
        <w:lang w:val="en-US" w:eastAsia="en-US" w:bidi="ar-SA"/>
      </w:rPr>
    </w:lvl>
    <w:lvl w:ilvl="6">
      <w:numFmt w:val="bullet"/>
      <w:lvlText w:val="•"/>
      <w:lvlJc w:val="left"/>
      <w:pPr>
        <w:ind w:left="5320" w:hanging="360"/>
      </w:pPr>
      <w:rPr>
        <w:rFonts w:hint="default"/>
        <w:lang w:val="en-US" w:eastAsia="en-US" w:bidi="ar-SA"/>
      </w:rPr>
    </w:lvl>
    <w:lvl w:ilvl="7">
      <w:numFmt w:val="bullet"/>
      <w:lvlText w:val="•"/>
      <w:lvlJc w:val="left"/>
      <w:pPr>
        <w:ind w:left="6220" w:hanging="360"/>
      </w:pPr>
      <w:rPr>
        <w:rFonts w:hint="default"/>
        <w:lang w:val="en-US" w:eastAsia="en-US" w:bidi="ar-SA"/>
      </w:rPr>
    </w:lvl>
    <w:lvl w:ilvl="8">
      <w:numFmt w:val="bullet"/>
      <w:lvlText w:val="•"/>
      <w:lvlJc w:val="left"/>
      <w:pPr>
        <w:ind w:left="7120" w:hanging="360"/>
      </w:pPr>
      <w:rPr>
        <w:rFonts w:hint="default"/>
        <w:lang w:val="en-US" w:eastAsia="en-US" w:bidi="ar-SA"/>
      </w:rPr>
    </w:lvl>
  </w:abstractNum>
  <w:abstractNum w:abstractNumId="3" w15:restartNumberingAfterBreak="0">
    <w:nsid w:val="646843FB"/>
    <w:multiLevelType w:val="hybridMultilevel"/>
    <w:tmpl w:val="8634DC2C"/>
    <w:lvl w:ilvl="0" w:tplc="16948FFE">
      <w:numFmt w:val="bullet"/>
      <w:lvlText w:val="-"/>
      <w:lvlJc w:val="left"/>
      <w:pPr>
        <w:ind w:left="668" w:hanging="283"/>
      </w:pPr>
      <w:rPr>
        <w:rFonts w:ascii="Calibri Light" w:eastAsia="Calibri Light" w:hAnsi="Calibri Light" w:cs="Calibri Light" w:hint="default"/>
        <w:b w:val="0"/>
        <w:bCs w:val="0"/>
        <w:i w:val="0"/>
        <w:iCs w:val="0"/>
        <w:spacing w:val="0"/>
        <w:w w:val="99"/>
        <w:sz w:val="16"/>
        <w:szCs w:val="16"/>
        <w:lang w:val="en-US" w:eastAsia="en-US" w:bidi="ar-SA"/>
      </w:rPr>
    </w:lvl>
    <w:lvl w:ilvl="1" w:tplc="6AA4A9E6">
      <w:numFmt w:val="bullet"/>
      <w:lvlText w:val="•"/>
      <w:lvlJc w:val="left"/>
      <w:pPr>
        <w:ind w:left="1486" w:hanging="283"/>
      </w:pPr>
      <w:rPr>
        <w:rFonts w:hint="default"/>
        <w:lang w:val="en-US" w:eastAsia="en-US" w:bidi="ar-SA"/>
      </w:rPr>
    </w:lvl>
    <w:lvl w:ilvl="2" w:tplc="5EBE2D2C">
      <w:numFmt w:val="bullet"/>
      <w:lvlText w:val="•"/>
      <w:lvlJc w:val="left"/>
      <w:pPr>
        <w:ind w:left="2312" w:hanging="283"/>
      </w:pPr>
      <w:rPr>
        <w:rFonts w:hint="default"/>
        <w:lang w:val="en-US" w:eastAsia="en-US" w:bidi="ar-SA"/>
      </w:rPr>
    </w:lvl>
    <w:lvl w:ilvl="3" w:tplc="506A85E2">
      <w:numFmt w:val="bullet"/>
      <w:lvlText w:val="•"/>
      <w:lvlJc w:val="left"/>
      <w:pPr>
        <w:ind w:left="3138" w:hanging="283"/>
      </w:pPr>
      <w:rPr>
        <w:rFonts w:hint="default"/>
        <w:lang w:val="en-US" w:eastAsia="en-US" w:bidi="ar-SA"/>
      </w:rPr>
    </w:lvl>
    <w:lvl w:ilvl="4" w:tplc="BB74E83E">
      <w:numFmt w:val="bullet"/>
      <w:lvlText w:val="•"/>
      <w:lvlJc w:val="left"/>
      <w:pPr>
        <w:ind w:left="3964" w:hanging="283"/>
      </w:pPr>
      <w:rPr>
        <w:rFonts w:hint="default"/>
        <w:lang w:val="en-US" w:eastAsia="en-US" w:bidi="ar-SA"/>
      </w:rPr>
    </w:lvl>
    <w:lvl w:ilvl="5" w:tplc="2DB25906">
      <w:numFmt w:val="bullet"/>
      <w:lvlText w:val="•"/>
      <w:lvlJc w:val="left"/>
      <w:pPr>
        <w:ind w:left="4790" w:hanging="283"/>
      </w:pPr>
      <w:rPr>
        <w:rFonts w:hint="default"/>
        <w:lang w:val="en-US" w:eastAsia="en-US" w:bidi="ar-SA"/>
      </w:rPr>
    </w:lvl>
    <w:lvl w:ilvl="6" w:tplc="8E582A9A">
      <w:numFmt w:val="bullet"/>
      <w:lvlText w:val="•"/>
      <w:lvlJc w:val="left"/>
      <w:pPr>
        <w:ind w:left="5616" w:hanging="283"/>
      </w:pPr>
      <w:rPr>
        <w:rFonts w:hint="default"/>
        <w:lang w:val="en-US" w:eastAsia="en-US" w:bidi="ar-SA"/>
      </w:rPr>
    </w:lvl>
    <w:lvl w:ilvl="7" w:tplc="D7E03914">
      <w:numFmt w:val="bullet"/>
      <w:lvlText w:val="•"/>
      <w:lvlJc w:val="left"/>
      <w:pPr>
        <w:ind w:left="6442" w:hanging="283"/>
      </w:pPr>
      <w:rPr>
        <w:rFonts w:hint="default"/>
        <w:lang w:val="en-US" w:eastAsia="en-US" w:bidi="ar-SA"/>
      </w:rPr>
    </w:lvl>
    <w:lvl w:ilvl="8" w:tplc="3950429E">
      <w:numFmt w:val="bullet"/>
      <w:lvlText w:val="•"/>
      <w:lvlJc w:val="left"/>
      <w:pPr>
        <w:ind w:left="7268" w:hanging="283"/>
      </w:pPr>
      <w:rPr>
        <w:rFonts w:hint="default"/>
        <w:lang w:val="en-US" w:eastAsia="en-US" w:bidi="ar-SA"/>
      </w:rPr>
    </w:lvl>
  </w:abstractNum>
  <w:abstractNum w:abstractNumId="4" w15:restartNumberingAfterBreak="0">
    <w:nsid w:val="673A6732"/>
    <w:multiLevelType w:val="multilevel"/>
    <w:tmpl w:val="59F21842"/>
    <w:lvl w:ilvl="0">
      <w:start w:val="5"/>
      <w:numFmt w:val="upperLetter"/>
      <w:lvlText w:val="%1"/>
      <w:lvlJc w:val="left"/>
      <w:pPr>
        <w:ind w:left="396" w:hanging="295"/>
      </w:pPr>
      <w:rPr>
        <w:rFonts w:hint="default"/>
        <w:lang w:val="en-US" w:eastAsia="en-US" w:bidi="ar-SA"/>
      </w:rPr>
    </w:lvl>
    <w:lvl w:ilvl="1">
      <w:start w:val="1"/>
      <w:numFmt w:val="decimal"/>
      <w:lvlText w:val="%1.%2"/>
      <w:lvlJc w:val="left"/>
      <w:pPr>
        <w:ind w:left="396" w:hanging="295"/>
      </w:pPr>
      <w:rPr>
        <w:rFonts w:ascii="Calibri Light" w:eastAsia="Calibri Light" w:hAnsi="Calibri Light" w:cs="Calibri Light" w:hint="default"/>
        <w:b w:val="0"/>
        <w:bCs w:val="0"/>
        <w:i w:val="0"/>
        <w:iCs w:val="0"/>
        <w:color w:val="323232"/>
        <w:spacing w:val="0"/>
        <w:w w:val="100"/>
        <w:sz w:val="20"/>
        <w:szCs w:val="20"/>
        <w:lang w:val="en-US" w:eastAsia="en-US" w:bidi="ar-SA"/>
      </w:rPr>
    </w:lvl>
    <w:lvl w:ilvl="2">
      <w:numFmt w:val="bullet"/>
      <w:lvlText w:val="-"/>
      <w:lvlJc w:val="left"/>
      <w:pPr>
        <w:ind w:left="668" w:hanging="283"/>
      </w:pPr>
      <w:rPr>
        <w:rFonts w:ascii="Calibri Light" w:eastAsia="Calibri Light" w:hAnsi="Calibri Light" w:cs="Calibri Light" w:hint="default"/>
        <w:b w:val="0"/>
        <w:bCs w:val="0"/>
        <w:i w:val="0"/>
        <w:iCs w:val="0"/>
        <w:spacing w:val="0"/>
        <w:w w:val="99"/>
        <w:sz w:val="16"/>
        <w:szCs w:val="16"/>
        <w:lang w:val="en-US" w:eastAsia="en-US" w:bidi="ar-SA"/>
      </w:rPr>
    </w:lvl>
    <w:lvl w:ilvl="3">
      <w:numFmt w:val="bullet"/>
      <w:lvlText w:val="•"/>
      <w:lvlJc w:val="left"/>
      <w:pPr>
        <w:ind w:left="2495" w:hanging="283"/>
      </w:pPr>
      <w:rPr>
        <w:rFonts w:hint="default"/>
        <w:lang w:val="en-US" w:eastAsia="en-US" w:bidi="ar-SA"/>
      </w:rPr>
    </w:lvl>
    <w:lvl w:ilvl="4">
      <w:numFmt w:val="bullet"/>
      <w:lvlText w:val="•"/>
      <w:lvlJc w:val="left"/>
      <w:pPr>
        <w:ind w:left="3413" w:hanging="283"/>
      </w:pPr>
      <w:rPr>
        <w:rFonts w:hint="default"/>
        <w:lang w:val="en-US" w:eastAsia="en-US" w:bidi="ar-SA"/>
      </w:rPr>
    </w:lvl>
    <w:lvl w:ilvl="5">
      <w:numFmt w:val="bullet"/>
      <w:lvlText w:val="•"/>
      <w:lvlJc w:val="left"/>
      <w:pPr>
        <w:ind w:left="4331" w:hanging="283"/>
      </w:pPr>
      <w:rPr>
        <w:rFonts w:hint="default"/>
        <w:lang w:val="en-US" w:eastAsia="en-US" w:bidi="ar-SA"/>
      </w:rPr>
    </w:lvl>
    <w:lvl w:ilvl="6">
      <w:numFmt w:val="bullet"/>
      <w:lvlText w:val="•"/>
      <w:lvlJc w:val="left"/>
      <w:pPr>
        <w:ind w:left="5248" w:hanging="283"/>
      </w:pPr>
      <w:rPr>
        <w:rFonts w:hint="default"/>
        <w:lang w:val="en-US" w:eastAsia="en-US" w:bidi="ar-SA"/>
      </w:rPr>
    </w:lvl>
    <w:lvl w:ilvl="7">
      <w:numFmt w:val="bullet"/>
      <w:lvlText w:val="•"/>
      <w:lvlJc w:val="left"/>
      <w:pPr>
        <w:ind w:left="6166" w:hanging="283"/>
      </w:pPr>
      <w:rPr>
        <w:rFonts w:hint="default"/>
        <w:lang w:val="en-US" w:eastAsia="en-US" w:bidi="ar-SA"/>
      </w:rPr>
    </w:lvl>
    <w:lvl w:ilvl="8">
      <w:numFmt w:val="bullet"/>
      <w:lvlText w:val="•"/>
      <w:lvlJc w:val="left"/>
      <w:pPr>
        <w:ind w:left="7084" w:hanging="283"/>
      </w:pPr>
      <w:rPr>
        <w:rFonts w:hint="default"/>
        <w:lang w:val="en-US" w:eastAsia="en-US" w:bidi="ar-SA"/>
      </w:rPr>
    </w:lvl>
  </w:abstractNum>
  <w:num w:numId="1" w16cid:durableId="901477978">
    <w:abstractNumId w:val="0"/>
  </w:num>
  <w:num w:numId="2" w16cid:durableId="1929730139">
    <w:abstractNumId w:val="4"/>
  </w:num>
  <w:num w:numId="3" w16cid:durableId="1423262581">
    <w:abstractNumId w:val="2"/>
  </w:num>
  <w:num w:numId="4" w16cid:durableId="982927508">
    <w:abstractNumId w:val="3"/>
  </w:num>
  <w:num w:numId="5" w16cid:durableId="39559289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guel Galdiz">
    <w15:presenceInfo w15:providerId="AD" w15:userId="S::miguel.galdiz@innoenergy.com::a3004b17-366c-4d1e-9904-b920f2eadd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revisionView w:markup="0" w:insDel="0" w:formatting="0" w:inkAnnotation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D57"/>
    <w:rsid w:val="00010BF7"/>
    <w:rsid w:val="00036BC3"/>
    <w:rsid w:val="00075A48"/>
    <w:rsid w:val="00082746"/>
    <w:rsid w:val="000A3F0D"/>
    <w:rsid w:val="000C1DEF"/>
    <w:rsid w:val="000C6EC9"/>
    <w:rsid w:val="000D5494"/>
    <w:rsid w:val="000D5C62"/>
    <w:rsid w:val="000E1B41"/>
    <w:rsid w:val="000F4F93"/>
    <w:rsid w:val="00120C42"/>
    <w:rsid w:val="00134824"/>
    <w:rsid w:val="00145A71"/>
    <w:rsid w:val="0015284C"/>
    <w:rsid w:val="0016309B"/>
    <w:rsid w:val="00177BBA"/>
    <w:rsid w:val="00180985"/>
    <w:rsid w:val="001B0AA9"/>
    <w:rsid w:val="001B6D57"/>
    <w:rsid w:val="001C5872"/>
    <w:rsid w:val="001D7C8E"/>
    <w:rsid w:val="001E3DF3"/>
    <w:rsid w:val="001F2209"/>
    <w:rsid w:val="00202F11"/>
    <w:rsid w:val="00223A05"/>
    <w:rsid w:val="00297A51"/>
    <w:rsid w:val="002A06E1"/>
    <w:rsid w:val="002B1114"/>
    <w:rsid w:val="002B4A65"/>
    <w:rsid w:val="002B6DDB"/>
    <w:rsid w:val="002D27C1"/>
    <w:rsid w:val="0032760D"/>
    <w:rsid w:val="00327CD8"/>
    <w:rsid w:val="00344D85"/>
    <w:rsid w:val="003468C5"/>
    <w:rsid w:val="0035378A"/>
    <w:rsid w:val="00354951"/>
    <w:rsid w:val="003611F2"/>
    <w:rsid w:val="00366DA5"/>
    <w:rsid w:val="00392A28"/>
    <w:rsid w:val="00397D50"/>
    <w:rsid w:val="003A0D5F"/>
    <w:rsid w:val="003A71A4"/>
    <w:rsid w:val="003B3BCF"/>
    <w:rsid w:val="003D25B5"/>
    <w:rsid w:val="003E090C"/>
    <w:rsid w:val="003E40DE"/>
    <w:rsid w:val="003E5070"/>
    <w:rsid w:val="00414356"/>
    <w:rsid w:val="004356A7"/>
    <w:rsid w:val="00442AFE"/>
    <w:rsid w:val="004760D2"/>
    <w:rsid w:val="00477841"/>
    <w:rsid w:val="004819B8"/>
    <w:rsid w:val="00485D61"/>
    <w:rsid w:val="004871D4"/>
    <w:rsid w:val="004A0124"/>
    <w:rsid w:val="004C7F27"/>
    <w:rsid w:val="004D3322"/>
    <w:rsid w:val="004D559E"/>
    <w:rsid w:val="004E4A4E"/>
    <w:rsid w:val="00516523"/>
    <w:rsid w:val="005224BD"/>
    <w:rsid w:val="00525457"/>
    <w:rsid w:val="00534FA9"/>
    <w:rsid w:val="00535D25"/>
    <w:rsid w:val="0054094A"/>
    <w:rsid w:val="005533AA"/>
    <w:rsid w:val="00574237"/>
    <w:rsid w:val="005C032A"/>
    <w:rsid w:val="005F14C1"/>
    <w:rsid w:val="006010DC"/>
    <w:rsid w:val="00604F15"/>
    <w:rsid w:val="006214F8"/>
    <w:rsid w:val="00654131"/>
    <w:rsid w:val="00660F38"/>
    <w:rsid w:val="0066170D"/>
    <w:rsid w:val="0067038D"/>
    <w:rsid w:val="006841B1"/>
    <w:rsid w:val="00696865"/>
    <w:rsid w:val="006F0025"/>
    <w:rsid w:val="00712A83"/>
    <w:rsid w:val="00737D65"/>
    <w:rsid w:val="00742741"/>
    <w:rsid w:val="007534DA"/>
    <w:rsid w:val="00760C1A"/>
    <w:rsid w:val="0076305D"/>
    <w:rsid w:val="00767AB8"/>
    <w:rsid w:val="00775645"/>
    <w:rsid w:val="007879BB"/>
    <w:rsid w:val="0079577F"/>
    <w:rsid w:val="007A6593"/>
    <w:rsid w:val="007B05B8"/>
    <w:rsid w:val="007F7741"/>
    <w:rsid w:val="00811861"/>
    <w:rsid w:val="00812BE8"/>
    <w:rsid w:val="008258C5"/>
    <w:rsid w:val="00896BBD"/>
    <w:rsid w:val="008B6E8D"/>
    <w:rsid w:val="008C24E5"/>
    <w:rsid w:val="00910130"/>
    <w:rsid w:val="00916841"/>
    <w:rsid w:val="0093436D"/>
    <w:rsid w:val="00950BED"/>
    <w:rsid w:val="00961D3A"/>
    <w:rsid w:val="00982A8E"/>
    <w:rsid w:val="00987B82"/>
    <w:rsid w:val="00990EBE"/>
    <w:rsid w:val="009B29E9"/>
    <w:rsid w:val="009C514E"/>
    <w:rsid w:val="009E2004"/>
    <w:rsid w:val="009E3171"/>
    <w:rsid w:val="00A06E7D"/>
    <w:rsid w:val="00A17012"/>
    <w:rsid w:val="00A3452B"/>
    <w:rsid w:val="00A37FF9"/>
    <w:rsid w:val="00A467B8"/>
    <w:rsid w:val="00A54627"/>
    <w:rsid w:val="00A54DC9"/>
    <w:rsid w:val="00A94E0E"/>
    <w:rsid w:val="00A96F94"/>
    <w:rsid w:val="00A97C42"/>
    <w:rsid w:val="00AB2F5A"/>
    <w:rsid w:val="00AD495E"/>
    <w:rsid w:val="00AF6443"/>
    <w:rsid w:val="00B0521D"/>
    <w:rsid w:val="00B06ECE"/>
    <w:rsid w:val="00B10FE9"/>
    <w:rsid w:val="00B125C7"/>
    <w:rsid w:val="00B14B72"/>
    <w:rsid w:val="00B405ED"/>
    <w:rsid w:val="00B631C4"/>
    <w:rsid w:val="00B702CA"/>
    <w:rsid w:val="00B87291"/>
    <w:rsid w:val="00B94565"/>
    <w:rsid w:val="00BA09A3"/>
    <w:rsid w:val="00BA0C07"/>
    <w:rsid w:val="00BA3414"/>
    <w:rsid w:val="00BB0A5C"/>
    <w:rsid w:val="00BC02C4"/>
    <w:rsid w:val="00BC0E8E"/>
    <w:rsid w:val="00BC3AE6"/>
    <w:rsid w:val="00BE1758"/>
    <w:rsid w:val="00BE6774"/>
    <w:rsid w:val="00C041F2"/>
    <w:rsid w:val="00C13C11"/>
    <w:rsid w:val="00C25D28"/>
    <w:rsid w:val="00C35995"/>
    <w:rsid w:val="00C50233"/>
    <w:rsid w:val="00C648DE"/>
    <w:rsid w:val="00C74315"/>
    <w:rsid w:val="00C75F4D"/>
    <w:rsid w:val="00CA0AE1"/>
    <w:rsid w:val="00CB5512"/>
    <w:rsid w:val="00CC0D1B"/>
    <w:rsid w:val="00CD3D86"/>
    <w:rsid w:val="00CE296B"/>
    <w:rsid w:val="00CE72A3"/>
    <w:rsid w:val="00CF171E"/>
    <w:rsid w:val="00D27A1C"/>
    <w:rsid w:val="00D3434D"/>
    <w:rsid w:val="00D4753E"/>
    <w:rsid w:val="00D571DC"/>
    <w:rsid w:val="00D834D8"/>
    <w:rsid w:val="00DA6363"/>
    <w:rsid w:val="00DC0040"/>
    <w:rsid w:val="00DE0814"/>
    <w:rsid w:val="00DE49F3"/>
    <w:rsid w:val="00E108C5"/>
    <w:rsid w:val="00E16DFF"/>
    <w:rsid w:val="00E23C8E"/>
    <w:rsid w:val="00E27746"/>
    <w:rsid w:val="00E439CA"/>
    <w:rsid w:val="00E547DC"/>
    <w:rsid w:val="00E62254"/>
    <w:rsid w:val="00E639AB"/>
    <w:rsid w:val="00E745FC"/>
    <w:rsid w:val="00EA10A4"/>
    <w:rsid w:val="00EA2FF5"/>
    <w:rsid w:val="00EA375E"/>
    <w:rsid w:val="00EA4D37"/>
    <w:rsid w:val="00EA5CF4"/>
    <w:rsid w:val="00EB238E"/>
    <w:rsid w:val="00EB273C"/>
    <w:rsid w:val="00EC6D55"/>
    <w:rsid w:val="00EE1C44"/>
    <w:rsid w:val="00F13F69"/>
    <w:rsid w:val="00F24D0A"/>
    <w:rsid w:val="00F27D1D"/>
    <w:rsid w:val="00F50643"/>
    <w:rsid w:val="00F609B3"/>
    <w:rsid w:val="00F66C5E"/>
    <w:rsid w:val="00F872C9"/>
    <w:rsid w:val="00F9007C"/>
    <w:rsid w:val="00F9761E"/>
    <w:rsid w:val="00FC080C"/>
    <w:rsid w:val="00FC21A6"/>
    <w:rsid w:val="00FD51B4"/>
    <w:rsid w:val="00FE50C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7B115F"/>
  <w15:docId w15:val="{0D6E9CBF-286D-42A7-BDB1-EC3255FE1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04. Text"/>
    <w:qFormat/>
    <w:rsid w:val="001B6D57"/>
    <w:pPr>
      <w:widowControl w:val="0"/>
      <w:autoSpaceDE w:val="0"/>
      <w:autoSpaceDN w:val="0"/>
    </w:pPr>
    <w:rPr>
      <w:rFonts w:ascii="Calibri Light" w:eastAsia="Calibri Light" w:hAnsi="Calibri Light" w:cs="Calibri Light"/>
      <w:sz w:val="22"/>
      <w:szCs w:val="22"/>
    </w:rPr>
  </w:style>
  <w:style w:type="paragraph" w:styleId="Nagwek1">
    <w:name w:val="heading 1"/>
    <w:basedOn w:val="Normalny"/>
    <w:link w:val="Nagwek1Znak"/>
    <w:uiPriority w:val="9"/>
    <w:qFormat/>
    <w:rsid w:val="001B6D57"/>
    <w:pPr>
      <w:ind w:left="636" w:hanging="536"/>
      <w:outlineLvl w:val="0"/>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702CA"/>
    <w:pPr>
      <w:tabs>
        <w:tab w:val="center" w:pos="4680"/>
        <w:tab w:val="right" w:pos="9360"/>
      </w:tabs>
    </w:pPr>
  </w:style>
  <w:style w:type="character" w:customStyle="1" w:styleId="NagwekZnak">
    <w:name w:val="Nagłówek Znak"/>
    <w:basedOn w:val="Domylnaczcionkaakapitu"/>
    <w:link w:val="Nagwek"/>
    <w:uiPriority w:val="99"/>
    <w:rsid w:val="00B702CA"/>
  </w:style>
  <w:style w:type="paragraph" w:styleId="Stopka">
    <w:name w:val="footer"/>
    <w:basedOn w:val="Normalny"/>
    <w:link w:val="StopkaZnak"/>
    <w:uiPriority w:val="99"/>
    <w:unhideWhenUsed/>
    <w:rsid w:val="00B702CA"/>
    <w:pPr>
      <w:tabs>
        <w:tab w:val="center" w:pos="4680"/>
        <w:tab w:val="right" w:pos="9360"/>
      </w:tabs>
    </w:pPr>
  </w:style>
  <w:style w:type="character" w:customStyle="1" w:styleId="StopkaZnak">
    <w:name w:val="Stopka Znak"/>
    <w:basedOn w:val="Domylnaczcionkaakapitu"/>
    <w:link w:val="Stopka"/>
    <w:uiPriority w:val="99"/>
    <w:rsid w:val="00B702CA"/>
  </w:style>
  <w:style w:type="paragraph" w:styleId="Tekstdymka">
    <w:name w:val="Balloon Text"/>
    <w:basedOn w:val="Normalny"/>
    <w:link w:val="TekstdymkaZnak"/>
    <w:uiPriority w:val="99"/>
    <w:semiHidden/>
    <w:unhideWhenUsed/>
    <w:rsid w:val="00B702CA"/>
    <w:rPr>
      <w:rFonts w:ascii="Tahoma" w:hAnsi="Tahoma" w:cs="Tahoma"/>
      <w:sz w:val="16"/>
      <w:szCs w:val="16"/>
    </w:rPr>
  </w:style>
  <w:style w:type="character" w:customStyle="1" w:styleId="TekstdymkaZnak">
    <w:name w:val="Tekst dymka Znak"/>
    <w:link w:val="Tekstdymka"/>
    <w:uiPriority w:val="99"/>
    <w:semiHidden/>
    <w:rsid w:val="00B702CA"/>
    <w:rPr>
      <w:rFonts w:ascii="Tahoma" w:hAnsi="Tahoma" w:cs="Tahoma"/>
      <w:sz w:val="16"/>
      <w:szCs w:val="16"/>
    </w:rPr>
  </w:style>
  <w:style w:type="paragraph" w:customStyle="1" w:styleId="04Bodytext">
    <w:name w:val="04. Body text"/>
    <w:qFormat/>
    <w:rsid w:val="003A71A4"/>
    <w:pPr>
      <w:suppressAutoHyphens/>
      <w:spacing w:line="288" w:lineRule="auto"/>
      <w:ind w:left="28" w:right="-198"/>
    </w:pPr>
    <w:rPr>
      <w:rFonts w:ascii="Calibri Light" w:hAnsi="Calibri Light" w:cs="Georgia"/>
      <w:sz w:val="22"/>
      <w:szCs w:val="22"/>
    </w:rPr>
  </w:style>
  <w:style w:type="paragraph" w:customStyle="1" w:styleId="BasicParagraph">
    <w:name w:val="[Basic Paragraph]"/>
    <w:basedOn w:val="Normalny"/>
    <w:uiPriority w:val="99"/>
    <w:rsid w:val="007B05B8"/>
    <w:pPr>
      <w:adjustRightInd w:val="0"/>
      <w:spacing w:line="288" w:lineRule="auto"/>
      <w:textAlignment w:val="center"/>
    </w:pPr>
    <w:rPr>
      <w:rFonts w:ascii="MinionPro-Regular" w:hAnsi="MinionPro-Regular" w:cs="MinionPro-Regular"/>
      <w:color w:val="000000"/>
      <w:sz w:val="24"/>
      <w:szCs w:val="24"/>
      <w:lang w:val="es-ES_tradnl"/>
    </w:rPr>
  </w:style>
  <w:style w:type="character" w:styleId="Numerstrony">
    <w:name w:val="page number"/>
    <w:basedOn w:val="Domylnaczcionkaakapitu"/>
    <w:uiPriority w:val="99"/>
    <w:semiHidden/>
    <w:unhideWhenUsed/>
    <w:rsid w:val="00E745FC"/>
  </w:style>
  <w:style w:type="paragraph" w:customStyle="1" w:styleId="01Headline">
    <w:name w:val="01. Headline"/>
    <w:basedOn w:val="Normalny"/>
    <w:qFormat/>
    <w:rsid w:val="003A0D5F"/>
    <w:pPr>
      <w:tabs>
        <w:tab w:val="left" w:pos="2282"/>
      </w:tabs>
    </w:pPr>
    <w:rPr>
      <w:rFonts w:ascii="Calibri" w:hAnsi="Calibri" w:cs="Arial"/>
      <w:b/>
      <w:color w:val="60A718"/>
      <w:sz w:val="80"/>
      <w:szCs w:val="120"/>
    </w:rPr>
  </w:style>
  <w:style w:type="paragraph" w:customStyle="1" w:styleId="02Subtitle">
    <w:name w:val="02. Subtitle"/>
    <w:qFormat/>
    <w:rsid w:val="00442AFE"/>
    <w:rPr>
      <w:rFonts w:cs="Arial"/>
      <w:b/>
      <w:color w:val="000000"/>
      <w:sz w:val="34"/>
      <w:szCs w:val="40"/>
    </w:rPr>
  </w:style>
  <w:style w:type="paragraph" w:customStyle="1" w:styleId="03Section">
    <w:name w:val="03. Section"/>
    <w:basedOn w:val="BasicParagraph"/>
    <w:qFormat/>
    <w:rsid w:val="00BC02C4"/>
    <w:pPr>
      <w:suppressAutoHyphens/>
      <w:spacing w:line="264" w:lineRule="auto"/>
    </w:pPr>
    <w:rPr>
      <w:rFonts w:ascii="Calibri" w:hAnsi="Calibri" w:cs="Arial"/>
      <w:color w:val="808080"/>
      <w:sz w:val="40"/>
      <w:szCs w:val="18"/>
    </w:rPr>
  </w:style>
  <w:style w:type="paragraph" w:customStyle="1" w:styleId="Prrafobsico">
    <w:name w:val="[Párrafo básico]"/>
    <w:basedOn w:val="Normalny"/>
    <w:uiPriority w:val="99"/>
    <w:rsid w:val="009C514E"/>
    <w:pPr>
      <w:adjustRightInd w:val="0"/>
      <w:spacing w:line="288" w:lineRule="auto"/>
      <w:textAlignment w:val="center"/>
    </w:pPr>
    <w:rPr>
      <w:rFonts w:ascii="Times-Roman" w:hAnsi="Times-Roman" w:cs="Times-Roman"/>
      <w:color w:val="000000"/>
      <w:sz w:val="24"/>
      <w:szCs w:val="24"/>
      <w:lang w:val="es-ES_tradnl" w:eastAsia="es-ES"/>
    </w:rPr>
  </w:style>
  <w:style w:type="character" w:styleId="Hipercze">
    <w:name w:val="Hyperlink"/>
    <w:basedOn w:val="Domylnaczcionkaakapitu"/>
    <w:uiPriority w:val="99"/>
    <w:unhideWhenUsed/>
    <w:rsid w:val="00477841"/>
    <w:rPr>
      <w:color w:val="0000FF" w:themeColor="hyperlink"/>
      <w:u w:val="single"/>
    </w:rPr>
  </w:style>
  <w:style w:type="character" w:styleId="Nierozpoznanawzmianka">
    <w:name w:val="Unresolved Mention"/>
    <w:basedOn w:val="Domylnaczcionkaakapitu"/>
    <w:uiPriority w:val="99"/>
    <w:semiHidden/>
    <w:unhideWhenUsed/>
    <w:rsid w:val="00477841"/>
    <w:rPr>
      <w:color w:val="605E5C"/>
      <w:shd w:val="clear" w:color="auto" w:fill="E1DFDD"/>
    </w:rPr>
  </w:style>
  <w:style w:type="character" w:customStyle="1" w:styleId="Nagwek1Znak">
    <w:name w:val="Nagłówek 1 Znak"/>
    <w:basedOn w:val="Domylnaczcionkaakapitu"/>
    <w:link w:val="Nagwek1"/>
    <w:uiPriority w:val="9"/>
    <w:rsid w:val="001B6D57"/>
    <w:rPr>
      <w:rFonts w:ascii="Calibri Light" w:eastAsia="Calibri Light" w:hAnsi="Calibri Light" w:cs="Calibri Light"/>
      <w:sz w:val="24"/>
      <w:szCs w:val="24"/>
    </w:rPr>
  </w:style>
  <w:style w:type="paragraph" w:styleId="Tekstpodstawowy">
    <w:name w:val="Body Text"/>
    <w:basedOn w:val="Normalny"/>
    <w:link w:val="TekstpodstawowyZnak"/>
    <w:uiPriority w:val="1"/>
    <w:qFormat/>
    <w:rsid w:val="001B6D57"/>
    <w:rPr>
      <w:sz w:val="20"/>
      <w:szCs w:val="20"/>
    </w:rPr>
  </w:style>
  <w:style w:type="character" w:customStyle="1" w:styleId="TekstpodstawowyZnak">
    <w:name w:val="Tekst podstawowy Znak"/>
    <w:basedOn w:val="Domylnaczcionkaakapitu"/>
    <w:link w:val="Tekstpodstawowy"/>
    <w:uiPriority w:val="1"/>
    <w:rsid w:val="001B6D57"/>
    <w:rPr>
      <w:rFonts w:ascii="Calibri Light" w:eastAsia="Calibri Light" w:hAnsi="Calibri Light" w:cs="Calibri Light"/>
    </w:rPr>
  </w:style>
  <w:style w:type="paragraph" w:styleId="Tytu">
    <w:name w:val="Title"/>
    <w:basedOn w:val="Normalny"/>
    <w:link w:val="TytuZnak"/>
    <w:uiPriority w:val="10"/>
    <w:qFormat/>
    <w:rsid w:val="001B6D57"/>
    <w:pPr>
      <w:spacing w:before="49"/>
      <w:ind w:left="2487" w:right="1588" w:hanging="360"/>
    </w:pPr>
    <w:rPr>
      <w:sz w:val="28"/>
      <w:szCs w:val="28"/>
    </w:rPr>
  </w:style>
  <w:style w:type="character" w:customStyle="1" w:styleId="TytuZnak">
    <w:name w:val="Tytuł Znak"/>
    <w:basedOn w:val="Domylnaczcionkaakapitu"/>
    <w:link w:val="Tytu"/>
    <w:uiPriority w:val="10"/>
    <w:rsid w:val="001B6D57"/>
    <w:rPr>
      <w:rFonts w:ascii="Calibri Light" w:eastAsia="Calibri Light" w:hAnsi="Calibri Light" w:cs="Calibri Light"/>
      <w:sz w:val="28"/>
      <w:szCs w:val="28"/>
    </w:rPr>
  </w:style>
  <w:style w:type="paragraph" w:styleId="Akapitzlist">
    <w:name w:val="List Paragraph"/>
    <w:basedOn w:val="Normalny"/>
    <w:uiPriority w:val="1"/>
    <w:qFormat/>
    <w:rsid w:val="001B6D57"/>
    <w:pPr>
      <w:ind w:left="668" w:hanging="360"/>
    </w:pPr>
  </w:style>
  <w:style w:type="paragraph" w:customStyle="1" w:styleId="TableParagraph">
    <w:name w:val="Table Paragraph"/>
    <w:basedOn w:val="Normalny"/>
    <w:uiPriority w:val="1"/>
    <w:qFormat/>
    <w:rsid w:val="001B6D57"/>
  </w:style>
  <w:style w:type="character" w:styleId="Odwoaniedokomentarza">
    <w:name w:val="annotation reference"/>
    <w:basedOn w:val="Domylnaczcionkaakapitu"/>
    <w:uiPriority w:val="99"/>
    <w:semiHidden/>
    <w:unhideWhenUsed/>
    <w:rsid w:val="00145A71"/>
    <w:rPr>
      <w:sz w:val="16"/>
      <w:szCs w:val="16"/>
    </w:rPr>
  </w:style>
  <w:style w:type="paragraph" w:styleId="Tekstkomentarza">
    <w:name w:val="annotation text"/>
    <w:basedOn w:val="Normalny"/>
    <w:link w:val="TekstkomentarzaZnak"/>
    <w:uiPriority w:val="99"/>
    <w:unhideWhenUsed/>
    <w:rsid w:val="00145A71"/>
    <w:rPr>
      <w:sz w:val="20"/>
      <w:szCs w:val="20"/>
    </w:rPr>
  </w:style>
  <w:style w:type="character" w:customStyle="1" w:styleId="TekstkomentarzaZnak">
    <w:name w:val="Tekst komentarza Znak"/>
    <w:basedOn w:val="Domylnaczcionkaakapitu"/>
    <w:link w:val="Tekstkomentarza"/>
    <w:uiPriority w:val="99"/>
    <w:rsid w:val="00145A71"/>
    <w:rPr>
      <w:rFonts w:ascii="Calibri Light" w:eastAsia="Calibri Light" w:hAnsi="Calibri Light" w:cs="Calibri Light"/>
    </w:rPr>
  </w:style>
  <w:style w:type="paragraph" w:styleId="Tematkomentarza">
    <w:name w:val="annotation subject"/>
    <w:basedOn w:val="Tekstkomentarza"/>
    <w:next w:val="Tekstkomentarza"/>
    <w:link w:val="TematkomentarzaZnak"/>
    <w:uiPriority w:val="99"/>
    <w:semiHidden/>
    <w:unhideWhenUsed/>
    <w:rsid w:val="00145A71"/>
    <w:rPr>
      <w:b/>
      <w:bCs/>
    </w:rPr>
  </w:style>
  <w:style w:type="character" w:customStyle="1" w:styleId="TematkomentarzaZnak">
    <w:name w:val="Temat komentarza Znak"/>
    <w:basedOn w:val="TekstkomentarzaZnak"/>
    <w:link w:val="Tematkomentarza"/>
    <w:uiPriority w:val="99"/>
    <w:semiHidden/>
    <w:rsid w:val="00145A71"/>
    <w:rPr>
      <w:rFonts w:ascii="Calibri Light" w:eastAsia="Calibri Light" w:hAnsi="Calibri Light" w:cs="Calibri Ligh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95FC864D37D242BC24CA685DB811E6" ma:contentTypeVersion="2" ma:contentTypeDescription="Create a new document." ma:contentTypeScope="" ma:versionID="72982e3bcfe403db32e9a13fe73b1868">
  <xsd:schema xmlns:xsd="http://www.w3.org/2001/XMLSchema" xmlns:xs="http://www.w3.org/2001/XMLSchema" xmlns:p="http://schemas.microsoft.com/office/2006/metadata/properties" xmlns:ns2="d0605060-e6eb-44f8-9ce6-cd3d2565ba01" targetNamespace="http://schemas.microsoft.com/office/2006/metadata/properties" ma:root="true" ma:fieldsID="0fba6b1978f44d0660d144b0ed38cbd4" ns2:_="">
    <xsd:import namespace="d0605060-e6eb-44f8-9ce6-cd3d2565ba0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05060-e6eb-44f8-9ce6-cd3d2565ba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01CF00-4E46-4B32-8B64-8A9A144E75F8}">
  <ds:schemaRefs>
    <ds:schemaRef ds:uri="http://schemas.openxmlformats.org/officeDocument/2006/bibliography"/>
  </ds:schemaRefs>
</ds:datastoreItem>
</file>

<file path=customXml/itemProps2.xml><?xml version="1.0" encoding="utf-8"?>
<ds:datastoreItem xmlns:ds="http://schemas.openxmlformats.org/officeDocument/2006/customXml" ds:itemID="{DC77579D-C90C-406C-A344-3F4176EA05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686695-51DB-4992-99E9-58B9528CA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05060-e6eb-44f8-9ce6-cd3d2565ba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6F69C3-DA25-474C-A877-E7B91CC459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913</Words>
  <Characters>5479</Characters>
  <Application>Microsoft Office Word</Application>
  <DocSecurity>0</DocSecurity>
  <Lines>45</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KIC InnoEnergy Germany GmbH</Company>
  <LinksUpToDate>false</LinksUpToDate>
  <CharactersWithSpaces>6380</CharactersWithSpaces>
  <SharedDoc>false</SharedDoc>
  <HLinks>
    <vt:vector size="12" baseType="variant">
      <vt:variant>
        <vt:i4>5767233</vt:i4>
      </vt:variant>
      <vt:variant>
        <vt:i4>-1</vt:i4>
      </vt:variant>
      <vt:variant>
        <vt:i4>2049</vt:i4>
      </vt:variant>
      <vt:variant>
        <vt:i4>1</vt:i4>
      </vt:variant>
      <vt:variant>
        <vt:lpwstr>Footer_A-B_2</vt:lpwstr>
      </vt:variant>
      <vt:variant>
        <vt:lpwstr/>
      </vt:variant>
      <vt:variant>
        <vt:i4>2293868</vt:i4>
      </vt:variant>
      <vt:variant>
        <vt:i4>-1</vt:i4>
      </vt:variant>
      <vt:variant>
        <vt:i4>2051</vt:i4>
      </vt:variant>
      <vt:variant>
        <vt:i4>1</vt:i4>
      </vt:variant>
      <vt:variant>
        <vt:lpwstr>Header_A_1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Miguel Galdiz</dc:creator>
  <cp:lastModifiedBy>Wielęgowska-Niepostyn Alicja</cp:lastModifiedBy>
  <cp:revision>9</cp:revision>
  <cp:lastPrinted>2016-10-18T07:55:00Z</cp:lastPrinted>
  <dcterms:created xsi:type="dcterms:W3CDTF">2024-02-27T13:01:00Z</dcterms:created>
  <dcterms:modified xsi:type="dcterms:W3CDTF">2024-04-02T12:47:00Z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0x010100CE95FC864D37D242BC24CA685DB811E6</vt:lpwstr>
  </property>
</Properties>
</file>