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082C8C" w14:textId="14F06F02" w:rsidR="000F4CA6" w:rsidRPr="005A0549" w:rsidRDefault="00F909B6" w:rsidP="000F4CA6">
      <w:pPr>
        <w:tabs>
          <w:tab w:val="left" w:pos="3285"/>
        </w:tabs>
        <w:rPr>
          <w:rFonts w:ascii="Times New Roman" w:hAnsi="Times New Roman"/>
          <w:b/>
          <w:sz w:val="24"/>
        </w:rPr>
      </w:pPr>
      <w:r w:rsidRPr="005A0549">
        <w:rPr>
          <w:rFonts w:ascii="Times New Roman" w:hAnsi="Times New Roman"/>
          <w:b/>
          <w:sz w:val="24"/>
        </w:rPr>
        <w:t xml:space="preserve">Wymagania i specyfikacja </w:t>
      </w:r>
    </w:p>
    <w:p w14:paraId="1BE5DEEC" w14:textId="77777777" w:rsidR="00F909B6" w:rsidRPr="00F909B6" w:rsidRDefault="00F909B6" w:rsidP="00F909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F909B6">
        <w:rPr>
          <w:rFonts w:ascii="Times New Roman" w:eastAsia="Calibri" w:hAnsi="Times New Roman"/>
          <w:color w:val="000000"/>
          <w:sz w:val="24"/>
          <w:szCs w:val="24"/>
        </w:rPr>
        <w:t>Szczegółowy opis przedmiotu zamówienia:</w:t>
      </w:r>
    </w:p>
    <w:p w14:paraId="5CA5D22F" w14:textId="05633B93" w:rsidR="00F909B6" w:rsidRPr="00824135" w:rsidRDefault="00F909B6" w:rsidP="00824135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824135">
        <w:rPr>
          <w:rFonts w:ascii="Times New Roman" w:eastAsia="Calibri" w:hAnsi="Times New Roman"/>
          <w:color w:val="000000"/>
          <w:sz w:val="24"/>
          <w:szCs w:val="24"/>
        </w:rPr>
        <w:t>Pętla indukcyjna stanowiskowa stacjonarna (pod blatowa) – 2 szt.</w:t>
      </w:r>
    </w:p>
    <w:p w14:paraId="607D35BB" w14:textId="77777777" w:rsidR="00F909B6" w:rsidRPr="00F909B6" w:rsidRDefault="00F909B6" w:rsidP="00824135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F909B6">
        <w:rPr>
          <w:rFonts w:ascii="Times New Roman" w:eastAsia="Calibri" w:hAnsi="Times New Roman"/>
          <w:color w:val="000000"/>
          <w:sz w:val="24"/>
          <w:szCs w:val="24"/>
        </w:rPr>
        <w:t>dostawa, instalacja i kalibracja do normy PN EN 60118-4,</w:t>
      </w:r>
    </w:p>
    <w:p w14:paraId="3E832CE9" w14:textId="5FC94F29" w:rsidR="00F909B6" w:rsidRPr="00F909B6" w:rsidRDefault="00F909B6" w:rsidP="00824135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mikrofon,</w:t>
      </w:r>
    </w:p>
    <w:p w14:paraId="495EC8A7" w14:textId="77777777" w:rsidR="00F909B6" w:rsidRPr="00F909B6" w:rsidRDefault="00F909B6" w:rsidP="00824135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F909B6">
        <w:rPr>
          <w:rFonts w:ascii="Times New Roman" w:eastAsia="Calibri" w:hAnsi="Times New Roman"/>
          <w:color w:val="000000"/>
          <w:sz w:val="24"/>
          <w:szCs w:val="24"/>
        </w:rPr>
        <w:t>okablowanie instalowane pod blatem (przewód lub mata),</w:t>
      </w:r>
    </w:p>
    <w:p w14:paraId="5444789F" w14:textId="77777777" w:rsidR="00F909B6" w:rsidRPr="00F909B6" w:rsidRDefault="00F909B6" w:rsidP="00824135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F909B6">
        <w:rPr>
          <w:rFonts w:ascii="Times New Roman" w:eastAsia="Calibri" w:hAnsi="Times New Roman"/>
          <w:color w:val="000000"/>
          <w:sz w:val="24"/>
          <w:szCs w:val="24"/>
        </w:rPr>
        <w:t>oznakowanie symbolem zgodnym z normą,</w:t>
      </w:r>
    </w:p>
    <w:p w14:paraId="61D45050" w14:textId="77777777" w:rsidR="00F909B6" w:rsidRPr="00F909B6" w:rsidRDefault="00F909B6" w:rsidP="00824135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F909B6">
        <w:rPr>
          <w:rFonts w:ascii="Times New Roman" w:eastAsia="Calibri" w:hAnsi="Times New Roman"/>
          <w:color w:val="000000"/>
          <w:sz w:val="24"/>
          <w:szCs w:val="24"/>
        </w:rPr>
        <w:t>wzmacniacz pętli indukcyjnej w klasie D,</w:t>
      </w:r>
    </w:p>
    <w:p w14:paraId="291A0420" w14:textId="77777777" w:rsidR="00F909B6" w:rsidRPr="00F909B6" w:rsidRDefault="00F909B6" w:rsidP="00824135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F909B6">
        <w:rPr>
          <w:rFonts w:ascii="Times New Roman" w:eastAsia="Calibri" w:hAnsi="Times New Roman"/>
          <w:color w:val="000000"/>
          <w:sz w:val="24"/>
          <w:szCs w:val="24"/>
        </w:rPr>
        <w:t>maksymalny prąd wyjściowy ≥ 2 A RMS,</w:t>
      </w:r>
    </w:p>
    <w:p w14:paraId="661D0B27" w14:textId="77777777" w:rsidR="00F909B6" w:rsidRPr="00F909B6" w:rsidRDefault="00F909B6" w:rsidP="00824135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F909B6">
        <w:rPr>
          <w:rFonts w:ascii="Times New Roman" w:eastAsia="Calibri" w:hAnsi="Times New Roman"/>
          <w:color w:val="000000"/>
          <w:sz w:val="24"/>
          <w:szCs w:val="24"/>
        </w:rPr>
        <w:t>maksymalne napięcie wyjściowe ≥ 6 A RMS,</w:t>
      </w:r>
    </w:p>
    <w:p w14:paraId="0341B49C" w14:textId="77777777" w:rsidR="00F909B6" w:rsidRPr="00F909B6" w:rsidRDefault="00F909B6" w:rsidP="00824135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F909B6">
        <w:rPr>
          <w:rFonts w:ascii="Times New Roman" w:eastAsia="Calibri" w:hAnsi="Times New Roman"/>
          <w:color w:val="000000"/>
          <w:sz w:val="24"/>
          <w:szCs w:val="24"/>
        </w:rPr>
        <w:t xml:space="preserve">pasmo przenoszenia ≥ 100-9000 </w:t>
      </w:r>
      <w:proofErr w:type="spellStart"/>
      <w:r w:rsidRPr="00F909B6">
        <w:rPr>
          <w:rFonts w:ascii="Times New Roman" w:eastAsia="Calibri" w:hAnsi="Times New Roman"/>
          <w:color w:val="000000"/>
          <w:sz w:val="24"/>
          <w:szCs w:val="24"/>
        </w:rPr>
        <w:t>Hz</w:t>
      </w:r>
      <w:proofErr w:type="spellEnd"/>
      <w:r w:rsidRPr="00F909B6">
        <w:rPr>
          <w:rFonts w:ascii="Times New Roman" w:eastAsia="Calibri" w:hAnsi="Times New Roman"/>
          <w:color w:val="000000"/>
          <w:sz w:val="24"/>
          <w:szCs w:val="24"/>
        </w:rPr>
        <w:t>,</w:t>
      </w:r>
    </w:p>
    <w:p w14:paraId="0ABA6532" w14:textId="77777777" w:rsidR="00F909B6" w:rsidRPr="00F909B6" w:rsidRDefault="00F909B6" w:rsidP="00824135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F909B6">
        <w:rPr>
          <w:rFonts w:ascii="Times New Roman" w:eastAsia="Calibri" w:hAnsi="Times New Roman"/>
          <w:color w:val="000000"/>
          <w:sz w:val="24"/>
          <w:szCs w:val="24"/>
        </w:rPr>
        <w:t xml:space="preserve">zgodność z normą IEC 60118-4, </w:t>
      </w:r>
    </w:p>
    <w:p w14:paraId="2BC8DC33" w14:textId="77777777" w:rsidR="00F909B6" w:rsidRPr="00F909B6" w:rsidRDefault="00F909B6" w:rsidP="00824135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F909B6">
        <w:rPr>
          <w:rFonts w:ascii="Times New Roman" w:eastAsia="Calibri" w:hAnsi="Times New Roman"/>
          <w:color w:val="000000"/>
          <w:sz w:val="24"/>
          <w:szCs w:val="24"/>
        </w:rPr>
        <w:t>wejścia mikrofonowe, liniowe,</w:t>
      </w:r>
    </w:p>
    <w:p w14:paraId="53B4615D" w14:textId="77777777" w:rsidR="00F909B6" w:rsidRPr="00F909B6" w:rsidRDefault="00F909B6" w:rsidP="00824135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F909B6">
        <w:rPr>
          <w:rFonts w:ascii="Times New Roman" w:eastAsia="Calibri" w:hAnsi="Times New Roman"/>
          <w:color w:val="000000"/>
          <w:sz w:val="24"/>
          <w:szCs w:val="24"/>
        </w:rPr>
        <w:t>złącze wejściowe Jack 3,5 mm, terminal Phoenix,</w:t>
      </w:r>
    </w:p>
    <w:p w14:paraId="4A081D5D" w14:textId="77777777" w:rsidR="00F909B6" w:rsidRPr="00F909B6" w:rsidRDefault="00F909B6" w:rsidP="00824135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F909B6">
        <w:rPr>
          <w:rFonts w:ascii="Times New Roman" w:eastAsia="Calibri" w:hAnsi="Times New Roman"/>
          <w:color w:val="000000"/>
          <w:sz w:val="24"/>
          <w:szCs w:val="24"/>
        </w:rPr>
        <w:t>masa całkowita ≤ 0,85 kg.</w:t>
      </w:r>
    </w:p>
    <w:p w14:paraId="23DFA96C" w14:textId="046D6EE5" w:rsidR="00F909B6" w:rsidRPr="00824135" w:rsidRDefault="00F909B6" w:rsidP="00824135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824135">
        <w:rPr>
          <w:rFonts w:ascii="Times New Roman" w:eastAsia="Calibri" w:hAnsi="Times New Roman"/>
          <w:color w:val="000000"/>
          <w:sz w:val="24"/>
          <w:szCs w:val="24"/>
        </w:rPr>
        <w:t>Pętla indukcyjna powierzchniowa –</w:t>
      </w:r>
      <w:r w:rsidR="005A0549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824135">
        <w:rPr>
          <w:rFonts w:ascii="Times New Roman" w:eastAsia="Calibri" w:hAnsi="Times New Roman"/>
          <w:color w:val="000000"/>
          <w:sz w:val="24"/>
          <w:szCs w:val="24"/>
        </w:rPr>
        <w:t>obwodowa – 2 szt. wraz z bazą mikrofonową dla dwóch pomieszczeń o powierzchni około 30 m</w:t>
      </w:r>
      <w:r w:rsidRPr="00824135">
        <w:rPr>
          <w:rFonts w:ascii="Times New Roman" w:eastAsia="Calibri" w:hAnsi="Times New Roman"/>
          <w:color w:val="000000"/>
          <w:sz w:val="24"/>
          <w:szCs w:val="24"/>
          <w:vertAlign w:val="superscript"/>
        </w:rPr>
        <w:t>2</w:t>
      </w:r>
      <w:r w:rsidRPr="00824135">
        <w:rPr>
          <w:rFonts w:ascii="Times New Roman" w:eastAsia="Calibri" w:hAnsi="Times New Roman"/>
          <w:color w:val="000000"/>
          <w:sz w:val="24"/>
          <w:szCs w:val="24"/>
        </w:rPr>
        <w:t xml:space="preserve"> każde.</w:t>
      </w:r>
    </w:p>
    <w:p w14:paraId="5673636F" w14:textId="77777777" w:rsidR="00F909B6" w:rsidRPr="00F909B6" w:rsidRDefault="00F909B6" w:rsidP="00824135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F909B6">
        <w:rPr>
          <w:rFonts w:ascii="Times New Roman" w:eastAsia="Calibri" w:hAnsi="Times New Roman"/>
          <w:color w:val="000000"/>
          <w:sz w:val="24"/>
          <w:szCs w:val="24"/>
        </w:rPr>
        <w:t xml:space="preserve">zgodność z normą PN EN 60118-4, </w:t>
      </w:r>
    </w:p>
    <w:p w14:paraId="23BA72F1" w14:textId="77777777" w:rsidR="00F909B6" w:rsidRPr="00F909B6" w:rsidRDefault="00F909B6" w:rsidP="00824135">
      <w:pPr>
        <w:numPr>
          <w:ilvl w:val="0"/>
          <w:numId w:val="31"/>
        </w:numPr>
        <w:spacing w:line="240" w:lineRule="auto"/>
        <w:contextualSpacing/>
        <w:rPr>
          <w:rFonts w:ascii="Times New Roman" w:eastAsia="Calibri" w:hAnsi="Times New Roman"/>
          <w:color w:val="000000"/>
          <w:sz w:val="24"/>
          <w:szCs w:val="24"/>
        </w:rPr>
      </w:pPr>
      <w:r w:rsidRPr="00F909B6">
        <w:rPr>
          <w:rFonts w:ascii="Times New Roman" w:eastAsia="Calibri" w:hAnsi="Times New Roman"/>
          <w:color w:val="000000"/>
          <w:sz w:val="24"/>
          <w:szCs w:val="24"/>
        </w:rPr>
        <w:t>maksymalny prąd wyjściowy ≥ 5A RMS,</w:t>
      </w:r>
    </w:p>
    <w:p w14:paraId="42D84451" w14:textId="77777777" w:rsidR="00F909B6" w:rsidRPr="00F909B6" w:rsidRDefault="00F909B6" w:rsidP="00824135">
      <w:pPr>
        <w:numPr>
          <w:ilvl w:val="0"/>
          <w:numId w:val="31"/>
        </w:numPr>
        <w:spacing w:line="240" w:lineRule="auto"/>
        <w:contextualSpacing/>
        <w:rPr>
          <w:rFonts w:ascii="Times New Roman" w:eastAsia="Calibri" w:hAnsi="Times New Roman"/>
          <w:color w:val="000000"/>
          <w:sz w:val="24"/>
          <w:szCs w:val="24"/>
        </w:rPr>
      </w:pPr>
      <w:r w:rsidRPr="00F909B6">
        <w:rPr>
          <w:rFonts w:ascii="Times New Roman" w:eastAsia="Calibri" w:hAnsi="Times New Roman"/>
          <w:color w:val="000000"/>
          <w:sz w:val="24"/>
          <w:szCs w:val="24"/>
        </w:rPr>
        <w:t>napięcie na wyjściu pętli ≥ 34 V RMS,</w:t>
      </w:r>
    </w:p>
    <w:p w14:paraId="7DC1BD2D" w14:textId="77777777" w:rsidR="00F909B6" w:rsidRPr="00F909B6" w:rsidRDefault="00F909B6" w:rsidP="00824135">
      <w:pPr>
        <w:numPr>
          <w:ilvl w:val="0"/>
          <w:numId w:val="31"/>
        </w:numPr>
        <w:spacing w:line="240" w:lineRule="auto"/>
        <w:contextualSpacing/>
        <w:rPr>
          <w:rFonts w:ascii="Times New Roman" w:eastAsia="Calibri" w:hAnsi="Times New Roman"/>
          <w:color w:val="000000"/>
          <w:sz w:val="24"/>
          <w:szCs w:val="24"/>
        </w:rPr>
      </w:pPr>
      <w:r w:rsidRPr="00F909B6">
        <w:rPr>
          <w:rFonts w:ascii="Times New Roman" w:eastAsia="Calibri" w:hAnsi="Times New Roman"/>
          <w:color w:val="000000"/>
          <w:sz w:val="24"/>
          <w:szCs w:val="24"/>
        </w:rPr>
        <w:t xml:space="preserve">pasmo przenoszenia ≥ 80-9500 </w:t>
      </w:r>
      <w:proofErr w:type="spellStart"/>
      <w:r w:rsidRPr="00F909B6">
        <w:rPr>
          <w:rFonts w:ascii="Times New Roman" w:eastAsia="Calibri" w:hAnsi="Times New Roman"/>
          <w:color w:val="000000"/>
          <w:sz w:val="24"/>
          <w:szCs w:val="24"/>
        </w:rPr>
        <w:t>Hz</w:t>
      </w:r>
      <w:proofErr w:type="spellEnd"/>
    </w:p>
    <w:p w14:paraId="0C835AD1" w14:textId="37878424" w:rsidR="00F909B6" w:rsidRPr="00F909B6" w:rsidRDefault="00F909B6" w:rsidP="00824135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F909B6">
        <w:rPr>
          <w:rFonts w:ascii="Times New Roman" w:eastAsia="Calibri" w:hAnsi="Times New Roman"/>
          <w:color w:val="000000"/>
          <w:sz w:val="24"/>
          <w:szCs w:val="24"/>
        </w:rPr>
        <w:t xml:space="preserve">złącze </w:t>
      </w:r>
      <w:bookmarkStart w:id="0" w:name="_GoBack"/>
      <w:bookmarkEnd w:id="0"/>
      <w:proofErr w:type="spellStart"/>
      <w:r w:rsidRPr="00F909B6">
        <w:rPr>
          <w:rFonts w:ascii="Times New Roman" w:eastAsia="Calibri" w:hAnsi="Times New Roman"/>
          <w:color w:val="000000"/>
          <w:sz w:val="24"/>
          <w:szCs w:val="24"/>
        </w:rPr>
        <w:t>phoenix</w:t>
      </w:r>
      <w:proofErr w:type="spellEnd"/>
      <w:r w:rsidRPr="00F909B6">
        <w:rPr>
          <w:rFonts w:ascii="Times New Roman" w:eastAsia="Calibri" w:hAnsi="Times New Roman"/>
          <w:color w:val="000000"/>
          <w:sz w:val="24"/>
          <w:szCs w:val="24"/>
        </w:rPr>
        <w:t xml:space="preserve">, </w:t>
      </w:r>
    </w:p>
    <w:p w14:paraId="263FB3F5" w14:textId="77777777" w:rsidR="00F909B6" w:rsidRPr="00F909B6" w:rsidRDefault="00F909B6" w:rsidP="00824135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F909B6">
        <w:rPr>
          <w:rFonts w:ascii="Times New Roman" w:eastAsia="Calibri" w:hAnsi="Times New Roman"/>
          <w:color w:val="000000"/>
          <w:sz w:val="24"/>
          <w:szCs w:val="24"/>
        </w:rPr>
        <w:t>wejścia mikrofonowe, liniowe, 100V,</w:t>
      </w:r>
    </w:p>
    <w:p w14:paraId="74E78209" w14:textId="77777777" w:rsidR="00F909B6" w:rsidRPr="00F909B6" w:rsidRDefault="00F909B6" w:rsidP="00824135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F909B6">
        <w:rPr>
          <w:rFonts w:ascii="Times New Roman" w:eastAsia="Calibri" w:hAnsi="Times New Roman"/>
          <w:color w:val="000000"/>
          <w:sz w:val="24"/>
          <w:szCs w:val="24"/>
        </w:rPr>
        <w:t>układ okablowania spełniający normy PN EN 60118-4,</w:t>
      </w:r>
    </w:p>
    <w:p w14:paraId="707490C6" w14:textId="77777777" w:rsidR="00F909B6" w:rsidRPr="00F909B6" w:rsidRDefault="00F909B6" w:rsidP="00824135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F909B6">
        <w:rPr>
          <w:rFonts w:ascii="Times New Roman" w:eastAsia="Calibri" w:hAnsi="Times New Roman"/>
          <w:color w:val="000000"/>
          <w:sz w:val="24"/>
          <w:szCs w:val="24"/>
        </w:rPr>
        <w:t>instalacja wzmacniacza, uruchomienie i kalibracja do normy  PN EN 60118-4,</w:t>
      </w:r>
    </w:p>
    <w:p w14:paraId="42E2DF5C" w14:textId="77777777" w:rsidR="00F909B6" w:rsidRPr="00F909B6" w:rsidRDefault="00F909B6" w:rsidP="00824135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F909B6">
        <w:rPr>
          <w:rFonts w:ascii="Times New Roman" w:eastAsia="Calibri" w:hAnsi="Times New Roman"/>
          <w:color w:val="000000"/>
          <w:sz w:val="24"/>
          <w:szCs w:val="24"/>
        </w:rPr>
        <w:t>pomiary urządzeniem posiadającym świadectwo wzorcowania,</w:t>
      </w:r>
    </w:p>
    <w:p w14:paraId="031D643A" w14:textId="10BB29CA" w:rsidR="005A0549" w:rsidRPr="005A0549" w:rsidRDefault="00F909B6" w:rsidP="005A0549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F909B6">
        <w:rPr>
          <w:rFonts w:ascii="Times New Roman" w:eastAsia="Calibri" w:hAnsi="Times New Roman"/>
          <w:color w:val="000000"/>
          <w:sz w:val="24"/>
          <w:szCs w:val="24"/>
        </w:rPr>
        <w:t>gwarancja na urządzenie co najmniej 2 lata,</w:t>
      </w:r>
    </w:p>
    <w:p w14:paraId="31AB1874" w14:textId="77777777" w:rsidR="005A0549" w:rsidRPr="00824135" w:rsidRDefault="005A0549" w:rsidP="005A0549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824135">
        <w:rPr>
          <w:rFonts w:ascii="Times New Roman" w:eastAsia="Calibri" w:hAnsi="Times New Roman"/>
          <w:color w:val="000000"/>
          <w:sz w:val="24"/>
          <w:szCs w:val="24"/>
        </w:rPr>
        <w:t>Pętla indukcyjna stanowiskowa przenośna (walizkowa) – 6 szt.</w:t>
      </w:r>
    </w:p>
    <w:p w14:paraId="0BD5F867" w14:textId="77777777" w:rsidR="005A0549" w:rsidRPr="00F909B6" w:rsidRDefault="005A0549" w:rsidP="005A0549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F909B6">
        <w:rPr>
          <w:rFonts w:ascii="Times New Roman" w:eastAsia="Calibri" w:hAnsi="Times New Roman"/>
          <w:color w:val="000000"/>
          <w:sz w:val="24"/>
          <w:szCs w:val="24"/>
        </w:rPr>
        <w:t xml:space="preserve">zgodność z normą PN EN 60118-4, </w:t>
      </w:r>
    </w:p>
    <w:p w14:paraId="2AA74E3A" w14:textId="77777777" w:rsidR="005A0549" w:rsidRPr="00F909B6" w:rsidRDefault="005A0549" w:rsidP="005A0549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F909B6">
        <w:rPr>
          <w:rFonts w:ascii="Times New Roman" w:eastAsia="Calibri" w:hAnsi="Times New Roman"/>
          <w:color w:val="000000"/>
          <w:sz w:val="24"/>
          <w:szCs w:val="24"/>
        </w:rPr>
        <w:t>wzmacniacz pętli indukcyjnej w klasie D,</w:t>
      </w:r>
    </w:p>
    <w:p w14:paraId="6F70D37F" w14:textId="77777777" w:rsidR="005A0549" w:rsidRPr="00F909B6" w:rsidRDefault="005A0549" w:rsidP="005A0549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F909B6">
        <w:rPr>
          <w:rFonts w:ascii="Times New Roman" w:eastAsia="Calibri" w:hAnsi="Times New Roman"/>
          <w:color w:val="000000"/>
          <w:sz w:val="24"/>
          <w:szCs w:val="24"/>
        </w:rPr>
        <w:t>wbudowany mikrofon,</w:t>
      </w:r>
    </w:p>
    <w:p w14:paraId="566E9377" w14:textId="77777777" w:rsidR="005A0549" w:rsidRPr="00F909B6" w:rsidRDefault="005A0549" w:rsidP="005A0549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F909B6">
        <w:rPr>
          <w:rFonts w:ascii="Times New Roman" w:eastAsia="Calibri" w:hAnsi="Times New Roman"/>
          <w:color w:val="000000"/>
          <w:sz w:val="24"/>
          <w:szCs w:val="24"/>
        </w:rPr>
        <w:t>podłączany mikrofon zewnętrzny,</w:t>
      </w:r>
    </w:p>
    <w:p w14:paraId="6B1C1E76" w14:textId="77777777" w:rsidR="005A0549" w:rsidRPr="00F909B6" w:rsidRDefault="005A0549" w:rsidP="005A0549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F909B6">
        <w:rPr>
          <w:rFonts w:ascii="Times New Roman" w:eastAsia="Calibri" w:hAnsi="Times New Roman"/>
          <w:color w:val="000000"/>
          <w:sz w:val="24"/>
          <w:szCs w:val="24"/>
        </w:rPr>
        <w:t xml:space="preserve">łatwa do dezynfekcji słuchawka jednouszna dla osób niekorzystających z aparatów słuchowych, </w:t>
      </w:r>
    </w:p>
    <w:p w14:paraId="30C973BA" w14:textId="77777777" w:rsidR="005A0549" w:rsidRPr="00F909B6" w:rsidRDefault="005A0549" w:rsidP="005A0549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F909B6">
        <w:rPr>
          <w:rFonts w:ascii="Times New Roman" w:eastAsia="Calibri" w:hAnsi="Times New Roman"/>
          <w:color w:val="000000"/>
          <w:sz w:val="24"/>
          <w:szCs w:val="24"/>
        </w:rPr>
        <w:t xml:space="preserve">zasilanie </w:t>
      </w:r>
      <w:r>
        <w:rPr>
          <w:rFonts w:ascii="Times New Roman" w:eastAsia="Calibri" w:hAnsi="Times New Roman"/>
          <w:color w:val="000000"/>
          <w:sz w:val="24"/>
          <w:szCs w:val="24"/>
        </w:rPr>
        <w:t>Phantom</w:t>
      </w:r>
      <w:r w:rsidRPr="00F909B6">
        <w:rPr>
          <w:rFonts w:ascii="Times New Roman" w:eastAsia="Calibri" w:hAnsi="Times New Roman"/>
          <w:color w:val="000000"/>
          <w:sz w:val="24"/>
          <w:szCs w:val="24"/>
        </w:rPr>
        <w:t>,</w:t>
      </w:r>
    </w:p>
    <w:p w14:paraId="3B697EE9" w14:textId="77777777" w:rsidR="005A0549" w:rsidRPr="00F909B6" w:rsidRDefault="005A0549" w:rsidP="005A0549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F909B6">
        <w:rPr>
          <w:rFonts w:ascii="Times New Roman" w:eastAsia="Calibri" w:hAnsi="Times New Roman"/>
          <w:color w:val="000000"/>
          <w:sz w:val="24"/>
          <w:szCs w:val="24"/>
        </w:rPr>
        <w:t>prąd wyjściowy min. 3,5A RMS,</w:t>
      </w:r>
    </w:p>
    <w:p w14:paraId="59369067" w14:textId="77777777" w:rsidR="005A0549" w:rsidRPr="00F909B6" w:rsidRDefault="005A0549" w:rsidP="005A0549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F909B6">
        <w:rPr>
          <w:rFonts w:ascii="Times New Roman" w:eastAsia="Calibri" w:hAnsi="Times New Roman"/>
          <w:color w:val="000000"/>
          <w:sz w:val="24"/>
          <w:szCs w:val="24"/>
        </w:rPr>
        <w:t>wbudowany akumulator,</w:t>
      </w:r>
    </w:p>
    <w:p w14:paraId="1D4E9E81" w14:textId="77777777" w:rsidR="005A0549" w:rsidRPr="00F909B6" w:rsidRDefault="005A0549" w:rsidP="005A0549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F909B6">
        <w:rPr>
          <w:rFonts w:ascii="Times New Roman" w:eastAsia="Calibri" w:hAnsi="Times New Roman"/>
          <w:color w:val="000000"/>
          <w:sz w:val="24"/>
          <w:szCs w:val="24"/>
        </w:rPr>
        <w:t>ładowanie akumulatorów przez złącze micro-USB,</w:t>
      </w:r>
    </w:p>
    <w:p w14:paraId="6C238198" w14:textId="77777777" w:rsidR="005A0549" w:rsidRPr="00F909B6" w:rsidRDefault="005A0549" w:rsidP="005A0549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F909B6">
        <w:rPr>
          <w:rFonts w:ascii="Times New Roman" w:eastAsia="Calibri" w:hAnsi="Times New Roman"/>
          <w:color w:val="000000"/>
          <w:sz w:val="24"/>
          <w:szCs w:val="24"/>
        </w:rPr>
        <w:t xml:space="preserve">diody wskazujące fakt włączenia pętli oraz sygnalizujące niski poziom naładowania akumulatora, </w:t>
      </w:r>
    </w:p>
    <w:p w14:paraId="292F900B" w14:textId="77777777" w:rsidR="005A0549" w:rsidRPr="00F909B6" w:rsidRDefault="005A0549" w:rsidP="005A0549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F909B6">
        <w:rPr>
          <w:rFonts w:ascii="Times New Roman" w:eastAsia="Calibri" w:hAnsi="Times New Roman"/>
          <w:color w:val="000000"/>
          <w:sz w:val="24"/>
          <w:szCs w:val="24"/>
        </w:rPr>
        <w:t>możliwość zakotwiczenia na stałe.</w:t>
      </w:r>
    </w:p>
    <w:p w14:paraId="4D08BB50" w14:textId="2EFE795F" w:rsidR="00F909B6" w:rsidRDefault="00824135" w:rsidP="005A0549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80997">
        <w:rPr>
          <w:rFonts w:ascii="Times New Roman" w:eastAsia="Calibri" w:hAnsi="Times New Roman"/>
          <w:color w:val="000000"/>
          <w:sz w:val="24"/>
          <w:szCs w:val="24"/>
        </w:rPr>
        <w:t>Wykonanie usługi doradczej w zakresie dostępności komunikacyjno-</w:t>
      </w:r>
      <w:r w:rsidR="00C80997">
        <w:rPr>
          <w:rFonts w:ascii="Times New Roman" w:eastAsia="Calibri" w:hAnsi="Times New Roman"/>
          <w:color w:val="000000"/>
          <w:sz w:val="24"/>
          <w:szCs w:val="24"/>
        </w:rPr>
        <w:t>informacyjnej w </w:t>
      </w:r>
      <w:r w:rsidRPr="00C80997">
        <w:rPr>
          <w:rFonts w:ascii="Times New Roman" w:eastAsia="Calibri" w:hAnsi="Times New Roman"/>
          <w:color w:val="000000"/>
          <w:sz w:val="24"/>
          <w:szCs w:val="24"/>
        </w:rPr>
        <w:t>Urzędzie Gminy Gręboszów</w:t>
      </w:r>
      <w:r w:rsidR="005A0549">
        <w:rPr>
          <w:rFonts w:ascii="Times New Roman" w:eastAsia="Calibri" w:hAnsi="Times New Roman"/>
          <w:color w:val="000000"/>
          <w:sz w:val="24"/>
          <w:szCs w:val="24"/>
        </w:rPr>
        <w:t xml:space="preserve"> (</w:t>
      </w:r>
      <w:r w:rsidR="00C80997">
        <w:rPr>
          <w:rFonts w:ascii="Times New Roman" w:eastAsia="Calibri" w:hAnsi="Times New Roman"/>
          <w:color w:val="000000"/>
          <w:sz w:val="24"/>
          <w:szCs w:val="24"/>
        </w:rPr>
        <w:t>Gręboszów 144</w:t>
      </w:r>
      <w:r w:rsidR="005A0549">
        <w:rPr>
          <w:rFonts w:ascii="Times New Roman" w:eastAsia="Calibri" w:hAnsi="Times New Roman"/>
          <w:color w:val="000000"/>
          <w:sz w:val="24"/>
          <w:szCs w:val="24"/>
        </w:rPr>
        <w:t>, 33-260 Gręboszów)</w:t>
      </w:r>
      <w:r w:rsidRPr="00C80997">
        <w:rPr>
          <w:rFonts w:ascii="Times New Roman" w:eastAsia="Calibri" w:hAnsi="Times New Roman"/>
          <w:color w:val="000000"/>
          <w:sz w:val="24"/>
          <w:szCs w:val="24"/>
        </w:rPr>
        <w:t>, Gminnym Ośrodku Pomocy Społecznej w Gręboszowie</w:t>
      </w:r>
      <w:r w:rsidR="005A0549">
        <w:rPr>
          <w:rFonts w:ascii="Times New Roman" w:eastAsia="Calibri" w:hAnsi="Times New Roman"/>
          <w:color w:val="000000"/>
          <w:sz w:val="24"/>
          <w:szCs w:val="24"/>
        </w:rPr>
        <w:t xml:space="preserve"> (Gręboszów 137</w:t>
      </w:r>
      <w:r w:rsidR="005A0549" w:rsidRPr="005A0549">
        <w:rPr>
          <w:rFonts w:ascii="Times New Roman" w:eastAsia="Calibri" w:hAnsi="Times New Roman"/>
          <w:color w:val="000000"/>
          <w:sz w:val="24"/>
          <w:szCs w:val="24"/>
        </w:rPr>
        <w:t>, 33-260 Gręboszów)</w:t>
      </w:r>
      <w:r w:rsidR="005A0549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80997">
        <w:rPr>
          <w:rFonts w:ascii="Times New Roman" w:eastAsia="Calibri" w:hAnsi="Times New Roman"/>
          <w:color w:val="000000"/>
          <w:sz w:val="24"/>
          <w:szCs w:val="24"/>
        </w:rPr>
        <w:t xml:space="preserve">oraz Klubie "Senior+" </w:t>
      </w:r>
      <w:r w:rsidR="005A0549">
        <w:rPr>
          <w:rFonts w:ascii="Times New Roman" w:eastAsia="Calibri" w:hAnsi="Times New Roman"/>
          <w:color w:val="000000"/>
          <w:sz w:val="24"/>
          <w:szCs w:val="24"/>
        </w:rPr>
        <w:t>(</w:t>
      </w:r>
      <w:r w:rsidR="00613B84">
        <w:rPr>
          <w:rFonts w:ascii="Times New Roman" w:eastAsia="Calibri" w:hAnsi="Times New Roman"/>
          <w:color w:val="000000"/>
          <w:sz w:val="24"/>
          <w:szCs w:val="24"/>
        </w:rPr>
        <w:t>Hubenice 2</w:t>
      </w:r>
      <w:r w:rsidR="005A0549">
        <w:rPr>
          <w:rFonts w:ascii="Times New Roman" w:eastAsia="Calibri" w:hAnsi="Times New Roman"/>
          <w:color w:val="000000"/>
          <w:sz w:val="24"/>
          <w:szCs w:val="24"/>
        </w:rPr>
        <w:t>, 33-260 Gręboszów)</w:t>
      </w:r>
      <w:r w:rsidRPr="00C80997">
        <w:rPr>
          <w:rFonts w:ascii="Times New Roman" w:eastAsia="Calibri" w:hAnsi="Times New Roman"/>
          <w:color w:val="000000"/>
          <w:sz w:val="24"/>
          <w:szCs w:val="24"/>
        </w:rPr>
        <w:t xml:space="preserve">.  </w:t>
      </w:r>
    </w:p>
    <w:p w14:paraId="68849793" w14:textId="4B29AFF4" w:rsidR="005A0549" w:rsidRPr="005A0549" w:rsidRDefault="005A0549" w:rsidP="005A0549">
      <w:pPr>
        <w:pStyle w:val="Akapitzlist"/>
        <w:numPr>
          <w:ilvl w:val="0"/>
          <w:numId w:val="28"/>
        </w:numPr>
        <w:rPr>
          <w:rFonts w:ascii="Times New Roman" w:eastAsia="Calibri" w:hAnsi="Times New Roman"/>
          <w:color w:val="000000"/>
          <w:sz w:val="24"/>
          <w:szCs w:val="24"/>
        </w:rPr>
      </w:pPr>
      <w:r w:rsidRPr="005A0549">
        <w:rPr>
          <w:rFonts w:ascii="Times New Roman" w:eastAsia="Calibri" w:hAnsi="Times New Roman"/>
          <w:color w:val="000000"/>
          <w:sz w:val="24"/>
          <w:szCs w:val="24"/>
        </w:rPr>
        <w:t>Przeprowadzenie szkolenia dla pracowników z zakresu obsługi pętli.</w:t>
      </w:r>
    </w:p>
    <w:sectPr w:rsidR="005A0549" w:rsidRPr="005A0549" w:rsidSect="00F909B6">
      <w:headerReference w:type="first" r:id="rId12"/>
      <w:footerReference w:type="first" r:id="rId13"/>
      <w:type w:val="continuous"/>
      <w:pgSz w:w="11906" w:h="16838"/>
      <w:pgMar w:top="1433" w:right="1418" w:bottom="1418" w:left="1418" w:header="0" w:footer="283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F6F7D1" w14:textId="77777777" w:rsidR="00C04C69" w:rsidRDefault="00C04C69">
      <w:pPr>
        <w:spacing w:after="0" w:line="240" w:lineRule="auto"/>
      </w:pPr>
      <w:r>
        <w:separator/>
      </w:r>
    </w:p>
  </w:endnote>
  <w:endnote w:type="continuationSeparator" w:id="0">
    <w:p w14:paraId="4BA6532A" w14:textId="77777777" w:rsidR="00C04C69" w:rsidRDefault="00C04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DD768F" w14:textId="7D11BFA6" w:rsidR="0079581E" w:rsidRPr="009A1E32" w:rsidRDefault="009A1E32" w:rsidP="009A1E32">
    <w:pPr>
      <w:tabs>
        <w:tab w:val="center" w:pos="4536"/>
        <w:tab w:val="right" w:pos="9072"/>
      </w:tabs>
      <w:spacing w:after="0" w:line="240" w:lineRule="auto"/>
      <w:rPr>
        <w:rFonts w:eastAsia="Calibri"/>
        <w:color w:val="FF0000"/>
      </w:rPr>
    </w:pPr>
    <w:bookmarkStart w:id="1" w:name="_Hlk112365034"/>
    <w:bookmarkStart w:id="2" w:name="_Hlk112365033"/>
    <w:bookmarkStart w:id="3" w:name="_Hlk112363067"/>
    <w:bookmarkStart w:id="4" w:name="_Hlk112363066"/>
    <w:r>
      <w:rPr>
        <w:noProof/>
        <w:lang w:eastAsia="pl-PL"/>
      </w:rPr>
      <w:drawing>
        <wp:inline distT="0" distB="0" distL="0" distR="0" wp14:anchorId="0244F188" wp14:editId="3A10258E">
          <wp:extent cx="1704975" cy="569470"/>
          <wp:effectExtent l="0" t="0" r="0" b="2540"/>
          <wp:docPr id="57" name="Obraz 57" descr="Logo Państwowego Funduszu Rehabilitacji Osób Niepełnosprawnych">
            <a:extLst xmlns:a="http://schemas.openxmlformats.org/drawingml/2006/main">
              <a:ext uri="{C183D7F6-B498-43B3-948B-1728B52AA6E4}">
                <adec:decorative xmlns:adec="http://schemas.microsoft.com/office/drawing/2017/decorative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400" cy="56994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End w:id="1"/>
    <w:bookmarkEnd w:id="2"/>
    <w:bookmarkEnd w:id="3"/>
    <w:bookmarkEnd w:id="4"/>
    <w:r w:rsidR="00325AC1">
      <w:rPr>
        <w:rFonts w:eastAsia="Calibri"/>
        <w:noProof/>
        <w:color w:val="FF0000"/>
        <w:lang w:eastAsia="pl-PL"/>
      </w:rPr>
      <w:drawing>
        <wp:inline distT="0" distB="0" distL="0" distR="0" wp14:anchorId="703B336C" wp14:editId="0D18DEA8">
          <wp:extent cx="409575" cy="466745"/>
          <wp:effectExtent l="0" t="0" r="0" b="9525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466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325AC1" w:rsidRPr="00325AC1">
      <w:rPr>
        <w:rFonts w:eastAsia="Calibri"/>
        <w:b/>
      </w:rPr>
      <w:t>Gmina Gręboszów</w:t>
    </w:r>
    <w:r w:rsidR="001B7902">
      <w:rPr>
        <w:rFonts w:eastAsia="Calibri"/>
        <w:noProof/>
        <w:color w:val="FF0000"/>
        <w:lang w:eastAsia="pl-PL"/>
      </w:rPr>
      <w:drawing>
        <wp:inline distT="0" distB="0" distL="0" distR="0" wp14:anchorId="35BAF927" wp14:editId="75BC9EC9">
          <wp:extent cx="5759450" cy="8145780"/>
          <wp:effectExtent l="0" t="0" r="0" b="762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BOSZW-herb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81457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87C02E" w14:textId="77777777" w:rsidR="00C04C69" w:rsidRDefault="00C04C6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90C249C" w14:textId="77777777" w:rsidR="00C04C69" w:rsidRDefault="00C04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97F2FB" w14:textId="77777777" w:rsidR="00B868F5" w:rsidRPr="00B868F5" w:rsidRDefault="00B868F5" w:rsidP="00B868F5">
    <w:pPr>
      <w:spacing w:after="120" w:line="264" w:lineRule="auto"/>
      <w:jc w:val="center"/>
      <w:rPr>
        <w:rFonts w:eastAsia="MS Mincho" w:cs="Arial"/>
        <w:sz w:val="20"/>
        <w:szCs w:val="20"/>
      </w:rPr>
    </w:pPr>
    <w:r w:rsidRPr="00B868F5">
      <w:rPr>
        <w:rFonts w:eastAsia="MS Mincho" w:cs="Arial"/>
        <w:noProof/>
        <w:sz w:val="20"/>
        <w:szCs w:val="20"/>
        <w:lang w:eastAsia="pl-PL"/>
      </w:rPr>
      <w:drawing>
        <wp:inline distT="0" distB="0" distL="0" distR="0" wp14:anchorId="597CBAE2" wp14:editId="760D4335">
          <wp:extent cx="5315585" cy="676910"/>
          <wp:effectExtent l="0" t="0" r="0" b="8890"/>
          <wp:docPr id="56" name="Obraz 56" descr="Logotyp Funduszy Europejskich, flaga Polski, flaga Unii Europejskiej i napis Unia Europejska i Europejski Fundusz Społeczny">
            <a:extLst xmlns:a="http://schemas.openxmlformats.org/drawingml/2006/main">
              <a:ext uri="{C183D7F6-B498-43B3-948B-1728B52AA6E4}">
                <adec:decorative xmlns:adec="http://schemas.microsoft.com/office/drawing/2017/decorative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0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3" descr="logo Funduszu z napisem Fundusze Europejskie- Wiedza Edukacja Rozwój, logo Polski z napisem Rzeczpospolita Polska, Flaga UE - napis Unia Europejska, Europejski Fundusz Społeczny&#10;" title="logotypy funduszy europejski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6140974" w14:textId="0A3B314B" w:rsidR="00FA6CB1" w:rsidRPr="000F4CA6" w:rsidRDefault="00B868F5" w:rsidP="00B868F5">
    <w:pPr>
      <w:pBdr>
        <w:bottom w:val="single" w:sz="6" w:space="1" w:color="auto"/>
      </w:pBdr>
      <w:tabs>
        <w:tab w:val="center" w:pos="4536"/>
        <w:tab w:val="right" w:pos="9072"/>
      </w:tabs>
      <w:spacing w:before="120" w:after="240"/>
      <w:jc w:val="center"/>
      <w:rPr>
        <w:rFonts w:eastAsia="MS Mincho" w:cs="Calibri"/>
        <w:bCs/>
        <w:iCs/>
        <w:sz w:val="28"/>
        <w:szCs w:val="28"/>
        <w:lang w:eastAsia="pl-PL"/>
      </w:rPr>
    </w:pPr>
    <w:r w:rsidRPr="000F4CA6">
      <w:rPr>
        <w:rFonts w:eastAsia="MS Mincho" w:cs="Calibri"/>
        <w:bCs/>
        <w:iCs/>
        <w:sz w:val="28"/>
        <w:szCs w:val="28"/>
        <w:lang w:eastAsia="pl-PL"/>
      </w:rPr>
      <w:t>Dostępny samorząd – granty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C5696"/>
    <w:multiLevelType w:val="hybridMultilevel"/>
    <w:tmpl w:val="8CEE189C"/>
    <w:lvl w:ilvl="0" w:tplc="97D412E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778F9"/>
    <w:multiLevelType w:val="hybridMultilevel"/>
    <w:tmpl w:val="957A0FD8"/>
    <w:lvl w:ilvl="0" w:tplc="8B0484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32213A"/>
    <w:multiLevelType w:val="multilevel"/>
    <w:tmpl w:val="BB30C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C22DB7"/>
    <w:multiLevelType w:val="hybridMultilevel"/>
    <w:tmpl w:val="26E8FEC0"/>
    <w:lvl w:ilvl="0" w:tplc="8B0484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120248"/>
    <w:multiLevelType w:val="multilevel"/>
    <w:tmpl w:val="60F87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0E17EF"/>
    <w:multiLevelType w:val="hybridMultilevel"/>
    <w:tmpl w:val="26FE2504"/>
    <w:lvl w:ilvl="0" w:tplc="F9DAA7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4082136"/>
    <w:multiLevelType w:val="hybridMultilevel"/>
    <w:tmpl w:val="A6929E92"/>
    <w:lvl w:ilvl="0" w:tplc="8B0484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633E5C"/>
    <w:multiLevelType w:val="multilevel"/>
    <w:tmpl w:val="09927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5E0887"/>
    <w:multiLevelType w:val="multilevel"/>
    <w:tmpl w:val="B04CD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A803B06"/>
    <w:multiLevelType w:val="hybridMultilevel"/>
    <w:tmpl w:val="D8FCDCCC"/>
    <w:lvl w:ilvl="0" w:tplc="8B0484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097DDC"/>
    <w:multiLevelType w:val="hybridMultilevel"/>
    <w:tmpl w:val="7196F3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A31EF8"/>
    <w:multiLevelType w:val="multilevel"/>
    <w:tmpl w:val="B2284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67277E2"/>
    <w:multiLevelType w:val="hybridMultilevel"/>
    <w:tmpl w:val="BC44125E"/>
    <w:lvl w:ilvl="0" w:tplc="8B0484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515196"/>
    <w:multiLevelType w:val="multilevel"/>
    <w:tmpl w:val="58FC3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881713C"/>
    <w:multiLevelType w:val="hybridMultilevel"/>
    <w:tmpl w:val="A6824B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1C04CB"/>
    <w:multiLevelType w:val="multilevel"/>
    <w:tmpl w:val="39CE2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5D52E64"/>
    <w:multiLevelType w:val="hybridMultilevel"/>
    <w:tmpl w:val="C4384D62"/>
    <w:lvl w:ilvl="0" w:tplc="8B0484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A92593"/>
    <w:multiLevelType w:val="multilevel"/>
    <w:tmpl w:val="4DA06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AF01F98"/>
    <w:multiLevelType w:val="hybridMultilevel"/>
    <w:tmpl w:val="6B3C4674"/>
    <w:lvl w:ilvl="0" w:tplc="19CE5A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E0E2B05"/>
    <w:multiLevelType w:val="hybridMultilevel"/>
    <w:tmpl w:val="0F045B24"/>
    <w:lvl w:ilvl="0" w:tplc="C2D2772A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1864C05"/>
    <w:multiLevelType w:val="multilevel"/>
    <w:tmpl w:val="393AC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1B70EA8"/>
    <w:multiLevelType w:val="multilevel"/>
    <w:tmpl w:val="EC3EC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32A4168"/>
    <w:multiLevelType w:val="multilevel"/>
    <w:tmpl w:val="E7542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64D1E1C"/>
    <w:multiLevelType w:val="multilevel"/>
    <w:tmpl w:val="A8983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FF4610F"/>
    <w:multiLevelType w:val="multilevel"/>
    <w:tmpl w:val="90741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87767D0"/>
    <w:multiLevelType w:val="multilevel"/>
    <w:tmpl w:val="BEE62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EE34E45"/>
    <w:multiLevelType w:val="multilevel"/>
    <w:tmpl w:val="F2183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FB07049"/>
    <w:multiLevelType w:val="multilevel"/>
    <w:tmpl w:val="CCFA1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4B6405B"/>
    <w:multiLevelType w:val="multilevel"/>
    <w:tmpl w:val="459CC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60D1E35"/>
    <w:multiLevelType w:val="multilevel"/>
    <w:tmpl w:val="35C29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F0064F9"/>
    <w:multiLevelType w:val="hybridMultilevel"/>
    <w:tmpl w:val="14A440C8"/>
    <w:lvl w:ilvl="0" w:tplc="C2D2772A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7"/>
  </w:num>
  <w:num w:numId="3">
    <w:abstractNumId w:val="24"/>
  </w:num>
  <w:num w:numId="4">
    <w:abstractNumId w:val="22"/>
  </w:num>
  <w:num w:numId="5">
    <w:abstractNumId w:val="4"/>
  </w:num>
  <w:num w:numId="6">
    <w:abstractNumId w:val="25"/>
  </w:num>
  <w:num w:numId="7">
    <w:abstractNumId w:val="13"/>
  </w:num>
  <w:num w:numId="8">
    <w:abstractNumId w:val="2"/>
  </w:num>
  <w:num w:numId="9">
    <w:abstractNumId w:val="11"/>
  </w:num>
  <w:num w:numId="10">
    <w:abstractNumId w:val="15"/>
  </w:num>
  <w:num w:numId="11">
    <w:abstractNumId w:val="28"/>
  </w:num>
  <w:num w:numId="12">
    <w:abstractNumId w:val="27"/>
  </w:num>
  <w:num w:numId="13">
    <w:abstractNumId w:val="23"/>
  </w:num>
  <w:num w:numId="14">
    <w:abstractNumId w:val="17"/>
  </w:num>
  <w:num w:numId="15">
    <w:abstractNumId w:val="21"/>
  </w:num>
  <w:num w:numId="16">
    <w:abstractNumId w:val="26"/>
  </w:num>
  <w:num w:numId="17">
    <w:abstractNumId w:val="29"/>
  </w:num>
  <w:num w:numId="18">
    <w:abstractNumId w:val="20"/>
  </w:num>
  <w:num w:numId="19">
    <w:abstractNumId w:val="5"/>
  </w:num>
  <w:num w:numId="20">
    <w:abstractNumId w:val="10"/>
  </w:num>
  <w:num w:numId="21">
    <w:abstractNumId w:val="0"/>
  </w:num>
  <w:num w:numId="22">
    <w:abstractNumId w:val="9"/>
  </w:num>
  <w:num w:numId="23">
    <w:abstractNumId w:val="3"/>
  </w:num>
  <w:num w:numId="24">
    <w:abstractNumId w:val="1"/>
  </w:num>
  <w:num w:numId="25">
    <w:abstractNumId w:val="14"/>
  </w:num>
  <w:num w:numId="26">
    <w:abstractNumId w:val="30"/>
  </w:num>
  <w:num w:numId="27">
    <w:abstractNumId w:val="19"/>
  </w:num>
  <w:num w:numId="28">
    <w:abstractNumId w:val="18"/>
  </w:num>
  <w:num w:numId="29">
    <w:abstractNumId w:val="16"/>
  </w:num>
  <w:num w:numId="30">
    <w:abstractNumId w:val="12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8F5"/>
    <w:rsid w:val="000477B4"/>
    <w:rsid w:val="00050604"/>
    <w:rsid w:val="00053CA8"/>
    <w:rsid w:val="00077316"/>
    <w:rsid w:val="00091E7E"/>
    <w:rsid w:val="00092514"/>
    <w:rsid w:val="00092842"/>
    <w:rsid w:val="000A290D"/>
    <w:rsid w:val="000A34FB"/>
    <w:rsid w:val="000B09F4"/>
    <w:rsid w:val="000E6AFF"/>
    <w:rsid w:val="000F4CA6"/>
    <w:rsid w:val="00104D1E"/>
    <w:rsid w:val="00122643"/>
    <w:rsid w:val="00132623"/>
    <w:rsid w:val="0014029D"/>
    <w:rsid w:val="00161E95"/>
    <w:rsid w:val="00163201"/>
    <w:rsid w:val="0018202C"/>
    <w:rsid w:val="0019354E"/>
    <w:rsid w:val="001A7E1B"/>
    <w:rsid w:val="001B7902"/>
    <w:rsid w:val="001C3794"/>
    <w:rsid w:val="001C6331"/>
    <w:rsid w:val="001D7DA1"/>
    <w:rsid w:val="001F70C8"/>
    <w:rsid w:val="002461E7"/>
    <w:rsid w:val="00250CF3"/>
    <w:rsid w:val="00265742"/>
    <w:rsid w:val="002A3319"/>
    <w:rsid w:val="002D2710"/>
    <w:rsid w:val="002D62F9"/>
    <w:rsid w:val="0032268E"/>
    <w:rsid w:val="00323140"/>
    <w:rsid w:val="00324541"/>
    <w:rsid w:val="00325AC1"/>
    <w:rsid w:val="00342BCC"/>
    <w:rsid w:val="0034321A"/>
    <w:rsid w:val="003436A6"/>
    <w:rsid w:val="003523C6"/>
    <w:rsid w:val="00357D2D"/>
    <w:rsid w:val="00387E8F"/>
    <w:rsid w:val="003A1C0A"/>
    <w:rsid w:val="003B48DF"/>
    <w:rsid w:val="003B68DC"/>
    <w:rsid w:val="003C5F68"/>
    <w:rsid w:val="003E5F06"/>
    <w:rsid w:val="00404737"/>
    <w:rsid w:val="0041072C"/>
    <w:rsid w:val="00411DC2"/>
    <w:rsid w:val="004124EF"/>
    <w:rsid w:val="0043376A"/>
    <w:rsid w:val="00454EFE"/>
    <w:rsid w:val="004964FA"/>
    <w:rsid w:val="004A230F"/>
    <w:rsid w:val="004B13E9"/>
    <w:rsid w:val="004D7961"/>
    <w:rsid w:val="004E0639"/>
    <w:rsid w:val="00502415"/>
    <w:rsid w:val="005070F0"/>
    <w:rsid w:val="00521308"/>
    <w:rsid w:val="00542D99"/>
    <w:rsid w:val="00546DEE"/>
    <w:rsid w:val="00567974"/>
    <w:rsid w:val="005A0549"/>
    <w:rsid w:val="005B4445"/>
    <w:rsid w:val="005E09D8"/>
    <w:rsid w:val="00613B84"/>
    <w:rsid w:val="0062731B"/>
    <w:rsid w:val="006274C7"/>
    <w:rsid w:val="00633FB3"/>
    <w:rsid w:val="00644574"/>
    <w:rsid w:val="00645141"/>
    <w:rsid w:val="00645BEE"/>
    <w:rsid w:val="006771E9"/>
    <w:rsid w:val="006A310D"/>
    <w:rsid w:val="006B3880"/>
    <w:rsid w:val="006E60D7"/>
    <w:rsid w:val="006E6136"/>
    <w:rsid w:val="006F3289"/>
    <w:rsid w:val="0070142F"/>
    <w:rsid w:val="00760BE9"/>
    <w:rsid w:val="0079581E"/>
    <w:rsid w:val="007C0BE1"/>
    <w:rsid w:val="007C7ECE"/>
    <w:rsid w:val="007D1C8E"/>
    <w:rsid w:val="007E008B"/>
    <w:rsid w:val="007E2C1D"/>
    <w:rsid w:val="007E3988"/>
    <w:rsid w:val="0080060F"/>
    <w:rsid w:val="008202B0"/>
    <w:rsid w:val="008228BF"/>
    <w:rsid w:val="00824135"/>
    <w:rsid w:val="00825AE5"/>
    <w:rsid w:val="00850167"/>
    <w:rsid w:val="008570FF"/>
    <w:rsid w:val="00866193"/>
    <w:rsid w:val="00874FD7"/>
    <w:rsid w:val="00894D9E"/>
    <w:rsid w:val="008C0DD2"/>
    <w:rsid w:val="008C1941"/>
    <w:rsid w:val="008C39CF"/>
    <w:rsid w:val="008C6298"/>
    <w:rsid w:val="008D43C9"/>
    <w:rsid w:val="008F09E6"/>
    <w:rsid w:val="0090247B"/>
    <w:rsid w:val="0092417A"/>
    <w:rsid w:val="0092652F"/>
    <w:rsid w:val="009269D2"/>
    <w:rsid w:val="00935369"/>
    <w:rsid w:val="00945190"/>
    <w:rsid w:val="0094526F"/>
    <w:rsid w:val="00946765"/>
    <w:rsid w:val="009A1E32"/>
    <w:rsid w:val="009A2FE8"/>
    <w:rsid w:val="009B60BC"/>
    <w:rsid w:val="009C638C"/>
    <w:rsid w:val="009D0ED7"/>
    <w:rsid w:val="009E3A01"/>
    <w:rsid w:val="00A23326"/>
    <w:rsid w:val="00A24328"/>
    <w:rsid w:val="00A24E06"/>
    <w:rsid w:val="00A37C35"/>
    <w:rsid w:val="00A45B62"/>
    <w:rsid w:val="00A94D81"/>
    <w:rsid w:val="00AA1C80"/>
    <w:rsid w:val="00AB4ACB"/>
    <w:rsid w:val="00AC1539"/>
    <w:rsid w:val="00AC41A8"/>
    <w:rsid w:val="00AD4482"/>
    <w:rsid w:val="00AE259D"/>
    <w:rsid w:val="00B04DF2"/>
    <w:rsid w:val="00B26F75"/>
    <w:rsid w:val="00B66B2F"/>
    <w:rsid w:val="00B71470"/>
    <w:rsid w:val="00B868F5"/>
    <w:rsid w:val="00B90A5A"/>
    <w:rsid w:val="00BA676A"/>
    <w:rsid w:val="00BD2BDD"/>
    <w:rsid w:val="00C04C69"/>
    <w:rsid w:val="00C24796"/>
    <w:rsid w:val="00C2636C"/>
    <w:rsid w:val="00C72B8F"/>
    <w:rsid w:val="00C778D0"/>
    <w:rsid w:val="00C80997"/>
    <w:rsid w:val="00CE016E"/>
    <w:rsid w:val="00CE4458"/>
    <w:rsid w:val="00CF31A1"/>
    <w:rsid w:val="00D11AFD"/>
    <w:rsid w:val="00D435F5"/>
    <w:rsid w:val="00D44CF7"/>
    <w:rsid w:val="00D526F6"/>
    <w:rsid w:val="00D6570A"/>
    <w:rsid w:val="00D7035E"/>
    <w:rsid w:val="00D7396C"/>
    <w:rsid w:val="00D9647D"/>
    <w:rsid w:val="00DA79B0"/>
    <w:rsid w:val="00DF0878"/>
    <w:rsid w:val="00E01178"/>
    <w:rsid w:val="00E060A9"/>
    <w:rsid w:val="00E302A6"/>
    <w:rsid w:val="00E441DC"/>
    <w:rsid w:val="00E70F1A"/>
    <w:rsid w:val="00EA4821"/>
    <w:rsid w:val="00EA5BC9"/>
    <w:rsid w:val="00EA6905"/>
    <w:rsid w:val="00EC5246"/>
    <w:rsid w:val="00ED1349"/>
    <w:rsid w:val="00EE2184"/>
    <w:rsid w:val="00F015F4"/>
    <w:rsid w:val="00F21BFA"/>
    <w:rsid w:val="00F223FC"/>
    <w:rsid w:val="00F24594"/>
    <w:rsid w:val="00F252CA"/>
    <w:rsid w:val="00F43CA8"/>
    <w:rsid w:val="00F60BE6"/>
    <w:rsid w:val="00F62574"/>
    <w:rsid w:val="00F909B6"/>
    <w:rsid w:val="00FA1C80"/>
    <w:rsid w:val="00FA6CB1"/>
    <w:rsid w:val="00FC7274"/>
    <w:rsid w:val="00FD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8A60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676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24796"/>
    <w:pPr>
      <w:spacing w:before="1080" w:after="0"/>
      <w:contextualSpacing/>
      <w:outlineLvl w:val="0"/>
    </w:pPr>
    <w:rPr>
      <w:b/>
      <w:bCs/>
      <w:color w:val="53565A"/>
      <w:sz w:val="30"/>
      <w:szCs w:val="3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24796"/>
    <w:pPr>
      <w:spacing w:before="480" w:after="120"/>
      <w:outlineLvl w:val="1"/>
    </w:pPr>
    <w:rPr>
      <w:b/>
      <w:bCs/>
      <w:color w:val="53565A"/>
      <w:sz w:val="26"/>
      <w:szCs w:val="26"/>
    </w:rPr>
  </w:style>
  <w:style w:type="paragraph" w:styleId="Nagwek3">
    <w:name w:val="heading 3"/>
    <w:basedOn w:val="Nagwek4"/>
    <w:next w:val="Normalny"/>
    <w:link w:val="Nagwek3Znak"/>
    <w:uiPriority w:val="9"/>
    <w:unhideWhenUsed/>
    <w:qFormat/>
    <w:rsid w:val="00CF31A1"/>
    <w:pPr>
      <w:outlineLvl w:val="2"/>
    </w:pPr>
    <w:rPr>
      <w:sz w:val="24"/>
      <w:szCs w:val="24"/>
      <w:lang w:val="en-GB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4526F"/>
    <w:pPr>
      <w:spacing w:before="200" w:after="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46765"/>
    <w:pPr>
      <w:spacing w:before="200" w:after="0"/>
      <w:outlineLvl w:val="4"/>
    </w:pPr>
    <w:rPr>
      <w:b/>
      <w:bCs/>
      <w:color w:val="003882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946765"/>
    <w:pPr>
      <w:spacing w:after="0" w:line="271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46765"/>
    <w:pPr>
      <w:spacing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46765"/>
    <w:pPr>
      <w:spacing w:after="0"/>
      <w:outlineLvl w:val="7"/>
    </w:pPr>
    <w:rPr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946765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">
    <w:name w:val="Stopka Znak"/>
    <w:basedOn w:val="Domylnaczcionkaakapitu"/>
    <w:uiPriority w:val="99"/>
  </w:style>
  <w:style w:type="paragraph" w:customStyle="1" w:styleId="Podstawowyakapitowy">
    <w:name w:val="[Podstawowy akapitowy]"/>
    <w:basedOn w:val="Normalny"/>
    <w:pPr>
      <w:suppressAutoHyphens/>
      <w:autoSpaceDE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pPr>
      <w:suppressAutoHyphens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C24796"/>
    <w:rPr>
      <w:b/>
      <w:bCs/>
      <w:color w:val="53565A"/>
      <w:sz w:val="30"/>
      <w:szCs w:val="30"/>
      <w:lang w:eastAsia="en-US"/>
    </w:rPr>
  </w:style>
  <w:style w:type="character" w:customStyle="1" w:styleId="Nagwek2Znak">
    <w:name w:val="Nagłówek 2 Znak"/>
    <w:link w:val="Nagwek2"/>
    <w:uiPriority w:val="9"/>
    <w:rsid w:val="00C24796"/>
    <w:rPr>
      <w:b/>
      <w:bCs/>
      <w:color w:val="53565A"/>
      <w:sz w:val="26"/>
      <w:szCs w:val="26"/>
      <w:lang w:eastAsia="en-US"/>
    </w:rPr>
  </w:style>
  <w:style w:type="character" w:customStyle="1" w:styleId="Nagwek3Znak">
    <w:name w:val="Nagłówek 3 Znak"/>
    <w:link w:val="Nagwek3"/>
    <w:uiPriority w:val="9"/>
    <w:rsid w:val="00CF31A1"/>
    <w:rPr>
      <w:b/>
      <w:bCs/>
      <w:sz w:val="24"/>
      <w:szCs w:val="24"/>
      <w:lang w:val="en-GB" w:eastAsia="en-US"/>
    </w:rPr>
  </w:style>
  <w:style w:type="character" w:customStyle="1" w:styleId="Nagwek4Znak">
    <w:name w:val="Nagłówek 4 Znak"/>
    <w:link w:val="Nagwek4"/>
    <w:uiPriority w:val="9"/>
    <w:rsid w:val="0094526F"/>
    <w:rPr>
      <w:b/>
      <w:bCs/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rsid w:val="00946765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link w:val="Nagwek6"/>
    <w:uiPriority w:val="9"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uiPriority w:val="9"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uiPriority w:val="9"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946765"/>
    <w:pPr>
      <w:pBdr>
        <w:bottom w:val="single" w:sz="4" w:space="1" w:color="auto"/>
      </w:pBdr>
      <w:spacing w:line="240" w:lineRule="auto"/>
      <w:contextualSpacing/>
    </w:pPr>
    <w:rPr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946765"/>
    <w:rPr>
      <w:rFonts w:ascii="Calibri" w:eastAsia="Times New Roman" w:hAnsi="Calibri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6765"/>
    <w:pPr>
      <w:spacing w:after="600"/>
    </w:pPr>
    <w:rPr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946765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46765"/>
    <w:rPr>
      <w:b/>
      <w:bCs/>
    </w:rPr>
  </w:style>
  <w:style w:type="character" w:styleId="Uwydatnienie">
    <w:name w:val="Emphasis"/>
    <w:uiPriority w:val="20"/>
    <w:qFormat/>
    <w:rsid w:val="009467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94676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94676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67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946765"/>
    <w:rPr>
      <w:b/>
      <w:bCs/>
      <w:i/>
      <w:iCs/>
    </w:rPr>
  </w:style>
  <w:style w:type="character" w:styleId="Wyrnieniedelikatne">
    <w:name w:val="Subtle Emphasis"/>
    <w:uiPriority w:val="19"/>
    <w:qFormat/>
    <w:rsid w:val="00946765"/>
    <w:rPr>
      <w:i/>
      <w:iCs/>
    </w:rPr>
  </w:style>
  <w:style w:type="character" w:styleId="Wyrnienieintensywne">
    <w:name w:val="Intense Emphasis"/>
    <w:uiPriority w:val="21"/>
    <w:qFormat/>
    <w:rsid w:val="00946765"/>
    <w:rPr>
      <w:b/>
      <w:bCs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character" w:styleId="Hipercze">
    <w:name w:val="Hyperlink"/>
    <w:uiPriority w:val="99"/>
    <w:unhideWhenUsed/>
    <w:rsid w:val="00633FB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33FB3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33FB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33FB3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rsid w:val="00633F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account">
    <w:name w:val="noaccount"/>
    <w:basedOn w:val="Domylnaczcionkaakapitu"/>
    <w:rsid w:val="00633FB3"/>
  </w:style>
  <w:style w:type="character" w:customStyle="1" w:styleId="sm">
    <w:name w:val="sm"/>
    <w:basedOn w:val="Domylnaczcionkaakapitu"/>
    <w:rsid w:val="00633FB3"/>
  </w:style>
  <w:style w:type="character" w:customStyle="1" w:styleId="fa0">
    <w:name w:val="fa0"/>
    <w:basedOn w:val="Domylnaczcionkaakapitu"/>
    <w:rsid w:val="00633FB3"/>
  </w:style>
  <w:style w:type="character" w:customStyle="1" w:styleId="ip">
    <w:name w:val="ip"/>
    <w:basedOn w:val="Domylnaczcionkaakapitu"/>
    <w:rsid w:val="00633FB3"/>
  </w:style>
  <w:style w:type="character" w:customStyle="1" w:styleId="dt0">
    <w:name w:val="dt0"/>
    <w:basedOn w:val="Domylnaczcionkaakapitu"/>
    <w:rsid w:val="00633FB3"/>
  </w:style>
  <w:style w:type="paragraph" w:customStyle="1" w:styleId="ncbr">
    <w:name w:val="ncbr"/>
    <w:basedOn w:val="Normalny"/>
    <w:link w:val="ncbrZnak"/>
    <w:autoRedefine/>
    <w:rsid w:val="00454EFE"/>
  </w:style>
  <w:style w:type="character" w:customStyle="1" w:styleId="fa1">
    <w:name w:val="fa1"/>
    <w:basedOn w:val="Domylnaczcionkaakapitu"/>
    <w:rsid w:val="00946765"/>
  </w:style>
  <w:style w:type="character" w:customStyle="1" w:styleId="ncbrZnak">
    <w:name w:val="ncbr Znak"/>
    <w:basedOn w:val="Domylnaczcionkaakapitu"/>
    <w:link w:val="ncbr"/>
    <w:rsid w:val="00454EFE"/>
  </w:style>
  <w:style w:type="character" w:customStyle="1" w:styleId="Legenda1">
    <w:name w:val="Legenda1"/>
    <w:basedOn w:val="Domylnaczcionkaakapitu"/>
    <w:rsid w:val="00946765"/>
  </w:style>
  <w:style w:type="character" w:customStyle="1" w:styleId="subcaption">
    <w:name w:val="subcaption"/>
    <w:basedOn w:val="Domylnaczcionkaakapitu"/>
    <w:rsid w:val="00946765"/>
  </w:style>
  <w:style w:type="character" w:customStyle="1" w:styleId="entries">
    <w:name w:val="entries"/>
    <w:basedOn w:val="Domylnaczcionkaakapitu"/>
    <w:rsid w:val="00946765"/>
  </w:style>
  <w:style w:type="character" w:customStyle="1" w:styleId="user">
    <w:name w:val="user"/>
    <w:basedOn w:val="Domylnaczcionkaakapitu"/>
    <w:rsid w:val="00946765"/>
  </w:style>
  <w:style w:type="paragraph" w:styleId="NormalnyWeb">
    <w:name w:val="Normal (Web)"/>
    <w:basedOn w:val="Normalny"/>
    <w:uiPriority w:val="99"/>
    <w:semiHidden/>
    <w:unhideWhenUsed/>
    <w:rsid w:val="009467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32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32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321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32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321A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760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4Accent6">
    <w:name w:val="List Table 4 Accent 6"/>
    <w:aliases w:val="Tabela PFRON"/>
    <w:basedOn w:val="Standardowy"/>
    <w:uiPriority w:val="49"/>
    <w:rsid w:val="00850167"/>
    <w:tblPr>
      <w:tblStyleRowBandSize w:val="1"/>
      <w:tblStyleColBandSize w:val="1"/>
      <w:tblBorders>
        <w:top w:val="single" w:sz="4" w:space="0" w:color="02882B"/>
        <w:left w:val="single" w:sz="4" w:space="0" w:color="02882B"/>
        <w:bottom w:val="single" w:sz="4" w:space="0" w:color="02882B"/>
        <w:right w:val="single" w:sz="4" w:space="0" w:color="02882B"/>
        <w:insideH w:val="single" w:sz="4" w:space="0" w:color="02882B"/>
        <w:insideV w:val="single" w:sz="4" w:space="0" w:color="02882B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2882B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223FC"/>
    <w:rPr>
      <w:color w:val="605E5C"/>
      <w:shd w:val="clear" w:color="auto" w:fill="E1DFDD"/>
    </w:rPr>
  </w:style>
  <w:style w:type="paragraph" w:styleId="Wcicienormalne">
    <w:name w:val="Normal Indent"/>
    <w:basedOn w:val="Normalny"/>
    <w:uiPriority w:val="99"/>
    <w:semiHidden/>
    <w:unhideWhenUsed/>
    <w:rsid w:val="00FC7274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676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24796"/>
    <w:pPr>
      <w:spacing w:before="1080" w:after="0"/>
      <w:contextualSpacing/>
      <w:outlineLvl w:val="0"/>
    </w:pPr>
    <w:rPr>
      <w:b/>
      <w:bCs/>
      <w:color w:val="53565A"/>
      <w:sz w:val="30"/>
      <w:szCs w:val="3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24796"/>
    <w:pPr>
      <w:spacing w:before="480" w:after="120"/>
      <w:outlineLvl w:val="1"/>
    </w:pPr>
    <w:rPr>
      <w:b/>
      <w:bCs/>
      <w:color w:val="53565A"/>
      <w:sz w:val="26"/>
      <w:szCs w:val="26"/>
    </w:rPr>
  </w:style>
  <w:style w:type="paragraph" w:styleId="Nagwek3">
    <w:name w:val="heading 3"/>
    <w:basedOn w:val="Nagwek4"/>
    <w:next w:val="Normalny"/>
    <w:link w:val="Nagwek3Znak"/>
    <w:uiPriority w:val="9"/>
    <w:unhideWhenUsed/>
    <w:qFormat/>
    <w:rsid w:val="00CF31A1"/>
    <w:pPr>
      <w:outlineLvl w:val="2"/>
    </w:pPr>
    <w:rPr>
      <w:sz w:val="24"/>
      <w:szCs w:val="24"/>
      <w:lang w:val="en-GB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4526F"/>
    <w:pPr>
      <w:spacing w:before="200" w:after="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46765"/>
    <w:pPr>
      <w:spacing w:before="200" w:after="0"/>
      <w:outlineLvl w:val="4"/>
    </w:pPr>
    <w:rPr>
      <w:b/>
      <w:bCs/>
      <w:color w:val="003882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946765"/>
    <w:pPr>
      <w:spacing w:after="0" w:line="271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46765"/>
    <w:pPr>
      <w:spacing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46765"/>
    <w:pPr>
      <w:spacing w:after="0"/>
      <w:outlineLvl w:val="7"/>
    </w:pPr>
    <w:rPr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946765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">
    <w:name w:val="Stopka Znak"/>
    <w:basedOn w:val="Domylnaczcionkaakapitu"/>
    <w:uiPriority w:val="99"/>
  </w:style>
  <w:style w:type="paragraph" w:customStyle="1" w:styleId="Podstawowyakapitowy">
    <w:name w:val="[Podstawowy akapitowy]"/>
    <w:basedOn w:val="Normalny"/>
    <w:pPr>
      <w:suppressAutoHyphens/>
      <w:autoSpaceDE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pPr>
      <w:suppressAutoHyphens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C24796"/>
    <w:rPr>
      <w:b/>
      <w:bCs/>
      <w:color w:val="53565A"/>
      <w:sz w:val="30"/>
      <w:szCs w:val="30"/>
      <w:lang w:eastAsia="en-US"/>
    </w:rPr>
  </w:style>
  <w:style w:type="character" w:customStyle="1" w:styleId="Nagwek2Znak">
    <w:name w:val="Nagłówek 2 Znak"/>
    <w:link w:val="Nagwek2"/>
    <w:uiPriority w:val="9"/>
    <w:rsid w:val="00C24796"/>
    <w:rPr>
      <w:b/>
      <w:bCs/>
      <w:color w:val="53565A"/>
      <w:sz w:val="26"/>
      <w:szCs w:val="26"/>
      <w:lang w:eastAsia="en-US"/>
    </w:rPr>
  </w:style>
  <w:style w:type="character" w:customStyle="1" w:styleId="Nagwek3Znak">
    <w:name w:val="Nagłówek 3 Znak"/>
    <w:link w:val="Nagwek3"/>
    <w:uiPriority w:val="9"/>
    <w:rsid w:val="00CF31A1"/>
    <w:rPr>
      <w:b/>
      <w:bCs/>
      <w:sz w:val="24"/>
      <w:szCs w:val="24"/>
      <w:lang w:val="en-GB" w:eastAsia="en-US"/>
    </w:rPr>
  </w:style>
  <w:style w:type="character" w:customStyle="1" w:styleId="Nagwek4Znak">
    <w:name w:val="Nagłówek 4 Znak"/>
    <w:link w:val="Nagwek4"/>
    <w:uiPriority w:val="9"/>
    <w:rsid w:val="0094526F"/>
    <w:rPr>
      <w:b/>
      <w:bCs/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rsid w:val="00946765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link w:val="Nagwek6"/>
    <w:uiPriority w:val="9"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uiPriority w:val="9"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uiPriority w:val="9"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946765"/>
    <w:pPr>
      <w:pBdr>
        <w:bottom w:val="single" w:sz="4" w:space="1" w:color="auto"/>
      </w:pBdr>
      <w:spacing w:line="240" w:lineRule="auto"/>
      <w:contextualSpacing/>
    </w:pPr>
    <w:rPr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946765"/>
    <w:rPr>
      <w:rFonts w:ascii="Calibri" w:eastAsia="Times New Roman" w:hAnsi="Calibri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6765"/>
    <w:pPr>
      <w:spacing w:after="600"/>
    </w:pPr>
    <w:rPr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946765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46765"/>
    <w:rPr>
      <w:b/>
      <w:bCs/>
    </w:rPr>
  </w:style>
  <w:style w:type="character" w:styleId="Uwydatnienie">
    <w:name w:val="Emphasis"/>
    <w:uiPriority w:val="20"/>
    <w:qFormat/>
    <w:rsid w:val="009467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94676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94676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67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946765"/>
    <w:rPr>
      <w:b/>
      <w:bCs/>
      <w:i/>
      <w:iCs/>
    </w:rPr>
  </w:style>
  <w:style w:type="character" w:styleId="Wyrnieniedelikatne">
    <w:name w:val="Subtle Emphasis"/>
    <w:uiPriority w:val="19"/>
    <w:qFormat/>
    <w:rsid w:val="00946765"/>
    <w:rPr>
      <w:i/>
      <w:iCs/>
    </w:rPr>
  </w:style>
  <w:style w:type="character" w:styleId="Wyrnienieintensywne">
    <w:name w:val="Intense Emphasis"/>
    <w:uiPriority w:val="21"/>
    <w:qFormat/>
    <w:rsid w:val="00946765"/>
    <w:rPr>
      <w:b/>
      <w:bCs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character" w:styleId="Hipercze">
    <w:name w:val="Hyperlink"/>
    <w:uiPriority w:val="99"/>
    <w:unhideWhenUsed/>
    <w:rsid w:val="00633FB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33FB3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33FB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33FB3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rsid w:val="00633F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account">
    <w:name w:val="noaccount"/>
    <w:basedOn w:val="Domylnaczcionkaakapitu"/>
    <w:rsid w:val="00633FB3"/>
  </w:style>
  <w:style w:type="character" w:customStyle="1" w:styleId="sm">
    <w:name w:val="sm"/>
    <w:basedOn w:val="Domylnaczcionkaakapitu"/>
    <w:rsid w:val="00633FB3"/>
  </w:style>
  <w:style w:type="character" w:customStyle="1" w:styleId="fa0">
    <w:name w:val="fa0"/>
    <w:basedOn w:val="Domylnaczcionkaakapitu"/>
    <w:rsid w:val="00633FB3"/>
  </w:style>
  <w:style w:type="character" w:customStyle="1" w:styleId="ip">
    <w:name w:val="ip"/>
    <w:basedOn w:val="Domylnaczcionkaakapitu"/>
    <w:rsid w:val="00633FB3"/>
  </w:style>
  <w:style w:type="character" w:customStyle="1" w:styleId="dt0">
    <w:name w:val="dt0"/>
    <w:basedOn w:val="Domylnaczcionkaakapitu"/>
    <w:rsid w:val="00633FB3"/>
  </w:style>
  <w:style w:type="paragraph" w:customStyle="1" w:styleId="ncbr">
    <w:name w:val="ncbr"/>
    <w:basedOn w:val="Normalny"/>
    <w:link w:val="ncbrZnak"/>
    <w:autoRedefine/>
    <w:rsid w:val="00454EFE"/>
  </w:style>
  <w:style w:type="character" w:customStyle="1" w:styleId="fa1">
    <w:name w:val="fa1"/>
    <w:basedOn w:val="Domylnaczcionkaakapitu"/>
    <w:rsid w:val="00946765"/>
  </w:style>
  <w:style w:type="character" w:customStyle="1" w:styleId="ncbrZnak">
    <w:name w:val="ncbr Znak"/>
    <w:basedOn w:val="Domylnaczcionkaakapitu"/>
    <w:link w:val="ncbr"/>
    <w:rsid w:val="00454EFE"/>
  </w:style>
  <w:style w:type="character" w:customStyle="1" w:styleId="Legenda1">
    <w:name w:val="Legenda1"/>
    <w:basedOn w:val="Domylnaczcionkaakapitu"/>
    <w:rsid w:val="00946765"/>
  </w:style>
  <w:style w:type="character" w:customStyle="1" w:styleId="subcaption">
    <w:name w:val="subcaption"/>
    <w:basedOn w:val="Domylnaczcionkaakapitu"/>
    <w:rsid w:val="00946765"/>
  </w:style>
  <w:style w:type="character" w:customStyle="1" w:styleId="entries">
    <w:name w:val="entries"/>
    <w:basedOn w:val="Domylnaczcionkaakapitu"/>
    <w:rsid w:val="00946765"/>
  </w:style>
  <w:style w:type="character" w:customStyle="1" w:styleId="user">
    <w:name w:val="user"/>
    <w:basedOn w:val="Domylnaczcionkaakapitu"/>
    <w:rsid w:val="00946765"/>
  </w:style>
  <w:style w:type="paragraph" w:styleId="NormalnyWeb">
    <w:name w:val="Normal (Web)"/>
    <w:basedOn w:val="Normalny"/>
    <w:uiPriority w:val="99"/>
    <w:semiHidden/>
    <w:unhideWhenUsed/>
    <w:rsid w:val="009467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32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32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321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32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321A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760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4Accent6">
    <w:name w:val="List Table 4 Accent 6"/>
    <w:aliases w:val="Tabela PFRON"/>
    <w:basedOn w:val="Standardowy"/>
    <w:uiPriority w:val="49"/>
    <w:rsid w:val="00850167"/>
    <w:tblPr>
      <w:tblStyleRowBandSize w:val="1"/>
      <w:tblStyleColBandSize w:val="1"/>
      <w:tblBorders>
        <w:top w:val="single" w:sz="4" w:space="0" w:color="02882B"/>
        <w:left w:val="single" w:sz="4" w:space="0" w:color="02882B"/>
        <w:bottom w:val="single" w:sz="4" w:space="0" w:color="02882B"/>
        <w:right w:val="single" w:sz="4" w:space="0" w:color="02882B"/>
        <w:insideH w:val="single" w:sz="4" w:space="0" w:color="02882B"/>
        <w:insideV w:val="single" w:sz="4" w:space="0" w:color="02882B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2882B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223FC"/>
    <w:rPr>
      <w:color w:val="605E5C"/>
      <w:shd w:val="clear" w:color="auto" w:fill="E1DFDD"/>
    </w:rPr>
  </w:style>
  <w:style w:type="paragraph" w:styleId="Wcicienormalne">
    <w:name w:val="Normal Indent"/>
    <w:basedOn w:val="Normalny"/>
    <w:uiPriority w:val="99"/>
    <w:semiHidden/>
    <w:unhideWhenUsed/>
    <w:rsid w:val="00FC7274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7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9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8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9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4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4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6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9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0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7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1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213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1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9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5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5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13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3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62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22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1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5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86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8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93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7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04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0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7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4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7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36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6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1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6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1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50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2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6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5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6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70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4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16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7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29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0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1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3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26729">
                              <w:marLeft w:val="-165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35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83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1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04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96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76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7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09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80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43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61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433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94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4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3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6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819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9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82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86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80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98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96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85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4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14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76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837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823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08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0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540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85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71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84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5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8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3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902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46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3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68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4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2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6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115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1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1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42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722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0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83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728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96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99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65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0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652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65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53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35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9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10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87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18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1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90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9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10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133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4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3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7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87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76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88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86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37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06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71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33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22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3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22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8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390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86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1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54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95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54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4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46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10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63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7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6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150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82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73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01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37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1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74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476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67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5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50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2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73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4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8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2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1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1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13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0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6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5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56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2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5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9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4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3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2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45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83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2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1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52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1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2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7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9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8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9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8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38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7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0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2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6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1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4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08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92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09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zablony_Office\PFRON_szablon_Wor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A367F8D3CFBA4DBDB025D188A69872" ma:contentTypeVersion="10" ma:contentTypeDescription="Utwórz nowy dokument." ma:contentTypeScope="" ma:versionID="159252110085d77f5adc6f129b887fc1">
  <xsd:schema xmlns:xsd="http://www.w3.org/2001/XMLSchema" xmlns:xs="http://www.w3.org/2001/XMLSchema" xmlns:p="http://schemas.microsoft.com/office/2006/metadata/properties" xmlns:ns3="be0e7154-d51e-4d90-ac5a-5fd1af21b19c" xmlns:ns4="4f8575d3-f9c8-4fe6-b442-b8884852a195" targetNamespace="http://schemas.microsoft.com/office/2006/metadata/properties" ma:root="true" ma:fieldsID="4ec6a56f21fb085ad9d18159ee315887" ns3:_="" ns4:_="">
    <xsd:import namespace="be0e7154-d51e-4d90-ac5a-5fd1af21b19c"/>
    <xsd:import namespace="4f8575d3-f9c8-4fe6-b442-b8884852a19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0e7154-d51e-4d90-ac5a-5fd1af21b1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575d3-f9c8-4fe6-b442-b8884852a19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E33E8A-704B-4EB7-8C49-FD31C0DC45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A49E87-6050-4C9E-BACE-D8637ADBA4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7992CBA-D78B-44C5-9DB8-D2FA8EE6C1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0e7154-d51e-4d90-ac5a-5fd1af21b19c"/>
    <ds:schemaRef ds:uri="4f8575d3-f9c8-4fe6-b442-b8884852a1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13D96FA-FA3C-4560-8C9E-1F2048D34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PFRON_szablon_Word</Template>
  <TotalTime>140</TotalTime>
  <Pages>1</Pages>
  <Words>286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- pismo firmowe - PFRON</vt:lpstr>
    </vt:vector>
  </TitlesOfParts>
  <Company/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- pismo firmowe - PFRON</dc:title>
  <dc:creator>Osmałek Iwona</dc:creator>
  <cp:lastModifiedBy>user13</cp:lastModifiedBy>
  <cp:revision>16</cp:revision>
  <cp:lastPrinted>2022-02-09T13:36:00Z</cp:lastPrinted>
  <dcterms:created xsi:type="dcterms:W3CDTF">2022-02-09T14:01:00Z</dcterms:created>
  <dcterms:modified xsi:type="dcterms:W3CDTF">2023-02-15T08:04:00Z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0x01010052A367F8D3CFBA4DBDB025D188A69872</vt:lpwstr>
  </property>
</Properties>
</file>