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20" w:rsidRPr="000043AF" w:rsidRDefault="00DD2320" w:rsidP="00DD2320">
      <w:pPr>
        <w:spacing w:after="0"/>
        <w:rPr>
          <w:rFonts w:ascii="Arial" w:hAnsi="Arial" w:cs="Arial"/>
          <w:b/>
          <w:color w:val="002060"/>
          <w:sz w:val="28"/>
          <w:szCs w:val="28"/>
        </w:rPr>
      </w:pPr>
      <w:r w:rsidRPr="007637F1">
        <w:rPr>
          <w:rFonts w:ascii="Arial" w:hAnsi="Arial" w:cs="Arial"/>
          <w:b/>
          <w:noProo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0043AF">
        <w:rPr>
          <w:rFonts w:ascii="Arial" w:hAnsi="Arial" w:cs="Arial"/>
          <w:b/>
          <w:color w:val="002060"/>
          <w:sz w:val="28"/>
          <w:szCs w:val="28"/>
        </w:rPr>
        <w:t>Wojewódzki Zespół Zakładów Opieki Zdrowotnej</w:t>
      </w:r>
    </w:p>
    <w:p w:rsidR="00DD2320" w:rsidRPr="000043AF" w:rsidRDefault="00DD2320" w:rsidP="00DD2320">
      <w:pPr>
        <w:pBdr>
          <w:bottom w:val="single" w:sz="4" w:space="2" w:color="0000FF"/>
        </w:pBdr>
        <w:spacing w:after="0"/>
        <w:jc w:val="center"/>
        <w:rPr>
          <w:rFonts w:ascii="Arial" w:hAnsi="Arial" w:cs="Arial"/>
          <w:b/>
          <w:color w:val="002060"/>
          <w:sz w:val="28"/>
          <w:szCs w:val="28"/>
        </w:rPr>
      </w:pPr>
      <w:r w:rsidRPr="000043AF">
        <w:rPr>
          <w:rFonts w:ascii="Arial" w:hAnsi="Arial" w:cs="Arial"/>
          <w:b/>
          <w:color w:val="002060"/>
          <w:sz w:val="28"/>
          <w:szCs w:val="28"/>
        </w:rPr>
        <w:t>Centrum Leczenia Chorób Płuc i Rehabilitacji w Łodzi</w:t>
      </w:r>
    </w:p>
    <w:p w:rsidR="00DD2320" w:rsidRPr="000043AF" w:rsidRDefault="00DD2320" w:rsidP="00DD2320">
      <w:pPr>
        <w:spacing w:after="0" w:line="240" w:lineRule="auto"/>
        <w:jc w:val="center"/>
        <w:rPr>
          <w:rFonts w:ascii="Century CE" w:hAnsi="Century CE"/>
          <w:color w:val="002060"/>
          <w:sz w:val="18"/>
          <w:szCs w:val="18"/>
        </w:rPr>
      </w:pPr>
      <w:r w:rsidRPr="000043AF">
        <w:rPr>
          <w:rFonts w:ascii="Century CE" w:hAnsi="Century CE"/>
          <w:color w:val="002060"/>
          <w:sz w:val="18"/>
          <w:szCs w:val="18"/>
        </w:rPr>
        <w:t xml:space="preserve">91-520 Łódź, ul. Okólna 181   </w:t>
      </w:r>
    </w:p>
    <w:p w:rsidR="00DD2320" w:rsidRPr="000043AF" w:rsidRDefault="00DD2320" w:rsidP="00DD2320">
      <w:pPr>
        <w:spacing w:after="0"/>
        <w:jc w:val="center"/>
        <w:rPr>
          <w:rFonts w:ascii="Century" w:hAnsi="Century"/>
          <w:color w:val="002060"/>
          <w:sz w:val="18"/>
          <w:szCs w:val="18"/>
        </w:rPr>
      </w:pPr>
      <w:r w:rsidRPr="000043AF">
        <w:rPr>
          <w:rFonts w:ascii="Century" w:hAnsi="Century"/>
          <w:color w:val="002060"/>
          <w:sz w:val="18"/>
          <w:szCs w:val="18"/>
        </w:rPr>
        <w:t>Centrala telefoniczna: /42/ 617 72 11;        fax.: /42/ 659 03 18;       Sekretariat: /42/ 659 00 11</w:t>
      </w:r>
    </w:p>
    <w:p w:rsidR="00DD2320" w:rsidRPr="000043AF" w:rsidRDefault="00DD2320" w:rsidP="00DD2320">
      <w:pPr>
        <w:spacing w:after="0" w:line="240" w:lineRule="auto"/>
        <w:jc w:val="center"/>
        <w:rPr>
          <w:rFonts w:ascii="Century" w:hAnsi="Century"/>
          <w:color w:val="002060"/>
          <w:sz w:val="18"/>
          <w:szCs w:val="18"/>
          <w:lang w:val="en-US"/>
        </w:rPr>
      </w:pPr>
      <w:r w:rsidRPr="000043AF">
        <w:rPr>
          <w:rFonts w:ascii="Century" w:hAnsi="Century"/>
          <w:color w:val="002060"/>
          <w:sz w:val="18"/>
          <w:szCs w:val="18"/>
          <w:lang w:val="en-US"/>
        </w:rPr>
        <w:t xml:space="preserve">email: </w:t>
      </w:r>
      <w:hyperlink r:id="rId6" w:history="1">
        <w:r w:rsidRPr="000043AF">
          <w:rPr>
            <w:rStyle w:val="Hipercze"/>
            <w:rFonts w:ascii="Century" w:hAnsi="Century"/>
            <w:color w:val="002060"/>
            <w:sz w:val="18"/>
            <w:szCs w:val="18"/>
            <w:lang w:val="en-US"/>
          </w:rPr>
          <w:t>clchp@centrumpluc.com.pl</w:t>
        </w:r>
      </w:hyperlink>
      <w:r>
        <w:rPr>
          <w:color w:val="002060"/>
        </w:rPr>
        <w:t xml:space="preserve">      </w:t>
      </w:r>
      <w:hyperlink r:id="rId7" w:history="1">
        <w:r w:rsidRPr="000043AF">
          <w:rPr>
            <w:rStyle w:val="Hipercze"/>
            <w:rFonts w:ascii="Century" w:hAnsi="Century"/>
            <w:color w:val="002060"/>
            <w:sz w:val="18"/>
            <w:szCs w:val="18"/>
            <w:lang w:val="en-US"/>
          </w:rPr>
          <w:t>www.centrumpluc.com.pl</w:t>
        </w:r>
      </w:hyperlink>
    </w:p>
    <w:p w:rsidR="00DD2320" w:rsidRPr="000043AF" w:rsidRDefault="00DD2320" w:rsidP="00DD2320">
      <w:pPr>
        <w:spacing w:after="0" w:line="240" w:lineRule="auto"/>
        <w:jc w:val="center"/>
        <w:rPr>
          <w:color w:val="002060"/>
          <w:sz w:val="15"/>
          <w:szCs w:val="15"/>
        </w:rPr>
      </w:pPr>
      <w:r w:rsidRPr="000043AF">
        <w:rPr>
          <w:rFonts w:ascii="Century" w:hAnsi="Century"/>
          <w:color w:val="002060"/>
          <w:sz w:val="18"/>
          <w:szCs w:val="18"/>
          <w:lang w:val="en-US"/>
        </w:rPr>
        <w:t>BDO 000035986                     KRS 0000192656</w:t>
      </w:r>
    </w:p>
    <w:p w:rsidR="00DD2320" w:rsidRPr="007637F1" w:rsidRDefault="00DD2320" w:rsidP="00DD2320">
      <w:pPr>
        <w:ind w:left="4956"/>
        <w:jc w:val="right"/>
        <w:rPr>
          <w:sz w:val="20"/>
          <w:szCs w:val="20"/>
        </w:rPr>
      </w:pPr>
      <w:r w:rsidRPr="007637F1">
        <w:rPr>
          <w:sz w:val="20"/>
          <w:szCs w:val="20"/>
        </w:rPr>
        <w:t xml:space="preserve">    Łódź, dnia </w:t>
      </w:r>
      <w:r w:rsidR="00853819">
        <w:rPr>
          <w:sz w:val="20"/>
          <w:szCs w:val="20"/>
        </w:rPr>
        <w:t>29.07</w:t>
      </w:r>
      <w:r>
        <w:rPr>
          <w:sz w:val="20"/>
          <w:szCs w:val="20"/>
        </w:rPr>
        <w:t>.</w:t>
      </w:r>
      <w:r w:rsidRPr="007637F1">
        <w:rPr>
          <w:sz w:val="20"/>
          <w:szCs w:val="20"/>
        </w:rPr>
        <w:t>2022 r.</w:t>
      </w:r>
    </w:p>
    <w:p w:rsidR="00DD2320" w:rsidRPr="007637F1" w:rsidRDefault="00DD2320" w:rsidP="00DD2320">
      <w:pPr>
        <w:rPr>
          <w:rFonts w:cs="Calibri"/>
          <w:i/>
          <w:sz w:val="20"/>
          <w:szCs w:val="20"/>
        </w:rPr>
      </w:pPr>
      <w:r w:rsidRPr="007637F1">
        <w:rPr>
          <w:sz w:val="16"/>
          <w:szCs w:val="16"/>
        </w:rPr>
        <w:t xml:space="preserve">l.dz. </w:t>
      </w:r>
      <w:proofErr w:type="spellStart"/>
      <w:r w:rsidRPr="007637F1">
        <w:rPr>
          <w:sz w:val="16"/>
          <w:szCs w:val="16"/>
        </w:rPr>
        <w:t>WZZOZCLChPłiR</w:t>
      </w:r>
      <w:proofErr w:type="spellEnd"/>
      <w:r w:rsidRPr="007637F1">
        <w:rPr>
          <w:sz w:val="16"/>
          <w:szCs w:val="16"/>
        </w:rPr>
        <w:t>/ZP/1</w:t>
      </w:r>
      <w:r w:rsidR="00853819">
        <w:rPr>
          <w:sz w:val="16"/>
          <w:szCs w:val="16"/>
        </w:rPr>
        <w:t>7</w:t>
      </w:r>
      <w:r>
        <w:rPr>
          <w:sz w:val="16"/>
          <w:szCs w:val="16"/>
        </w:rPr>
        <w:t>-1</w:t>
      </w:r>
      <w:r w:rsidRPr="007637F1">
        <w:rPr>
          <w:sz w:val="16"/>
          <w:szCs w:val="16"/>
        </w:rPr>
        <w:t>/22</w:t>
      </w:r>
    </w:p>
    <w:p w:rsidR="00DD2320" w:rsidRPr="007637F1" w:rsidRDefault="00DD2320" w:rsidP="00DD2320">
      <w:pPr>
        <w:pStyle w:val="Tekstpodstawowy"/>
        <w:ind w:left="709" w:hanging="709"/>
        <w:rPr>
          <w:rFonts w:ascii="Calibri" w:hAnsi="Calibri" w:cs="Calibri"/>
          <w:i/>
          <w:sz w:val="18"/>
          <w:szCs w:val="18"/>
        </w:rPr>
      </w:pPr>
    </w:p>
    <w:p w:rsidR="00DD2320" w:rsidRPr="007637F1" w:rsidRDefault="00DD2320" w:rsidP="00DD2320">
      <w:pPr>
        <w:pStyle w:val="Tekstpodstawowy"/>
        <w:ind w:left="709" w:hanging="709"/>
        <w:rPr>
          <w:rFonts w:ascii="Calibri" w:hAnsi="Calibri" w:cs="Calibri"/>
          <w:i/>
          <w:sz w:val="18"/>
          <w:szCs w:val="18"/>
        </w:rPr>
      </w:pPr>
      <w:r w:rsidRPr="007637F1">
        <w:rPr>
          <w:rFonts w:ascii="Calibri" w:hAnsi="Calibri" w:cs="Calibri"/>
          <w:i/>
          <w:sz w:val="18"/>
          <w:szCs w:val="18"/>
        </w:rPr>
        <w:t>Dotyczy: postępowania o udzielenie zam</w:t>
      </w:r>
      <w:r>
        <w:rPr>
          <w:rFonts w:ascii="Calibri" w:hAnsi="Calibri" w:cs="Calibri"/>
          <w:i/>
          <w:sz w:val="18"/>
          <w:szCs w:val="18"/>
        </w:rPr>
        <w:t>ówienia publ</w:t>
      </w:r>
      <w:r w:rsidR="00853819">
        <w:rPr>
          <w:rFonts w:ascii="Calibri" w:hAnsi="Calibri" w:cs="Calibri"/>
          <w:i/>
          <w:sz w:val="18"/>
          <w:szCs w:val="18"/>
        </w:rPr>
        <w:t>icznego pn. „Usługa sprzątania, transportu wewnątrzszpitalnego i czynności pomocniczych przy obsłudze pacjenta hospitalizowanego w</w:t>
      </w:r>
      <w:r>
        <w:rPr>
          <w:rFonts w:ascii="Calibri" w:hAnsi="Calibri" w:cs="Calibri"/>
          <w:i/>
          <w:sz w:val="18"/>
          <w:szCs w:val="18"/>
        </w:rPr>
        <w:t xml:space="preserve"> </w:t>
      </w:r>
      <w:r w:rsidRPr="007637F1">
        <w:rPr>
          <w:rFonts w:ascii="Calibri" w:hAnsi="Calibri" w:cs="Tahoma"/>
          <w:i/>
          <w:sz w:val="18"/>
          <w:szCs w:val="18"/>
        </w:rPr>
        <w:t>Wojewódzk</w:t>
      </w:r>
      <w:r w:rsidR="00853819">
        <w:rPr>
          <w:rFonts w:ascii="Calibri" w:hAnsi="Calibri" w:cs="Tahoma"/>
          <w:i/>
          <w:sz w:val="18"/>
          <w:szCs w:val="18"/>
        </w:rPr>
        <w:t>im</w:t>
      </w:r>
      <w:r w:rsidRPr="007637F1">
        <w:rPr>
          <w:rFonts w:ascii="Calibri" w:hAnsi="Calibri" w:cs="Tahoma"/>
          <w:i/>
          <w:sz w:val="18"/>
          <w:szCs w:val="18"/>
        </w:rPr>
        <w:t xml:space="preserve"> Zespo</w:t>
      </w:r>
      <w:r w:rsidR="00853819">
        <w:rPr>
          <w:rFonts w:ascii="Calibri" w:hAnsi="Calibri" w:cs="Tahoma"/>
          <w:i/>
          <w:sz w:val="18"/>
          <w:szCs w:val="18"/>
        </w:rPr>
        <w:t>le</w:t>
      </w:r>
      <w:r w:rsidRPr="007637F1">
        <w:rPr>
          <w:rFonts w:ascii="Calibri" w:hAnsi="Calibri" w:cs="Tahoma"/>
          <w:i/>
          <w:sz w:val="18"/>
          <w:szCs w:val="18"/>
        </w:rPr>
        <w:t xml:space="preserve"> Zakładów Opieki Zdrowotnej Centrum Leczenia Chorób Płuc i Rehabilitacji w Łodzi</w:t>
      </w:r>
      <w:r>
        <w:rPr>
          <w:rFonts w:ascii="Calibri" w:hAnsi="Calibri" w:cs="Tahoma"/>
          <w:i/>
          <w:sz w:val="18"/>
          <w:szCs w:val="18"/>
        </w:rPr>
        <w:t>”</w:t>
      </w:r>
    </w:p>
    <w:p w:rsidR="00DD2320" w:rsidRPr="007637F1" w:rsidRDefault="00DD2320" w:rsidP="00DD2320">
      <w:pPr>
        <w:pStyle w:val="Tekstpodstawowywcity3"/>
        <w:spacing w:after="0" w:line="240" w:lineRule="auto"/>
        <w:ind w:left="0" w:right="72"/>
        <w:jc w:val="both"/>
        <w:rPr>
          <w:rFonts w:cs="Calibri"/>
          <w:sz w:val="20"/>
        </w:rPr>
      </w:pPr>
    </w:p>
    <w:p w:rsidR="00DD2320" w:rsidRPr="007637F1" w:rsidRDefault="00DD2320" w:rsidP="00DD2320">
      <w:pPr>
        <w:keepNext/>
        <w:spacing w:after="0" w:line="240" w:lineRule="auto"/>
        <w:jc w:val="both"/>
        <w:outlineLvl w:val="1"/>
        <w:rPr>
          <w:rFonts w:cs="Arial"/>
          <w:b/>
          <w:i/>
          <w:sz w:val="20"/>
          <w:szCs w:val="20"/>
        </w:rPr>
      </w:pPr>
      <w:r w:rsidRPr="007637F1">
        <w:rPr>
          <w:rFonts w:cs="Arial"/>
          <w:b/>
          <w:i/>
          <w:sz w:val="20"/>
          <w:szCs w:val="20"/>
        </w:rPr>
        <w:t>Znak sprawy:  1</w:t>
      </w:r>
      <w:r w:rsidR="00853819">
        <w:rPr>
          <w:rFonts w:cs="Arial"/>
          <w:b/>
          <w:i/>
          <w:sz w:val="20"/>
          <w:szCs w:val="20"/>
        </w:rPr>
        <w:t>7</w:t>
      </w:r>
      <w:r w:rsidRPr="007637F1">
        <w:rPr>
          <w:rFonts w:cs="Arial"/>
          <w:b/>
          <w:i/>
          <w:sz w:val="20"/>
          <w:szCs w:val="20"/>
        </w:rPr>
        <w:t>/ZP/</w:t>
      </w:r>
      <w:r w:rsidR="00853819">
        <w:rPr>
          <w:rFonts w:cs="Arial"/>
          <w:b/>
          <w:i/>
          <w:sz w:val="20"/>
          <w:szCs w:val="20"/>
        </w:rPr>
        <w:t>PN</w:t>
      </w:r>
      <w:r w:rsidRPr="007637F1">
        <w:rPr>
          <w:rFonts w:cs="Arial"/>
          <w:b/>
          <w:i/>
          <w:sz w:val="20"/>
          <w:szCs w:val="20"/>
        </w:rPr>
        <w:t>/22</w:t>
      </w:r>
    </w:p>
    <w:p w:rsidR="00DD2320" w:rsidRPr="007637F1" w:rsidRDefault="00DD2320" w:rsidP="00DD2320">
      <w:pPr>
        <w:keepNext/>
        <w:spacing w:after="0" w:line="240" w:lineRule="auto"/>
        <w:jc w:val="both"/>
        <w:outlineLvl w:val="1"/>
        <w:rPr>
          <w:rFonts w:cs="Arial"/>
          <w:b/>
          <w:i/>
          <w:sz w:val="20"/>
          <w:szCs w:val="20"/>
        </w:rPr>
      </w:pPr>
    </w:p>
    <w:p w:rsidR="00DD2320" w:rsidRPr="007637F1" w:rsidRDefault="00DD2320" w:rsidP="00DD2320">
      <w:pPr>
        <w:keepNext/>
        <w:spacing w:after="0" w:line="240" w:lineRule="auto"/>
        <w:jc w:val="both"/>
        <w:outlineLvl w:val="1"/>
        <w:rPr>
          <w:rFonts w:cs="Arial"/>
          <w:b/>
          <w:i/>
          <w:sz w:val="20"/>
          <w:szCs w:val="20"/>
        </w:rPr>
      </w:pPr>
    </w:p>
    <w:p w:rsidR="00853819" w:rsidRPr="00F71E8C" w:rsidRDefault="00853819" w:rsidP="00853819">
      <w:pPr>
        <w:pStyle w:val="Bezodstpw"/>
        <w:ind w:firstLine="708"/>
        <w:jc w:val="both"/>
        <w:rPr>
          <w:rFonts w:asciiTheme="minorHAnsi" w:hAnsiTheme="minorHAnsi" w:cstheme="minorHAnsi"/>
          <w:sz w:val="20"/>
          <w:szCs w:val="20"/>
        </w:rPr>
      </w:pPr>
      <w:r w:rsidRPr="00F71E8C">
        <w:rPr>
          <w:rFonts w:asciiTheme="minorHAnsi" w:hAnsiTheme="minorHAnsi" w:cstheme="minorHAnsi"/>
          <w:sz w:val="20"/>
          <w:szCs w:val="20"/>
        </w:rPr>
        <w:t>Wojewódzki Zespół Zakładów Opieki Zdrowotnej Centrum Leczenia Chorób Płuc i Rehabilitacji w Łodzi na podstawie art. 135 ust. 2 ustawy z dnia 11 września 2019 r.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w:t>
      </w:r>
      <w:r w:rsidRPr="00F71E8C">
        <w:rPr>
          <w:rFonts w:asciiTheme="minorHAnsi" w:hAnsiTheme="minorHAnsi" w:cstheme="minorHAnsi"/>
          <w:sz w:val="20"/>
          <w:szCs w:val="20"/>
        </w:rPr>
        <w:t xml:space="preserve">Dz. U. </w:t>
      </w:r>
      <w:r>
        <w:rPr>
          <w:rFonts w:asciiTheme="minorHAnsi" w:hAnsiTheme="minorHAnsi" w:cstheme="minorHAnsi"/>
          <w:sz w:val="20"/>
          <w:szCs w:val="20"/>
        </w:rPr>
        <w:t>2021</w:t>
      </w:r>
      <w:r w:rsidRPr="00F71E8C">
        <w:rPr>
          <w:rFonts w:asciiTheme="minorHAnsi" w:hAnsiTheme="minorHAnsi" w:cstheme="minorHAnsi"/>
          <w:sz w:val="20"/>
          <w:szCs w:val="20"/>
        </w:rPr>
        <w:t xml:space="preserve">, poz. </w:t>
      </w:r>
      <w:r>
        <w:rPr>
          <w:rFonts w:asciiTheme="minorHAnsi" w:hAnsiTheme="minorHAnsi" w:cstheme="minorHAnsi"/>
          <w:sz w:val="20"/>
          <w:szCs w:val="20"/>
        </w:rPr>
        <w:t>1129</w:t>
      </w:r>
      <w:r w:rsidRPr="00F71E8C">
        <w:rPr>
          <w:rFonts w:asciiTheme="minorHAnsi" w:hAnsiTheme="minorHAnsi" w:cstheme="minorHAnsi"/>
          <w:sz w:val="20"/>
          <w:szCs w:val="20"/>
        </w:rPr>
        <w:t xml:space="preserve"> z </w:t>
      </w:r>
      <w:proofErr w:type="spellStart"/>
      <w:r w:rsidRPr="00F71E8C">
        <w:rPr>
          <w:rFonts w:asciiTheme="minorHAnsi" w:hAnsiTheme="minorHAnsi" w:cstheme="minorHAnsi"/>
          <w:sz w:val="20"/>
          <w:szCs w:val="20"/>
        </w:rPr>
        <w:t>późn</w:t>
      </w:r>
      <w:proofErr w:type="spellEnd"/>
      <w:r w:rsidRPr="00F71E8C">
        <w:rPr>
          <w:rFonts w:asciiTheme="minorHAnsi" w:hAnsiTheme="minorHAnsi" w:cstheme="minorHAnsi"/>
          <w:sz w:val="20"/>
          <w:szCs w:val="20"/>
        </w:rPr>
        <w:t>. zm.) udziela odpowi</w:t>
      </w:r>
      <w:r>
        <w:rPr>
          <w:rFonts w:asciiTheme="minorHAnsi" w:hAnsiTheme="minorHAnsi" w:cstheme="minorHAnsi"/>
          <w:sz w:val="20"/>
          <w:szCs w:val="20"/>
        </w:rPr>
        <w:t xml:space="preserve">edzi na zadane przez wykonawcę </w:t>
      </w:r>
      <w:r w:rsidRPr="00F71E8C">
        <w:rPr>
          <w:rFonts w:asciiTheme="minorHAnsi" w:hAnsiTheme="minorHAnsi" w:cstheme="minorHAnsi"/>
          <w:sz w:val="20"/>
          <w:szCs w:val="20"/>
        </w:rPr>
        <w:t xml:space="preserve">pytania dotyczące zapisów treści SWZ </w:t>
      </w:r>
      <w:r>
        <w:rPr>
          <w:rFonts w:asciiTheme="minorHAnsi" w:hAnsiTheme="minorHAnsi" w:cstheme="minorHAnsi"/>
          <w:sz w:val="20"/>
          <w:szCs w:val="20"/>
        </w:rPr>
        <w:t xml:space="preserve">do </w:t>
      </w:r>
      <w:r w:rsidRPr="00F71E8C">
        <w:rPr>
          <w:rFonts w:asciiTheme="minorHAnsi" w:hAnsiTheme="minorHAnsi" w:cstheme="minorHAnsi"/>
          <w:sz w:val="20"/>
          <w:szCs w:val="20"/>
        </w:rPr>
        <w:t xml:space="preserve">w/w postępowania.  </w:t>
      </w:r>
    </w:p>
    <w:p w:rsidR="00DD2320" w:rsidRDefault="00DD2320" w:rsidP="00DD2320">
      <w:pPr>
        <w:spacing w:after="0" w:line="240" w:lineRule="auto"/>
        <w:jc w:val="both"/>
        <w:rPr>
          <w:rFonts w:asciiTheme="minorHAnsi" w:hAnsiTheme="minorHAnsi" w:cstheme="minorHAnsi"/>
          <w:sz w:val="20"/>
          <w:szCs w:val="20"/>
        </w:rPr>
      </w:pPr>
    </w:p>
    <w:p w:rsidR="00DD2320" w:rsidRPr="00BE1F34" w:rsidRDefault="00DD2320" w:rsidP="00DD2320">
      <w:pPr>
        <w:spacing w:after="0" w:line="240" w:lineRule="auto"/>
        <w:jc w:val="both"/>
        <w:rPr>
          <w:rFonts w:asciiTheme="minorHAnsi" w:hAnsiTheme="minorHAnsi" w:cstheme="minorHAnsi"/>
          <w:sz w:val="20"/>
          <w:szCs w:val="20"/>
        </w:rPr>
      </w:pPr>
    </w:p>
    <w:p w:rsidR="00DD2320" w:rsidRPr="00BE1F34" w:rsidRDefault="00DD2320" w:rsidP="00DD2320">
      <w:pPr>
        <w:spacing w:after="0" w:line="240" w:lineRule="auto"/>
        <w:jc w:val="both"/>
        <w:rPr>
          <w:rFonts w:asciiTheme="minorHAnsi" w:hAnsiTheme="minorHAnsi" w:cstheme="minorHAnsi"/>
          <w:sz w:val="20"/>
          <w:szCs w:val="20"/>
        </w:rPr>
      </w:pPr>
      <w:r w:rsidRPr="00BE1F34">
        <w:rPr>
          <w:rFonts w:asciiTheme="minorHAnsi" w:hAnsiTheme="minorHAnsi" w:cstheme="minorHAnsi"/>
          <w:b/>
          <w:sz w:val="20"/>
          <w:szCs w:val="20"/>
        </w:rPr>
        <w:t xml:space="preserve">Pytanie 1 </w:t>
      </w:r>
    </w:p>
    <w:p w:rsidR="00853819" w:rsidRPr="00853819" w:rsidRDefault="00853819" w:rsidP="00853819">
      <w:pPr>
        <w:spacing w:after="0" w:line="240" w:lineRule="auto"/>
        <w:jc w:val="both"/>
        <w:rPr>
          <w:rFonts w:asciiTheme="minorHAnsi" w:hAnsiTheme="minorHAnsi" w:cstheme="minorHAnsi"/>
          <w:sz w:val="20"/>
          <w:szCs w:val="20"/>
        </w:rPr>
      </w:pPr>
      <w:r w:rsidRPr="00853819">
        <w:rPr>
          <w:rFonts w:asciiTheme="minorHAnsi" w:hAnsiTheme="minorHAnsi" w:cstheme="minorHAnsi"/>
          <w:sz w:val="20"/>
          <w:szCs w:val="20"/>
        </w:rPr>
        <w:t xml:space="preserve">Wnosimy o wyrażenie zgody na zatrudnienie pracowników na umowę zlecenie wyłącznie </w:t>
      </w:r>
      <w:r w:rsidRPr="00853819">
        <w:rPr>
          <w:rFonts w:asciiTheme="minorHAnsi" w:hAnsiTheme="minorHAnsi" w:cstheme="minorHAnsi"/>
          <w:sz w:val="20"/>
          <w:szCs w:val="20"/>
        </w:rPr>
        <w:br/>
        <w:t xml:space="preserve">w przypadku nagłych i niespodziewanych nieobecności, pracownika zatrudnionego na umowę </w:t>
      </w:r>
      <w:r w:rsidRPr="00853819">
        <w:rPr>
          <w:rFonts w:asciiTheme="minorHAnsi" w:hAnsiTheme="minorHAnsi" w:cstheme="minorHAnsi"/>
          <w:sz w:val="20"/>
          <w:szCs w:val="20"/>
        </w:rPr>
        <w:br/>
        <w:t>o pracę, wynikających z przyczyn losowych (m.in. zwolnienia lekarskie, porodu, urlopu na żądanie).</w:t>
      </w:r>
      <w:r w:rsidRPr="00853819">
        <w:rPr>
          <w:rFonts w:asciiTheme="minorHAnsi" w:hAnsiTheme="minorHAnsi" w:cstheme="minorHAnsi"/>
          <w:sz w:val="20"/>
          <w:szCs w:val="20"/>
        </w:rPr>
        <w:br/>
        <w:t>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z zakresu medycyny pracy, czy szkoleń BHP, co w sytuacjach nagłych jest nierealne i wymaga dodatkowego czasu. W związku z powyższym wnosimy jak na wstępie.</w:t>
      </w:r>
    </w:p>
    <w:p w:rsidR="00DD2320" w:rsidRPr="002A4524" w:rsidRDefault="00DD2320" w:rsidP="009335E9">
      <w:pPr>
        <w:spacing w:after="0" w:line="240" w:lineRule="auto"/>
        <w:jc w:val="both"/>
        <w:rPr>
          <w:rFonts w:asciiTheme="minorHAnsi" w:hAnsiTheme="minorHAnsi" w:cstheme="minorHAnsi"/>
          <w:sz w:val="20"/>
          <w:szCs w:val="20"/>
        </w:rPr>
      </w:pPr>
      <w:r w:rsidRPr="001F3D12">
        <w:rPr>
          <w:rFonts w:asciiTheme="minorHAnsi" w:hAnsiTheme="minorHAnsi" w:cstheme="minorHAnsi"/>
          <w:b/>
          <w:sz w:val="20"/>
          <w:szCs w:val="20"/>
        </w:rPr>
        <w:t>Odpowiedź:</w:t>
      </w:r>
      <w:r>
        <w:rPr>
          <w:rFonts w:asciiTheme="minorHAnsi" w:hAnsiTheme="minorHAnsi" w:cstheme="minorHAnsi"/>
          <w:b/>
          <w:sz w:val="20"/>
          <w:szCs w:val="20"/>
        </w:rPr>
        <w:t xml:space="preserve"> </w:t>
      </w:r>
      <w:r w:rsidR="00853819" w:rsidRPr="009335E9">
        <w:rPr>
          <w:rFonts w:asciiTheme="minorHAnsi" w:hAnsiTheme="minorHAnsi" w:cstheme="minorHAnsi"/>
          <w:sz w:val="20"/>
          <w:szCs w:val="20"/>
        </w:rPr>
        <w:t>Zamawiający nie wyraża zgody, podtrzymuje zapisy SWZ.</w:t>
      </w:r>
      <w:r w:rsidR="008C1150">
        <w:rPr>
          <w:rFonts w:asciiTheme="minorHAnsi" w:hAnsiTheme="minorHAnsi" w:cstheme="minorHAnsi"/>
          <w:sz w:val="20"/>
          <w:szCs w:val="20"/>
        </w:rPr>
        <w:t xml:space="preserve"> Jednocześnie Zamawiający zwraca uwagę, że uzna warunek za spełniony w przypadku zatrudnienia pracownika na umowę o pracę przez Agencję Zatrudnienia.</w:t>
      </w:r>
    </w:p>
    <w:p w:rsidR="00DD2320" w:rsidRPr="001F3D12" w:rsidRDefault="00DD2320" w:rsidP="00DD2320">
      <w:pPr>
        <w:spacing w:after="0" w:line="240" w:lineRule="auto"/>
        <w:jc w:val="both"/>
        <w:rPr>
          <w:rFonts w:asciiTheme="minorHAnsi" w:hAnsiTheme="minorHAnsi" w:cstheme="minorHAnsi"/>
          <w:sz w:val="20"/>
          <w:szCs w:val="20"/>
        </w:rPr>
      </w:pPr>
      <w:r w:rsidRPr="001F3D12">
        <w:rPr>
          <w:rFonts w:asciiTheme="minorHAnsi" w:hAnsiTheme="minorHAnsi" w:cstheme="minorHAnsi"/>
          <w:b/>
          <w:sz w:val="20"/>
          <w:szCs w:val="20"/>
        </w:rPr>
        <w:t xml:space="preserve">Pytanie 2 </w:t>
      </w:r>
    </w:p>
    <w:p w:rsidR="00853819" w:rsidRPr="00853819" w:rsidRDefault="00853819" w:rsidP="00853819">
      <w:pPr>
        <w:spacing w:after="0" w:line="240" w:lineRule="auto"/>
        <w:jc w:val="both"/>
        <w:rPr>
          <w:rFonts w:asciiTheme="minorHAnsi" w:hAnsiTheme="minorHAnsi" w:cstheme="minorHAnsi"/>
          <w:sz w:val="20"/>
          <w:szCs w:val="20"/>
        </w:rPr>
      </w:pPr>
      <w:r w:rsidRPr="00853819">
        <w:rPr>
          <w:rFonts w:asciiTheme="minorHAnsi" w:hAnsiTheme="minorHAnsi" w:cstheme="minorHAnsi"/>
          <w:sz w:val="20"/>
          <w:szCs w:val="20"/>
        </w:rPr>
        <w:t xml:space="preserve">Wnosimy o dodanie do treści SWZ badania podstawy wykluczenia Wykonawcy określonej w art. 109 ust. 1  </w:t>
      </w:r>
      <w:proofErr w:type="spellStart"/>
      <w:r w:rsidRPr="00853819">
        <w:rPr>
          <w:rFonts w:asciiTheme="minorHAnsi" w:hAnsiTheme="minorHAnsi" w:cstheme="minorHAnsi"/>
          <w:sz w:val="20"/>
          <w:szCs w:val="20"/>
        </w:rPr>
        <w:t>pkt</w:t>
      </w:r>
      <w:proofErr w:type="spellEnd"/>
      <w:r w:rsidRPr="00853819">
        <w:rPr>
          <w:rFonts w:asciiTheme="minorHAnsi" w:hAnsiTheme="minorHAnsi" w:cstheme="minorHAnsi"/>
          <w:sz w:val="20"/>
          <w:szCs w:val="20"/>
        </w:rPr>
        <w:t xml:space="preserve"> 5) i 7) ustawy z dn. 11.09.2019 roku Prawo zamówień publicznych (</w:t>
      </w:r>
      <w:proofErr w:type="spellStart"/>
      <w:r w:rsidRPr="00853819">
        <w:rPr>
          <w:rFonts w:asciiTheme="minorHAnsi" w:hAnsiTheme="minorHAnsi" w:cstheme="minorHAnsi"/>
          <w:sz w:val="20"/>
          <w:szCs w:val="20"/>
        </w:rPr>
        <w:t>Dz.U</w:t>
      </w:r>
      <w:proofErr w:type="spellEnd"/>
      <w:r w:rsidRPr="00853819">
        <w:rPr>
          <w:rFonts w:asciiTheme="minorHAnsi" w:hAnsiTheme="minorHAnsi" w:cstheme="minorHAnsi"/>
          <w:sz w:val="20"/>
          <w:szCs w:val="20"/>
        </w:rPr>
        <w:t xml:space="preserve">. z 2019 poz. 2019 ze zm.). </w:t>
      </w:r>
    </w:p>
    <w:p w:rsidR="00853819" w:rsidRPr="00853819" w:rsidRDefault="00853819" w:rsidP="00853819">
      <w:pPr>
        <w:spacing w:after="0" w:line="240" w:lineRule="auto"/>
        <w:jc w:val="both"/>
        <w:rPr>
          <w:rFonts w:asciiTheme="minorHAnsi" w:hAnsiTheme="minorHAnsi" w:cstheme="minorHAnsi"/>
          <w:sz w:val="20"/>
          <w:szCs w:val="20"/>
        </w:rPr>
      </w:pPr>
      <w:r w:rsidRPr="00853819">
        <w:rPr>
          <w:rFonts w:asciiTheme="minorHAnsi" w:hAnsiTheme="minorHAnsi" w:cstheme="minorHAnsi"/>
          <w:sz w:val="20"/>
          <w:szCs w:val="20"/>
        </w:rPr>
        <w:t xml:space="preserve">Uzasadnienie: Z naszych dotychczasowych analiz wynika, że w postępowaniach, w których nie przewidziano ww. fakultatywnych podstaw wykluczenia oferty składają podmioty, którym w ostatnich trzech latach wypowiedziano umowy o zamówienia publiczne z przyczyn leżącej po stronie Wykonawcy. </w:t>
      </w:r>
    </w:p>
    <w:p w:rsidR="00853819" w:rsidRPr="00853819" w:rsidRDefault="00853819" w:rsidP="00853819">
      <w:pPr>
        <w:spacing w:after="0" w:line="240" w:lineRule="auto"/>
        <w:jc w:val="both"/>
        <w:rPr>
          <w:rFonts w:asciiTheme="minorHAnsi" w:hAnsiTheme="minorHAnsi" w:cstheme="minorHAnsi"/>
          <w:sz w:val="20"/>
          <w:szCs w:val="20"/>
        </w:rPr>
      </w:pPr>
      <w:r w:rsidRPr="00853819">
        <w:rPr>
          <w:rFonts w:asciiTheme="minorHAnsi" w:hAnsiTheme="minorHAnsi" w:cstheme="minorHAnsi"/>
          <w:sz w:val="20"/>
          <w:szCs w:val="20"/>
        </w:rPr>
        <w:t xml:space="preserve">Przesłanki z art. 109 ust. 1  </w:t>
      </w:r>
      <w:proofErr w:type="spellStart"/>
      <w:r w:rsidRPr="00853819">
        <w:rPr>
          <w:rFonts w:asciiTheme="minorHAnsi" w:hAnsiTheme="minorHAnsi" w:cstheme="minorHAnsi"/>
          <w:sz w:val="20"/>
          <w:szCs w:val="20"/>
        </w:rPr>
        <w:t>pkt</w:t>
      </w:r>
      <w:proofErr w:type="spellEnd"/>
      <w:r w:rsidRPr="00853819">
        <w:rPr>
          <w:rFonts w:asciiTheme="minorHAnsi" w:hAnsiTheme="minorHAnsi" w:cstheme="minorHAnsi"/>
          <w:sz w:val="20"/>
          <w:szCs w:val="20"/>
        </w:rPr>
        <w:t xml:space="preserve"> 5) i 7) PZP podobnie jak pozostałe przesłanki fakultatywne przewidziane w ww. postępowaniu pozwalają na dodatkowe badanie sytuacji podmiotowej wykonawcy.  Postawa wykonawcy, stopień należytego bądź nienależytego wykonania umowy o zamówienie publiczne, czyli aspektu jakościowego i merytorycznego wywiązania się z realizacji obowiązku przyjętego w złożonej ofercie powinny być naczelną kwestią weryfikowaną przez Zamawiających dbających o udzielanie zamówień publicznych rzetelnym i wiarygodnym wykonawcom. Zamawiający będący szpitalem w szczególny sposób powinien zwrócić uwagę na ryzyka związane z nienależytym wykonywaniem usług będących przedmiotem zamówienia. </w:t>
      </w:r>
    </w:p>
    <w:p w:rsidR="00853819" w:rsidRPr="0061494A" w:rsidRDefault="00853819" w:rsidP="00853819">
      <w:pPr>
        <w:spacing w:after="0" w:line="240" w:lineRule="auto"/>
        <w:jc w:val="both"/>
        <w:rPr>
          <w:rFonts w:asciiTheme="majorHAnsi" w:hAnsiTheme="majorHAnsi" w:cstheme="majorHAnsi"/>
          <w:sz w:val="24"/>
          <w:szCs w:val="24"/>
        </w:rPr>
      </w:pPr>
      <w:r w:rsidRPr="00853819">
        <w:rPr>
          <w:rFonts w:asciiTheme="minorHAnsi" w:hAnsiTheme="minorHAnsi" w:cstheme="minorHAnsi"/>
          <w:sz w:val="20"/>
          <w:szCs w:val="20"/>
        </w:rPr>
        <w:t xml:space="preserve">Brak w przedmiotowym postępowaniu fakultatywnych przesłanek wykluczenia wykonawców na podstawie art. 109 ust. 1  </w:t>
      </w:r>
      <w:proofErr w:type="spellStart"/>
      <w:r w:rsidRPr="00853819">
        <w:rPr>
          <w:rFonts w:asciiTheme="minorHAnsi" w:hAnsiTheme="minorHAnsi" w:cstheme="minorHAnsi"/>
          <w:sz w:val="20"/>
          <w:szCs w:val="20"/>
        </w:rPr>
        <w:t>pkt</w:t>
      </w:r>
      <w:proofErr w:type="spellEnd"/>
      <w:r w:rsidRPr="00853819">
        <w:rPr>
          <w:rFonts w:asciiTheme="minorHAnsi" w:hAnsiTheme="minorHAnsi" w:cstheme="minorHAnsi"/>
          <w:sz w:val="20"/>
          <w:szCs w:val="20"/>
        </w:rPr>
        <w:t xml:space="preserve"> 5) i 7) PZP spowoduje brak realnej możliwości weryfikacji przez Zamawiającego negatywnego doświadczenia Wykonawców.</w:t>
      </w:r>
    </w:p>
    <w:p w:rsidR="003B5879" w:rsidRDefault="00DD2320" w:rsidP="003B5879">
      <w:pPr>
        <w:spacing w:after="0" w:line="240" w:lineRule="auto"/>
        <w:jc w:val="both"/>
        <w:rPr>
          <w:rFonts w:asciiTheme="minorHAnsi" w:hAnsiTheme="minorHAnsi" w:cstheme="minorHAnsi"/>
          <w:sz w:val="20"/>
          <w:szCs w:val="20"/>
        </w:rPr>
      </w:pPr>
      <w:r w:rsidRPr="001F3D12">
        <w:rPr>
          <w:rFonts w:asciiTheme="minorHAnsi" w:hAnsiTheme="minorHAnsi" w:cstheme="minorHAnsi"/>
          <w:b/>
          <w:sz w:val="20"/>
          <w:szCs w:val="20"/>
        </w:rPr>
        <w:t>Odpowiedź:</w:t>
      </w:r>
      <w:r>
        <w:rPr>
          <w:rFonts w:asciiTheme="minorHAnsi" w:hAnsiTheme="minorHAnsi" w:cstheme="minorHAnsi"/>
          <w:sz w:val="20"/>
          <w:szCs w:val="20"/>
        </w:rPr>
        <w:t xml:space="preserve"> </w:t>
      </w:r>
      <w:r w:rsidR="003B5879" w:rsidRPr="003B5879">
        <w:rPr>
          <w:rFonts w:asciiTheme="minorHAnsi" w:hAnsiTheme="minorHAnsi" w:cstheme="minorHAnsi"/>
          <w:sz w:val="20"/>
          <w:szCs w:val="20"/>
        </w:rPr>
        <w:t>Zamawiający</w:t>
      </w:r>
      <w:r w:rsidR="008F4B9B">
        <w:rPr>
          <w:rFonts w:asciiTheme="minorHAnsi" w:hAnsiTheme="minorHAnsi" w:cstheme="minorHAnsi"/>
          <w:sz w:val="20"/>
          <w:szCs w:val="20"/>
        </w:rPr>
        <w:t xml:space="preserve"> wyraża zgodę na dodaje do treści SWZ badania</w:t>
      </w:r>
      <w:r w:rsidR="003B5879" w:rsidRPr="003B5879">
        <w:rPr>
          <w:rFonts w:asciiTheme="minorHAnsi" w:hAnsiTheme="minorHAnsi" w:cstheme="minorHAnsi"/>
          <w:sz w:val="20"/>
          <w:szCs w:val="20"/>
        </w:rPr>
        <w:t xml:space="preserve"> podstaw</w:t>
      </w:r>
      <w:r w:rsidR="008F4B9B">
        <w:rPr>
          <w:rFonts w:asciiTheme="minorHAnsi" w:hAnsiTheme="minorHAnsi" w:cstheme="minorHAnsi"/>
          <w:sz w:val="20"/>
          <w:szCs w:val="20"/>
        </w:rPr>
        <w:t>y</w:t>
      </w:r>
      <w:r w:rsidR="003B5879">
        <w:rPr>
          <w:rFonts w:asciiTheme="minorHAnsi" w:hAnsiTheme="minorHAnsi" w:cstheme="minorHAnsi"/>
          <w:color w:val="FF0000"/>
          <w:sz w:val="20"/>
          <w:szCs w:val="20"/>
        </w:rPr>
        <w:t xml:space="preserve"> </w:t>
      </w:r>
      <w:r w:rsidR="003B5879" w:rsidRPr="00853819">
        <w:rPr>
          <w:rFonts w:asciiTheme="minorHAnsi" w:hAnsiTheme="minorHAnsi" w:cstheme="minorHAnsi"/>
          <w:sz w:val="20"/>
          <w:szCs w:val="20"/>
        </w:rPr>
        <w:t xml:space="preserve">wykluczenia Wykonawcy określonej w art. 109 ust. 1  </w:t>
      </w:r>
      <w:proofErr w:type="spellStart"/>
      <w:r w:rsidR="003B5879" w:rsidRPr="00853819">
        <w:rPr>
          <w:rFonts w:asciiTheme="minorHAnsi" w:hAnsiTheme="minorHAnsi" w:cstheme="minorHAnsi"/>
          <w:sz w:val="20"/>
          <w:szCs w:val="20"/>
        </w:rPr>
        <w:t>pkt</w:t>
      </w:r>
      <w:proofErr w:type="spellEnd"/>
      <w:r w:rsidR="003B5879" w:rsidRPr="00853819">
        <w:rPr>
          <w:rFonts w:asciiTheme="minorHAnsi" w:hAnsiTheme="minorHAnsi" w:cstheme="minorHAnsi"/>
          <w:sz w:val="20"/>
          <w:szCs w:val="20"/>
        </w:rPr>
        <w:t xml:space="preserve"> 5) i 7) ustawy z dn. 11.09.2019 roku Prawo zamówień publicznych (</w:t>
      </w:r>
      <w:proofErr w:type="spellStart"/>
      <w:r w:rsidR="003B5879" w:rsidRPr="00853819">
        <w:rPr>
          <w:rFonts w:asciiTheme="minorHAnsi" w:hAnsiTheme="minorHAnsi" w:cstheme="minorHAnsi"/>
          <w:sz w:val="20"/>
          <w:szCs w:val="20"/>
        </w:rPr>
        <w:t>Dz.U</w:t>
      </w:r>
      <w:proofErr w:type="spellEnd"/>
      <w:r w:rsidR="003B5879" w:rsidRPr="00853819">
        <w:rPr>
          <w:rFonts w:asciiTheme="minorHAnsi" w:hAnsiTheme="minorHAnsi" w:cstheme="minorHAnsi"/>
          <w:sz w:val="20"/>
          <w:szCs w:val="20"/>
        </w:rPr>
        <w:t xml:space="preserve">. z 2019 poz. 2019 ze zm.). </w:t>
      </w:r>
    </w:p>
    <w:p w:rsidR="00DD2320" w:rsidRPr="001F3D12" w:rsidRDefault="00DD2320" w:rsidP="00DD2320">
      <w:pPr>
        <w:spacing w:after="0" w:line="240" w:lineRule="auto"/>
        <w:jc w:val="both"/>
        <w:rPr>
          <w:rFonts w:asciiTheme="minorHAnsi" w:hAnsiTheme="minorHAnsi" w:cstheme="minorHAnsi"/>
          <w:sz w:val="20"/>
          <w:szCs w:val="20"/>
        </w:rPr>
      </w:pPr>
      <w:r w:rsidRPr="001F3D12">
        <w:rPr>
          <w:rFonts w:asciiTheme="minorHAnsi" w:hAnsiTheme="minorHAnsi" w:cstheme="minorHAnsi"/>
          <w:b/>
          <w:sz w:val="20"/>
          <w:szCs w:val="20"/>
        </w:rPr>
        <w:t xml:space="preserve">Pytanie 3 </w:t>
      </w:r>
    </w:p>
    <w:p w:rsidR="00853819" w:rsidRPr="00853819" w:rsidRDefault="00853819" w:rsidP="00853819">
      <w:pPr>
        <w:spacing w:after="0" w:line="240" w:lineRule="auto"/>
        <w:jc w:val="both"/>
        <w:rPr>
          <w:rFonts w:asciiTheme="minorHAnsi" w:hAnsiTheme="minorHAnsi" w:cstheme="minorHAnsi"/>
          <w:sz w:val="20"/>
          <w:szCs w:val="20"/>
        </w:rPr>
      </w:pPr>
      <w:r>
        <w:rPr>
          <w:rFonts w:asciiTheme="minorHAnsi" w:hAnsiTheme="minorHAnsi" w:cstheme="minorHAnsi"/>
          <w:sz w:val="20"/>
          <w:szCs w:val="20"/>
        </w:rPr>
        <w:t>Z</w:t>
      </w:r>
      <w:r w:rsidRPr="00853819">
        <w:rPr>
          <w:rFonts w:asciiTheme="minorHAnsi" w:hAnsiTheme="minorHAnsi" w:cstheme="minorHAnsi"/>
          <w:sz w:val="20"/>
          <w:szCs w:val="20"/>
        </w:rPr>
        <w:t>wracamy się z prośbą o wprowadzenie w § 11 wzoru umowy zapisu umożliwiającego stronom rozwiązanie umowy z 3-miesięcznym wypowiedzeniem. Proponujemy wprowadzenie następującego zapis: „Każda ze stron może wypowiedzieć umowę z ważnych powodów z zachowaniem 3-miesięcznego okresu wypowiedzenia.”</w:t>
      </w:r>
    </w:p>
    <w:p w:rsidR="00853819" w:rsidRPr="00853819" w:rsidRDefault="00853819" w:rsidP="00853819">
      <w:pPr>
        <w:spacing w:after="0" w:line="240" w:lineRule="auto"/>
        <w:jc w:val="both"/>
        <w:rPr>
          <w:rFonts w:asciiTheme="minorHAnsi" w:hAnsiTheme="minorHAnsi" w:cstheme="minorHAnsi"/>
          <w:sz w:val="20"/>
          <w:szCs w:val="20"/>
        </w:rPr>
      </w:pPr>
      <w:r w:rsidRPr="00853819">
        <w:rPr>
          <w:rFonts w:asciiTheme="minorHAnsi" w:hAnsiTheme="minorHAnsi" w:cstheme="minorHAnsi"/>
          <w:sz w:val="20"/>
          <w:szCs w:val="20"/>
        </w:rPr>
        <w:lastRenderedPageBreak/>
        <w:t>Należy zauważyć, że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Obowiązujące przepisy ustawy prawo zamówień publicznych nie zawierają w tym zakresie żadnych zakazów.</w:t>
      </w:r>
    </w:p>
    <w:p w:rsidR="00560E41" w:rsidRPr="009335E9" w:rsidRDefault="00DD2320" w:rsidP="009335E9">
      <w:pPr>
        <w:spacing w:after="0" w:line="240" w:lineRule="auto"/>
        <w:jc w:val="both"/>
        <w:rPr>
          <w:rFonts w:asciiTheme="minorHAnsi" w:hAnsiTheme="minorHAnsi" w:cstheme="minorHAnsi"/>
          <w:bCs/>
          <w:sz w:val="20"/>
          <w:szCs w:val="20"/>
        </w:rPr>
      </w:pPr>
      <w:r w:rsidRPr="001F3D12">
        <w:rPr>
          <w:rFonts w:asciiTheme="minorHAnsi" w:hAnsiTheme="minorHAnsi" w:cstheme="minorHAnsi"/>
          <w:b/>
          <w:sz w:val="20"/>
          <w:szCs w:val="20"/>
        </w:rPr>
        <w:t>Odpowiedź:</w:t>
      </w:r>
      <w:r>
        <w:rPr>
          <w:rFonts w:asciiTheme="minorHAnsi" w:hAnsiTheme="minorHAnsi" w:cstheme="minorHAnsi"/>
          <w:b/>
          <w:sz w:val="20"/>
          <w:szCs w:val="20"/>
        </w:rPr>
        <w:t xml:space="preserve"> </w:t>
      </w:r>
      <w:r w:rsidR="00560E41" w:rsidRPr="009335E9">
        <w:rPr>
          <w:rFonts w:asciiTheme="minorHAnsi" w:hAnsiTheme="minorHAnsi" w:cstheme="minorHAnsi"/>
          <w:bCs/>
          <w:sz w:val="20"/>
          <w:szCs w:val="20"/>
        </w:rPr>
        <w:t xml:space="preserve">Zamawiający nie wyraża zgody na wprowadzenie wnioskowanego postanowienia </w:t>
      </w:r>
      <w:proofErr w:type="spellStart"/>
      <w:r w:rsidR="00560E41" w:rsidRPr="009335E9">
        <w:rPr>
          <w:rFonts w:asciiTheme="minorHAnsi" w:hAnsiTheme="minorHAnsi" w:cstheme="minorHAnsi"/>
          <w:bCs/>
          <w:sz w:val="20"/>
          <w:szCs w:val="20"/>
        </w:rPr>
        <w:t>umowyw</w:t>
      </w:r>
      <w:proofErr w:type="spellEnd"/>
      <w:r w:rsidR="00560E41" w:rsidRPr="009335E9">
        <w:rPr>
          <w:rFonts w:asciiTheme="minorHAnsi" w:hAnsiTheme="minorHAnsi" w:cstheme="minorHAnsi"/>
          <w:bCs/>
          <w:sz w:val="20"/>
          <w:szCs w:val="20"/>
        </w:rPr>
        <w:t xml:space="preserve"> szczególności, iż wnioskujący nie definiuje „ważnych powodów”. </w:t>
      </w:r>
    </w:p>
    <w:p w:rsidR="00DD2320" w:rsidRPr="001F3D12" w:rsidRDefault="00DD2320" w:rsidP="00DD2320">
      <w:pPr>
        <w:spacing w:after="0" w:line="240" w:lineRule="auto"/>
        <w:jc w:val="both"/>
        <w:rPr>
          <w:rFonts w:asciiTheme="minorHAnsi" w:hAnsiTheme="minorHAnsi" w:cstheme="minorHAnsi"/>
          <w:sz w:val="20"/>
          <w:szCs w:val="20"/>
        </w:rPr>
      </w:pPr>
      <w:r w:rsidRPr="00DA341F">
        <w:rPr>
          <w:rFonts w:asciiTheme="minorHAnsi" w:hAnsiTheme="minorHAnsi" w:cstheme="minorHAnsi"/>
          <w:b/>
          <w:sz w:val="20"/>
          <w:szCs w:val="20"/>
        </w:rPr>
        <w:t>Pytanie 4</w:t>
      </w:r>
      <w:r w:rsidRPr="001F3D12">
        <w:rPr>
          <w:rFonts w:asciiTheme="minorHAnsi" w:hAnsiTheme="minorHAnsi" w:cstheme="minorHAnsi"/>
          <w:b/>
          <w:sz w:val="20"/>
          <w:szCs w:val="20"/>
        </w:rPr>
        <w:t xml:space="preserve"> </w:t>
      </w:r>
    </w:p>
    <w:p w:rsidR="00853819" w:rsidRPr="00853819" w:rsidRDefault="00853819" w:rsidP="00853819">
      <w:pPr>
        <w:autoSpaceDE w:val="0"/>
        <w:autoSpaceDN w:val="0"/>
        <w:adjustRightInd w:val="0"/>
        <w:spacing w:after="0" w:line="240" w:lineRule="auto"/>
        <w:jc w:val="both"/>
        <w:rPr>
          <w:rFonts w:asciiTheme="minorHAnsi" w:eastAsiaTheme="minorEastAsia" w:hAnsiTheme="minorHAnsi" w:cstheme="minorHAnsi"/>
          <w:i/>
          <w:iCs/>
          <w:sz w:val="20"/>
          <w:szCs w:val="20"/>
        </w:rPr>
      </w:pPr>
      <w:r w:rsidRPr="00853819">
        <w:rPr>
          <w:rFonts w:asciiTheme="minorHAnsi" w:hAnsiTheme="minorHAnsi" w:cstheme="minorHAnsi"/>
          <w:sz w:val="20"/>
          <w:szCs w:val="20"/>
        </w:rPr>
        <w:t xml:space="preserve">Zwracamy się z prośbą o wykreślenie z  </w:t>
      </w:r>
      <w:r w:rsidRPr="00853819">
        <w:rPr>
          <w:rFonts w:asciiTheme="minorHAnsi" w:eastAsia="Lucida Sans Unicode" w:hAnsiTheme="minorHAnsi" w:cstheme="minorHAnsi"/>
          <w:kern w:val="3"/>
          <w:sz w:val="20"/>
          <w:szCs w:val="20"/>
        </w:rPr>
        <w:t xml:space="preserve">§ 9 </w:t>
      </w:r>
      <w:proofErr w:type="spellStart"/>
      <w:r w:rsidRPr="00853819">
        <w:rPr>
          <w:rFonts w:asciiTheme="minorHAnsi" w:eastAsia="Lucida Sans Unicode" w:hAnsiTheme="minorHAnsi" w:cstheme="minorHAnsi"/>
          <w:kern w:val="3"/>
          <w:sz w:val="20"/>
          <w:szCs w:val="20"/>
        </w:rPr>
        <w:t>pkt</w:t>
      </w:r>
      <w:proofErr w:type="spellEnd"/>
      <w:r w:rsidRPr="00853819">
        <w:rPr>
          <w:rFonts w:asciiTheme="minorHAnsi" w:eastAsia="Lucida Sans Unicode" w:hAnsiTheme="minorHAnsi" w:cstheme="minorHAnsi"/>
          <w:kern w:val="3"/>
          <w:sz w:val="20"/>
          <w:szCs w:val="20"/>
        </w:rPr>
        <w:t xml:space="preserve"> 7 zdania: „</w:t>
      </w:r>
      <w:r w:rsidRPr="00853819">
        <w:rPr>
          <w:rFonts w:asciiTheme="minorHAnsi" w:eastAsiaTheme="minorEastAsia" w:hAnsiTheme="minorHAnsi" w:cstheme="minorHAnsi"/>
          <w:i/>
          <w:iCs/>
          <w:sz w:val="20"/>
          <w:szCs w:val="20"/>
        </w:rPr>
        <w:t>Zmiana  ta jest możliwa po 6 miesiącach od dnia zawarcia umowy i jest możliwa  wyłącznie w stosunku do niewykonanej</w:t>
      </w:r>
      <w:r w:rsidR="009335E9">
        <w:rPr>
          <w:rFonts w:asciiTheme="minorHAnsi" w:eastAsiaTheme="minorEastAsia" w:hAnsiTheme="minorHAnsi" w:cstheme="minorHAnsi"/>
          <w:i/>
          <w:iCs/>
          <w:sz w:val="20"/>
          <w:szCs w:val="20"/>
        </w:rPr>
        <w:t xml:space="preserve"> </w:t>
      </w:r>
      <w:r w:rsidRPr="00853819">
        <w:rPr>
          <w:rFonts w:asciiTheme="minorHAnsi" w:eastAsiaTheme="minorEastAsia" w:hAnsiTheme="minorHAnsi" w:cstheme="minorHAnsi"/>
          <w:i/>
          <w:iCs/>
          <w:sz w:val="20"/>
          <w:szCs w:val="20"/>
        </w:rPr>
        <w:t xml:space="preserve">części umowy”. </w:t>
      </w:r>
    </w:p>
    <w:p w:rsidR="00853819" w:rsidRPr="00853819" w:rsidRDefault="00853819" w:rsidP="00853819">
      <w:pPr>
        <w:autoSpaceDE w:val="0"/>
        <w:autoSpaceDN w:val="0"/>
        <w:adjustRightInd w:val="0"/>
        <w:spacing w:after="0" w:line="240" w:lineRule="auto"/>
        <w:jc w:val="both"/>
        <w:rPr>
          <w:rFonts w:asciiTheme="minorHAnsi" w:eastAsiaTheme="minorEastAsia" w:hAnsiTheme="minorHAnsi" w:cstheme="minorHAnsi"/>
          <w:sz w:val="20"/>
          <w:szCs w:val="20"/>
        </w:rPr>
      </w:pPr>
      <w:r w:rsidRPr="00853819">
        <w:rPr>
          <w:rFonts w:asciiTheme="minorHAnsi" w:eastAsiaTheme="minorEastAsia" w:hAnsiTheme="minorHAnsi" w:cstheme="minorHAnsi"/>
          <w:sz w:val="20"/>
          <w:szCs w:val="20"/>
        </w:rPr>
        <w:t xml:space="preserve">Lub zmiany paragrafu 9 </w:t>
      </w:r>
      <w:proofErr w:type="spellStart"/>
      <w:r w:rsidRPr="00853819">
        <w:rPr>
          <w:rFonts w:asciiTheme="minorHAnsi" w:eastAsiaTheme="minorEastAsia" w:hAnsiTheme="minorHAnsi" w:cstheme="minorHAnsi"/>
          <w:sz w:val="20"/>
          <w:szCs w:val="20"/>
        </w:rPr>
        <w:t>pkt</w:t>
      </w:r>
      <w:proofErr w:type="spellEnd"/>
      <w:r w:rsidRPr="00853819">
        <w:rPr>
          <w:rFonts w:asciiTheme="minorHAnsi" w:eastAsiaTheme="minorEastAsia" w:hAnsiTheme="minorHAnsi" w:cstheme="minorHAnsi"/>
          <w:sz w:val="20"/>
          <w:szCs w:val="20"/>
        </w:rPr>
        <w:t xml:space="preserve"> 7 zdania </w:t>
      </w:r>
    </w:p>
    <w:p w:rsidR="00853819" w:rsidRPr="00853819" w:rsidRDefault="00853819" w:rsidP="00853819">
      <w:pPr>
        <w:autoSpaceDE w:val="0"/>
        <w:autoSpaceDN w:val="0"/>
        <w:adjustRightInd w:val="0"/>
        <w:spacing w:after="0" w:line="240" w:lineRule="auto"/>
        <w:jc w:val="both"/>
        <w:rPr>
          <w:rFonts w:asciiTheme="minorHAnsi" w:eastAsiaTheme="minorEastAsia" w:hAnsiTheme="minorHAnsi" w:cstheme="minorHAnsi"/>
          <w:i/>
          <w:iCs/>
          <w:sz w:val="20"/>
          <w:szCs w:val="20"/>
        </w:rPr>
      </w:pPr>
      <w:r w:rsidRPr="00853819">
        <w:rPr>
          <w:rFonts w:asciiTheme="minorHAnsi" w:eastAsiaTheme="minorEastAsia" w:hAnsiTheme="minorHAnsi" w:cstheme="minorHAnsi"/>
          <w:i/>
          <w:iCs/>
          <w:sz w:val="20"/>
          <w:szCs w:val="20"/>
        </w:rPr>
        <w:t>z:</w:t>
      </w:r>
    </w:p>
    <w:p w:rsidR="00853819" w:rsidRPr="00853819" w:rsidRDefault="00853819" w:rsidP="00853819">
      <w:pPr>
        <w:spacing w:after="0" w:line="240" w:lineRule="auto"/>
        <w:jc w:val="both"/>
        <w:rPr>
          <w:rFonts w:asciiTheme="minorHAnsi" w:eastAsiaTheme="minorEastAsia" w:hAnsiTheme="minorHAnsi" w:cstheme="minorHAnsi"/>
          <w:sz w:val="20"/>
          <w:szCs w:val="20"/>
        </w:rPr>
      </w:pPr>
      <w:r w:rsidRPr="00853819">
        <w:rPr>
          <w:rFonts w:asciiTheme="minorHAnsi" w:eastAsiaTheme="minorEastAsia" w:hAnsiTheme="minorHAnsi" w:cstheme="minorHAnsi"/>
          <w:sz w:val="20"/>
          <w:szCs w:val="20"/>
        </w:rPr>
        <w:t>„Zmiana ta jest możliwa po 6 miesiącach od dnia zawarcia umowy i jest możliwa  wyłącznie w stosunku do niewykonanej części umowy w przypadku udowodnienia przez Wykonawcę, że wskazana zmiana ma wpływ na koszty wykonania umowy.</w:t>
      </w:r>
      <w:r w:rsidRPr="00853819">
        <w:rPr>
          <w:rFonts w:asciiTheme="minorHAnsi" w:eastAsia="SimSun" w:hAnsiTheme="minorHAnsi" w:cstheme="minorHAnsi"/>
          <w:sz w:val="20"/>
          <w:szCs w:val="20"/>
          <w:lang w:eastAsia="zh-CN"/>
        </w:rPr>
        <w:t xml:space="preserve"> „</w:t>
      </w:r>
    </w:p>
    <w:p w:rsidR="00853819" w:rsidRPr="00853819" w:rsidRDefault="00853819" w:rsidP="00853819">
      <w:pPr>
        <w:autoSpaceDE w:val="0"/>
        <w:autoSpaceDN w:val="0"/>
        <w:adjustRightInd w:val="0"/>
        <w:spacing w:after="0" w:line="240" w:lineRule="auto"/>
        <w:jc w:val="both"/>
        <w:rPr>
          <w:rFonts w:asciiTheme="minorHAnsi" w:eastAsiaTheme="minorEastAsia" w:hAnsiTheme="minorHAnsi" w:cstheme="minorHAnsi"/>
          <w:i/>
          <w:iCs/>
          <w:sz w:val="20"/>
          <w:szCs w:val="20"/>
        </w:rPr>
      </w:pPr>
      <w:r w:rsidRPr="00853819">
        <w:rPr>
          <w:rFonts w:asciiTheme="minorHAnsi" w:eastAsiaTheme="minorEastAsia" w:hAnsiTheme="minorHAnsi" w:cstheme="minorHAnsi"/>
          <w:i/>
          <w:iCs/>
          <w:sz w:val="20"/>
          <w:szCs w:val="20"/>
        </w:rPr>
        <w:t>na:</w:t>
      </w:r>
    </w:p>
    <w:p w:rsidR="00853819" w:rsidRPr="00853819" w:rsidRDefault="00853819" w:rsidP="00853819">
      <w:pPr>
        <w:autoSpaceDE w:val="0"/>
        <w:autoSpaceDN w:val="0"/>
        <w:adjustRightInd w:val="0"/>
        <w:spacing w:after="0" w:line="240" w:lineRule="auto"/>
        <w:jc w:val="both"/>
        <w:rPr>
          <w:rFonts w:asciiTheme="minorHAnsi" w:eastAsiaTheme="minorEastAsia" w:hAnsiTheme="minorHAnsi" w:cstheme="minorHAnsi"/>
          <w:i/>
          <w:iCs/>
          <w:sz w:val="20"/>
          <w:szCs w:val="20"/>
        </w:rPr>
      </w:pPr>
      <w:r w:rsidRPr="00853819">
        <w:rPr>
          <w:rFonts w:asciiTheme="minorHAnsi" w:eastAsiaTheme="minorEastAsia" w:hAnsiTheme="minorHAnsi" w:cstheme="minorHAnsi"/>
          <w:sz w:val="20"/>
          <w:szCs w:val="20"/>
        </w:rPr>
        <w:t>Zmiana ta jest możliwa w przypadku udowodnienia przez Wykonawcę, że wskazana zmiana ma wpływ na koszty wykonania umowy</w:t>
      </w:r>
    </w:p>
    <w:p w:rsidR="00853819" w:rsidRPr="00853819" w:rsidRDefault="00853819" w:rsidP="00853819">
      <w:pPr>
        <w:spacing w:after="0" w:line="240" w:lineRule="auto"/>
        <w:jc w:val="both"/>
        <w:rPr>
          <w:rFonts w:asciiTheme="minorHAnsi" w:hAnsiTheme="minorHAnsi" w:cstheme="minorHAnsi"/>
          <w:iCs/>
          <w:sz w:val="20"/>
          <w:szCs w:val="20"/>
        </w:rPr>
      </w:pPr>
      <w:r w:rsidRPr="00853819">
        <w:rPr>
          <w:rFonts w:asciiTheme="minorHAnsi" w:eastAsiaTheme="minorEastAsia" w:hAnsiTheme="minorHAnsi" w:cstheme="minorHAnsi"/>
          <w:sz w:val="20"/>
          <w:szCs w:val="20"/>
        </w:rPr>
        <w:t>Zapis ten bowiem stoi w sprzeczności z zapisem</w:t>
      </w:r>
      <w:r w:rsidR="00013432">
        <w:rPr>
          <w:rFonts w:asciiTheme="minorHAnsi" w:eastAsiaTheme="minorEastAsia" w:hAnsiTheme="minorHAnsi" w:cstheme="minorHAnsi"/>
          <w:sz w:val="20"/>
          <w:szCs w:val="20"/>
        </w:rPr>
        <w:t xml:space="preserve"> </w:t>
      </w:r>
      <w:r w:rsidRPr="00853819">
        <w:rPr>
          <w:rFonts w:asciiTheme="minorHAnsi" w:hAnsiTheme="minorHAnsi" w:cstheme="minorHAnsi"/>
          <w:sz w:val="20"/>
          <w:szCs w:val="20"/>
        </w:rPr>
        <w:t xml:space="preserve">z  </w:t>
      </w:r>
      <w:r w:rsidRPr="00853819">
        <w:rPr>
          <w:rFonts w:asciiTheme="minorHAnsi" w:eastAsia="Lucida Sans Unicode" w:hAnsiTheme="minorHAnsi" w:cstheme="minorHAnsi"/>
          <w:kern w:val="3"/>
          <w:sz w:val="20"/>
          <w:szCs w:val="20"/>
        </w:rPr>
        <w:t xml:space="preserve">§ 9 </w:t>
      </w:r>
      <w:proofErr w:type="spellStart"/>
      <w:r w:rsidRPr="00853819">
        <w:rPr>
          <w:rFonts w:asciiTheme="minorHAnsi" w:eastAsia="Lucida Sans Unicode" w:hAnsiTheme="minorHAnsi" w:cstheme="minorHAnsi"/>
          <w:kern w:val="3"/>
          <w:sz w:val="20"/>
          <w:szCs w:val="20"/>
        </w:rPr>
        <w:t>pkt</w:t>
      </w:r>
      <w:proofErr w:type="spellEnd"/>
      <w:r w:rsidRPr="00853819">
        <w:rPr>
          <w:rFonts w:asciiTheme="minorHAnsi" w:eastAsia="Lucida Sans Unicode" w:hAnsiTheme="minorHAnsi" w:cstheme="minorHAnsi"/>
          <w:kern w:val="3"/>
          <w:sz w:val="20"/>
          <w:szCs w:val="20"/>
        </w:rPr>
        <w:t xml:space="preserve"> </w:t>
      </w:r>
      <w:r w:rsidRPr="00853819">
        <w:rPr>
          <w:rFonts w:asciiTheme="minorHAnsi" w:eastAsia="SimSun" w:hAnsiTheme="minorHAnsi" w:cstheme="minorHAnsi"/>
          <w:sz w:val="20"/>
          <w:szCs w:val="20"/>
          <w:lang w:eastAsia="zh-CN"/>
        </w:rPr>
        <w:t>2 „</w:t>
      </w:r>
      <w:r w:rsidRPr="00853819">
        <w:rPr>
          <w:rFonts w:asciiTheme="minorHAnsi" w:hAnsiTheme="minorHAnsi" w:cstheme="minorHAnsi"/>
          <w:iCs/>
          <w:sz w:val="20"/>
          <w:szCs w:val="20"/>
        </w:rPr>
        <w:t xml:space="preserve">Zmiana wysokości wynagrodzenia obowiązywać będzie od momentu wejścia w życie zmian”. </w:t>
      </w:r>
    </w:p>
    <w:p w:rsidR="00853819" w:rsidRPr="00853819" w:rsidRDefault="00853819" w:rsidP="00853819">
      <w:pPr>
        <w:spacing w:after="0" w:line="240" w:lineRule="auto"/>
        <w:jc w:val="both"/>
        <w:rPr>
          <w:rFonts w:asciiTheme="minorHAnsi" w:eastAsia="SimSun" w:hAnsiTheme="minorHAnsi" w:cstheme="minorHAnsi"/>
          <w:sz w:val="20"/>
          <w:szCs w:val="20"/>
          <w:lang w:eastAsia="zh-CN"/>
        </w:rPr>
      </w:pPr>
      <w:r w:rsidRPr="00853819">
        <w:rPr>
          <w:rFonts w:asciiTheme="minorHAnsi" w:hAnsiTheme="minorHAnsi" w:cstheme="minorHAnsi"/>
          <w:iCs/>
          <w:sz w:val="20"/>
          <w:szCs w:val="20"/>
        </w:rPr>
        <w:t xml:space="preserve">Ponadto zapis ten wprowadza konieczność wkalkulowania w cenę oferty Wykonawcy zmiany </w:t>
      </w:r>
      <w:r w:rsidRPr="00853819">
        <w:rPr>
          <w:rFonts w:asciiTheme="minorHAnsi" w:eastAsia="SimSun" w:hAnsiTheme="minorHAnsi" w:cstheme="minorHAnsi"/>
          <w:sz w:val="20"/>
          <w:szCs w:val="20"/>
          <w:lang w:eastAsia="zh-CN"/>
        </w:rPr>
        <w:t>wysokości minimalnego wynagrodzenia za pracę albo wysokości minimalnej stawki godzinowej,   ustalonych na podstawie przepisów ustawy z dnia 10 października 2002 r. o minimalnym wynagrodzeniu, które na etapie składania oferty nie będzie znane Wykonawcy. Nadmieniamy, iż fakt ten spowoduje, że Zamawiający będzie zmuszony zapłacić za ryzyko kalkulacji tegoż wynagrodzenia  od pierwszego dnia trwania usługi.</w:t>
      </w:r>
    </w:p>
    <w:p w:rsidR="00853819" w:rsidRPr="00853819" w:rsidRDefault="00853819" w:rsidP="00853819">
      <w:pPr>
        <w:spacing w:after="0" w:line="240" w:lineRule="auto"/>
        <w:jc w:val="both"/>
        <w:rPr>
          <w:rFonts w:asciiTheme="minorHAnsi" w:hAnsiTheme="minorHAnsi" w:cstheme="minorHAnsi"/>
          <w:sz w:val="20"/>
          <w:szCs w:val="20"/>
        </w:rPr>
      </w:pPr>
      <w:r w:rsidRPr="00853819">
        <w:rPr>
          <w:rFonts w:asciiTheme="minorHAnsi" w:hAnsiTheme="minorHAnsi" w:cstheme="minorHAnsi"/>
          <w:sz w:val="20"/>
          <w:szCs w:val="20"/>
        </w:rPr>
        <w:t xml:space="preserve">Dodatkowo, terminy wejścia w życie i wielkość zmian wprowadzonych w art. 436 ust 4 lit. b) ustawy PZP w całości są niezależne od woli stron umowy o zamówienie publiczne. Aby zatem zapewnić z jednej strony stabilność finansów publicznych, którymi dysponują zamawiający a z drugiej strony dać wykonawcą gwarancję ich słusznych interesów, ustawodawca wprowadził obowiązek waloryzacji umów wieloletnich. Idea art. 436 ust 4 lit. b)wyraża się w daniu gwarancji obu stronom umowy pewności, iż w razie zaistnienia zewnętrznego zdarzenia w tym przepisie wskazanego, z góry wiedzą w jaki sposób mają się zachować. Stąd obowiązek zawarcia w </w:t>
      </w:r>
      <w:proofErr w:type="spellStart"/>
      <w:r w:rsidRPr="00853819">
        <w:rPr>
          <w:rFonts w:asciiTheme="minorHAnsi" w:hAnsiTheme="minorHAnsi" w:cstheme="minorHAnsi"/>
          <w:sz w:val="20"/>
          <w:szCs w:val="20"/>
        </w:rPr>
        <w:t>swz</w:t>
      </w:r>
      <w:proofErr w:type="spellEnd"/>
      <w:r w:rsidRPr="00853819">
        <w:rPr>
          <w:rFonts w:asciiTheme="minorHAnsi" w:hAnsiTheme="minorHAnsi" w:cstheme="minorHAnsi"/>
          <w:sz w:val="20"/>
          <w:szCs w:val="20"/>
        </w:rPr>
        <w:t xml:space="preserve"> swego rodzaju automatycznych mechanizmów dostosowywania wynagrodzenia wykonawcy do zewnętrznych warunków. Przy zapewnieniu zamawiającym bezpieczeństwa prawnego koniecznych zmian. Skoro to zdarzenia zewnętrzne determinują moment wyjścia w życie zmian, o których mowa w art. 436 ust 4 lit. b) ustawy PZP, to zasadne jest aby konsekwencje tych zmian znalazły odzwierciedlenie w treści stosunku prawnego łączącego zamawiającego i wykonawcę w terminie, w którym te zmiany weszły w życie. Każdy inny termin wprowadzenia zmian w życie budzić może uzasadnione wątpliwości co do tego, czy nie mamy do czynienia z niedozwolonymi negocjacjami między stronami umowy. Brak bowiem obiektywnego powodu uzasadniającego inny termin wprowadzenia zmian niż dostosowanie się stron umowy do działań legislacyjnych ustawodawcy.</w:t>
      </w:r>
    </w:p>
    <w:p w:rsidR="00853819" w:rsidRPr="00853819" w:rsidRDefault="00853819" w:rsidP="00853819">
      <w:pPr>
        <w:spacing w:after="0" w:line="240" w:lineRule="auto"/>
        <w:jc w:val="both"/>
        <w:rPr>
          <w:rFonts w:asciiTheme="minorHAnsi" w:eastAsia="SimSun" w:hAnsiTheme="minorHAnsi" w:cstheme="minorHAnsi"/>
          <w:sz w:val="20"/>
          <w:szCs w:val="20"/>
          <w:lang w:eastAsia="zh-CN"/>
        </w:rPr>
      </w:pPr>
      <w:r w:rsidRPr="00853819">
        <w:rPr>
          <w:rFonts w:asciiTheme="minorHAnsi" w:eastAsia="SimSun" w:hAnsiTheme="minorHAnsi" w:cstheme="minorHAnsi"/>
          <w:sz w:val="20"/>
          <w:szCs w:val="20"/>
          <w:lang w:eastAsia="zh-CN"/>
        </w:rPr>
        <w:t>W związku z powyższym wnosimy jak na wstępie.</w:t>
      </w:r>
    </w:p>
    <w:p w:rsidR="00DD2320" w:rsidRPr="00853819" w:rsidRDefault="00DD2320" w:rsidP="00DD2320">
      <w:pPr>
        <w:spacing w:after="0" w:line="240" w:lineRule="auto"/>
        <w:jc w:val="both"/>
        <w:rPr>
          <w:rFonts w:asciiTheme="minorHAnsi" w:hAnsiTheme="minorHAnsi" w:cstheme="minorHAnsi"/>
          <w:color w:val="FF0000"/>
          <w:sz w:val="20"/>
          <w:szCs w:val="20"/>
        </w:rPr>
      </w:pPr>
      <w:r w:rsidRPr="001F3D12">
        <w:rPr>
          <w:rFonts w:asciiTheme="minorHAnsi" w:hAnsiTheme="minorHAnsi" w:cstheme="minorHAnsi"/>
          <w:b/>
          <w:sz w:val="20"/>
          <w:szCs w:val="20"/>
        </w:rPr>
        <w:t>Odpowiedź:</w:t>
      </w:r>
      <w:r>
        <w:rPr>
          <w:rFonts w:asciiTheme="minorHAnsi" w:hAnsiTheme="minorHAnsi" w:cstheme="minorHAnsi"/>
          <w:b/>
          <w:sz w:val="20"/>
          <w:szCs w:val="20"/>
        </w:rPr>
        <w:t xml:space="preserve"> </w:t>
      </w:r>
      <w:r w:rsidRPr="009335E9">
        <w:rPr>
          <w:rFonts w:asciiTheme="minorHAnsi" w:hAnsiTheme="minorHAnsi" w:cstheme="minorHAnsi"/>
          <w:sz w:val="20"/>
          <w:szCs w:val="20"/>
        </w:rPr>
        <w:t>Zamawiający nie wyraża zgody i podtrzymuje zapisy SWZ.</w:t>
      </w:r>
    </w:p>
    <w:p w:rsidR="00DD2320" w:rsidRPr="00BE1F34" w:rsidRDefault="00DD2320" w:rsidP="00DD2320">
      <w:pPr>
        <w:spacing w:after="0" w:line="240" w:lineRule="auto"/>
        <w:jc w:val="both"/>
        <w:rPr>
          <w:rFonts w:asciiTheme="minorHAnsi" w:hAnsiTheme="minorHAnsi" w:cstheme="minorHAnsi"/>
          <w:b/>
          <w:sz w:val="20"/>
          <w:szCs w:val="20"/>
        </w:rPr>
      </w:pPr>
    </w:p>
    <w:p w:rsidR="00DD2320" w:rsidRDefault="00DD2320" w:rsidP="00DD2320">
      <w:pPr>
        <w:spacing w:after="0" w:line="240" w:lineRule="auto"/>
        <w:jc w:val="both"/>
        <w:rPr>
          <w:rFonts w:asciiTheme="minorHAnsi" w:hAnsiTheme="minorHAnsi" w:cstheme="minorHAnsi"/>
          <w:b/>
          <w:sz w:val="20"/>
          <w:szCs w:val="20"/>
        </w:rPr>
      </w:pPr>
    </w:p>
    <w:p w:rsidR="00DD2320" w:rsidRPr="007637F1" w:rsidRDefault="00DD2320" w:rsidP="00DD2320">
      <w:pPr>
        <w:spacing w:after="0" w:line="240" w:lineRule="auto"/>
        <w:jc w:val="both"/>
        <w:rPr>
          <w:rFonts w:cs="Calibri"/>
          <w:b/>
          <w:sz w:val="20"/>
          <w:szCs w:val="20"/>
          <w:u w:val="single"/>
        </w:rPr>
      </w:pPr>
    </w:p>
    <w:p w:rsidR="00DD2320" w:rsidRPr="007637F1" w:rsidRDefault="00DD2320" w:rsidP="00DD2320">
      <w:pPr>
        <w:spacing w:after="0" w:line="240" w:lineRule="auto"/>
        <w:jc w:val="both"/>
        <w:rPr>
          <w:rFonts w:cs="Calibri"/>
          <w:bCs/>
          <w:sz w:val="20"/>
          <w:szCs w:val="20"/>
        </w:rPr>
      </w:pPr>
      <w:r w:rsidRPr="007637F1">
        <w:rPr>
          <w:rFonts w:cs="Calibri"/>
          <w:b/>
          <w:sz w:val="20"/>
          <w:szCs w:val="20"/>
          <w:u w:val="single"/>
        </w:rPr>
        <w:t>Pozostałe zapisy SWZ pozostają bez zmian.</w:t>
      </w:r>
    </w:p>
    <w:p w:rsidR="00DD2320" w:rsidRDefault="00DD2320" w:rsidP="00DD2320">
      <w:pPr>
        <w:spacing w:after="0" w:line="240" w:lineRule="auto"/>
        <w:ind w:left="5664"/>
        <w:rPr>
          <w:rFonts w:cs="Arial"/>
          <w:i/>
          <w:sz w:val="20"/>
          <w:szCs w:val="20"/>
        </w:rPr>
      </w:pPr>
    </w:p>
    <w:p w:rsidR="00DD2320" w:rsidRPr="007637F1" w:rsidRDefault="00DD2320" w:rsidP="00DD2320">
      <w:pPr>
        <w:spacing w:after="0" w:line="240" w:lineRule="auto"/>
        <w:ind w:left="5664"/>
        <w:rPr>
          <w:rFonts w:cs="Arial"/>
          <w:i/>
          <w:sz w:val="20"/>
          <w:szCs w:val="20"/>
        </w:rPr>
      </w:pPr>
    </w:p>
    <w:p w:rsidR="00DD2320" w:rsidRPr="007637F1" w:rsidRDefault="00DD2320" w:rsidP="00DD2320">
      <w:pPr>
        <w:spacing w:after="0" w:line="240" w:lineRule="auto"/>
        <w:ind w:left="5664"/>
        <w:rPr>
          <w:rFonts w:cs="Arial"/>
          <w:i/>
          <w:sz w:val="20"/>
          <w:szCs w:val="20"/>
        </w:rPr>
      </w:pPr>
      <w:r w:rsidRPr="007637F1">
        <w:rPr>
          <w:rFonts w:cs="Arial"/>
          <w:i/>
          <w:sz w:val="20"/>
          <w:szCs w:val="20"/>
        </w:rPr>
        <w:t xml:space="preserve">                                 </w:t>
      </w:r>
    </w:p>
    <w:p w:rsidR="00DD2320" w:rsidRPr="007637F1" w:rsidRDefault="00DD2320" w:rsidP="00DD2320">
      <w:pPr>
        <w:spacing w:after="0" w:line="240" w:lineRule="auto"/>
        <w:ind w:left="5664"/>
        <w:rPr>
          <w:rFonts w:cs="Arial"/>
          <w:i/>
          <w:sz w:val="20"/>
          <w:szCs w:val="20"/>
        </w:rPr>
      </w:pPr>
      <w:r w:rsidRPr="007637F1">
        <w:rPr>
          <w:rFonts w:cs="Arial"/>
          <w:i/>
          <w:sz w:val="20"/>
          <w:szCs w:val="20"/>
        </w:rPr>
        <w:t xml:space="preserve">              Dział Zamówień Publicznych</w:t>
      </w:r>
    </w:p>
    <w:p w:rsidR="00DD2320" w:rsidRPr="007637F1" w:rsidRDefault="00DD2320" w:rsidP="00DD2320">
      <w:pPr>
        <w:spacing w:after="0" w:line="240" w:lineRule="auto"/>
        <w:ind w:left="5664"/>
        <w:rPr>
          <w:rFonts w:cs="Arial"/>
          <w:i/>
          <w:sz w:val="20"/>
          <w:szCs w:val="20"/>
        </w:rPr>
      </w:pPr>
    </w:p>
    <w:p w:rsidR="00DD2320" w:rsidRDefault="00DD2320" w:rsidP="00DD2320">
      <w:pPr>
        <w:spacing w:after="0" w:line="240" w:lineRule="auto"/>
        <w:ind w:left="5664"/>
      </w:pPr>
      <w:r w:rsidRPr="007637F1">
        <w:rPr>
          <w:rFonts w:cs="Arial"/>
          <w:i/>
          <w:sz w:val="20"/>
          <w:szCs w:val="20"/>
        </w:rPr>
        <w:t xml:space="preserve">                           </w:t>
      </w:r>
      <w:r w:rsidR="003B5879">
        <w:rPr>
          <w:rFonts w:cs="Arial"/>
          <w:i/>
          <w:sz w:val="20"/>
          <w:szCs w:val="20"/>
        </w:rPr>
        <w:t>Anna Pilarska</w:t>
      </w:r>
    </w:p>
    <w:p w:rsidR="00DD2320" w:rsidRDefault="00DD2320" w:rsidP="00DD2320"/>
    <w:p w:rsidR="007C3713" w:rsidRDefault="007C3713"/>
    <w:sectPr w:rsidR="007C3713" w:rsidSect="00853819">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D4967"/>
    <w:multiLevelType w:val="hybridMultilevel"/>
    <w:tmpl w:val="168087EC"/>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nsid w:val="60C37145"/>
    <w:multiLevelType w:val="hybridMultilevel"/>
    <w:tmpl w:val="562E8E22"/>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2320"/>
    <w:rsid w:val="00013432"/>
    <w:rsid w:val="003B5879"/>
    <w:rsid w:val="00560E41"/>
    <w:rsid w:val="007C3713"/>
    <w:rsid w:val="00853819"/>
    <w:rsid w:val="008C1150"/>
    <w:rsid w:val="008F4B9B"/>
    <w:rsid w:val="009335E9"/>
    <w:rsid w:val="00BF2EF9"/>
    <w:rsid w:val="00C66FCC"/>
    <w:rsid w:val="00DA341F"/>
    <w:rsid w:val="00DD23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2320"/>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D2320"/>
    <w:rPr>
      <w:rFonts w:cs="Times New Roman"/>
      <w:color w:val="0000FF"/>
      <w:u w:val="single"/>
    </w:rPr>
  </w:style>
  <w:style w:type="paragraph" w:styleId="Bezodstpw">
    <w:name w:val="No Spacing"/>
    <w:link w:val="BezodstpwZnak"/>
    <w:qFormat/>
    <w:rsid w:val="00DD2320"/>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DD2320"/>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DD2320"/>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link w:val="Tekstpodstawowy"/>
    <w:uiPriority w:val="99"/>
    <w:semiHidden/>
    <w:rsid w:val="00DD2320"/>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DD2320"/>
    <w:rPr>
      <w:rFonts w:ascii="Times New Roman" w:eastAsia="Times New Roman" w:hAnsi="Times New Roman" w:cs="Times New Roman"/>
      <w:color w:val="00000A"/>
      <w:sz w:val="24"/>
      <w:szCs w:val="24"/>
      <w:lang w:eastAsia="zh-CN"/>
    </w:rPr>
  </w:style>
  <w:style w:type="paragraph" w:styleId="Tekstpodstawowywcity3">
    <w:name w:val="Body Text Indent 3"/>
    <w:basedOn w:val="Normalny"/>
    <w:link w:val="Tekstpodstawowywcity3Znak"/>
    <w:uiPriority w:val="99"/>
    <w:unhideWhenUsed/>
    <w:rsid w:val="00DD232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D2320"/>
    <w:rPr>
      <w:rFonts w:ascii="Calibri" w:eastAsia="Times New Roman" w:hAnsi="Calibri" w:cs="Times New Roman"/>
      <w:sz w:val="16"/>
      <w:szCs w:val="16"/>
      <w:lang w:eastAsia="pl-PL"/>
    </w:rPr>
  </w:style>
  <w:style w:type="paragraph" w:styleId="Tekstdymka">
    <w:name w:val="Balloon Text"/>
    <w:basedOn w:val="Normalny"/>
    <w:link w:val="TekstdymkaZnak"/>
    <w:uiPriority w:val="99"/>
    <w:semiHidden/>
    <w:unhideWhenUsed/>
    <w:rsid w:val="00DD23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2320"/>
    <w:rPr>
      <w:rFonts w:ascii="Tahoma" w:eastAsia="Times New Roman" w:hAnsi="Tahoma" w:cs="Tahoma"/>
      <w:sz w:val="16"/>
      <w:szCs w:val="16"/>
      <w:lang w:eastAsia="pl-PL"/>
    </w:rPr>
  </w:style>
  <w:style w:type="paragraph" w:styleId="Tekstpodstawowy2">
    <w:name w:val="Body Text 2"/>
    <w:basedOn w:val="Normalny"/>
    <w:link w:val="Tekstpodstawowy2Znak"/>
    <w:uiPriority w:val="99"/>
    <w:semiHidden/>
    <w:unhideWhenUsed/>
    <w:rsid w:val="003B5879"/>
    <w:pPr>
      <w:spacing w:after="120" w:line="480" w:lineRule="auto"/>
    </w:pPr>
  </w:style>
  <w:style w:type="character" w:customStyle="1" w:styleId="Tekstpodstawowy2Znak">
    <w:name w:val="Tekst podstawowy 2 Znak"/>
    <w:basedOn w:val="Domylnaczcionkaakapitu"/>
    <w:link w:val="Tekstpodstawowy2"/>
    <w:uiPriority w:val="99"/>
    <w:semiHidden/>
    <w:rsid w:val="003B5879"/>
    <w:rPr>
      <w:rFonts w:ascii="Calibri" w:eastAsia="Times New Roman" w:hAnsi="Calibri" w:cs="Times New Roman"/>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umpluc.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chp@centrumpluc.com.pl"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1132</Words>
  <Characters>6794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9</cp:revision>
  <dcterms:created xsi:type="dcterms:W3CDTF">2022-07-29T06:46:00Z</dcterms:created>
  <dcterms:modified xsi:type="dcterms:W3CDTF">2022-07-29T12:23:00Z</dcterms:modified>
</cp:coreProperties>
</file>