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DA" w:rsidRDefault="003D05DA" w:rsidP="003D05DA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Znak: IZ.</w:t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>271.16.2021</w:t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ab/>
        <w:t>Wiązownica, 28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.05.2021 r. </w:t>
      </w:r>
    </w:p>
    <w:p w:rsidR="003D05DA" w:rsidRDefault="003D05DA" w:rsidP="003D05DA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3D05DA" w:rsidRDefault="003D05DA" w:rsidP="003D05DA">
      <w:pPr>
        <w:spacing w:line="240" w:lineRule="auto"/>
        <w:rPr>
          <w:rFonts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</w:p>
    <w:p w:rsidR="00D3722B" w:rsidRPr="00D3722B" w:rsidRDefault="00D3722B" w:rsidP="00D3722B">
      <w:pPr>
        <w:ind w:firstLine="708"/>
        <w:jc w:val="center"/>
        <w:rPr>
          <w:rFonts w:cs="Gautami"/>
          <w:sz w:val="28"/>
          <w:szCs w:val="28"/>
        </w:rPr>
      </w:pPr>
      <w:r w:rsidRPr="00D3722B">
        <w:rPr>
          <w:rFonts w:cs="Gautami"/>
          <w:sz w:val="28"/>
          <w:szCs w:val="28"/>
        </w:rPr>
        <w:t>ZAWIADOMIENIE</w:t>
      </w:r>
    </w:p>
    <w:p w:rsidR="002B18F7" w:rsidRDefault="00D3722B" w:rsidP="00D3722B">
      <w:pPr>
        <w:ind w:firstLine="708"/>
        <w:jc w:val="center"/>
        <w:rPr>
          <w:rFonts w:cs="Gautami"/>
          <w:sz w:val="22"/>
          <w:szCs w:val="22"/>
        </w:rPr>
      </w:pPr>
      <w:r w:rsidRPr="00D3722B">
        <w:rPr>
          <w:rFonts w:cs="Gautami"/>
          <w:sz w:val="22"/>
          <w:szCs w:val="22"/>
        </w:rPr>
        <w:t xml:space="preserve">o wyborze </w:t>
      </w:r>
      <w:r w:rsidR="002B18F7">
        <w:rPr>
          <w:rFonts w:cs="Gautami"/>
          <w:sz w:val="22"/>
          <w:szCs w:val="22"/>
        </w:rPr>
        <w:t xml:space="preserve">najkorzystniejszej </w:t>
      </w:r>
      <w:r w:rsidRPr="00D3722B">
        <w:rPr>
          <w:rFonts w:cs="Gautami"/>
          <w:sz w:val="22"/>
          <w:szCs w:val="22"/>
        </w:rPr>
        <w:t>oferty</w:t>
      </w:r>
      <w:r w:rsidR="00712208">
        <w:rPr>
          <w:rFonts w:cs="Gautami"/>
          <w:sz w:val="22"/>
          <w:szCs w:val="22"/>
        </w:rPr>
        <w:t xml:space="preserve"> </w:t>
      </w:r>
      <w:r w:rsidR="002B18F7">
        <w:rPr>
          <w:rFonts w:cs="Gautami"/>
          <w:sz w:val="22"/>
          <w:szCs w:val="22"/>
        </w:rPr>
        <w:t>w zakresie części nr 2</w:t>
      </w:r>
    </w:p>
    <w:p w:rsidR="00D3722B" w:rsidRPr="00D3722B" w:rsidRDefault="002B18F7" w:rsidP="00D3722B">
      <w:pPr>
        <w:ind w:firstLine="708"/>
        <w:jc w:val="center"/>
        <w:rPr>
          <w:rFonts w:cs="Gautami"/>
        </w:rPr>
      </w:pPr>
      <w:r>
        <w:rPr>
          <w:rFonts w:cs="Gautami"/>
          <w:sz w:val="22"/>
          <w:szCs w:val="22"/>
        </w:rPr>
        <w:t xml:space="preserve">i </w:t>
      </w:r>
      <w:r w:rsidR="00D3722B" w:rsidRPr="00D3722B">
        <w:rPr>
          <w:rFonts w:cs="Gautami"/>
          <w:sz w:val="22"/>
          <w:szCs w:val="22"/>
        </w:rPr>
        <w:t>o unieważnieniu postępowania</w:t>
      </w:r>
      <w:r>
        <w:rPr>
          <w:rFonts w:cs="Gautami"/>
          <w:sz w:val="22"/>
          <w:szCs w:val="22"/>
        </w:rPr>
        <w:t xml:space="preserve"> w zakresie części nr 1. 3 i 4</w:t>
      </w:r>
      <w:r w:rsidR="00D3722B" w:rsidRPr="00D3722B">
        <w:rPr>
          <w:rFonts w:cs="Gautami"/>
        </w:rPr>
        <w:cr/>
      </w:r>
    </w:p>
    <w:p w:rsidR="003D05DA" w:rsidRDefault="003D05DA" w:rsidP="003D05DA">
      <w:pPr>
        <w:spacing w:line="240" w:lineRule="auto"/>
        <w:ind w:left="708" w:firstLine="708"/>
        <w:jc w:val="center"/>
        <w:rPr>
          <w:rFonts w:eastAsia="Times New Roman" w:cs="Arial"/>
          <w:b w:val="0"/>
          <w:sz w:val="22"/>
          <w:szCs w:val="22"/>
          <w:lang w:eastAsia="pl-PL"/>
        </w:rPr>
      </w:pPr>
    </w:p>
    <w:p w:rsidR="003D05DA" w:rsidRDefault="003D05DA" w:rsidP="003D05DA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3D05DA" w:rsidRDefault="003D05DA" w:rsidP="00F343AE">
      <w:pPr>
        <w:widowControl w:val="0"/>
        <w:suppressAutoHyphens/>
        <w:spacing w:after="120"/>
        <w:ind w:left="993" w:hanging="993"/>
        <w:contextualSpacing/>
        <w:jc w:val="both"/>
        <w:rPr>
          <w:b w:val="0"/>
          <w:sz w:val="22"/>
          <w:szCs w:val="22"/>
          <w:lang w:eastAsia="ar-SA"/>
        </w:rPr>
      </w:pPr>
      <w:r>
        <w:rPr>
          <w:b w:val="0"/>
          <w:sz w:val="22"/>
          <w:szCs w:val="22"/>
          <w:lang w:eastAsia="ar-SA"/>
        </w:rPr>
        <w:t>Dotyczy: postępowania o udzielenie zamówienia publicznego prowadzonego w trybie podstawowym na podstawie art. 275 ust. 1 ustawy z dnia 11 września 2019 roku Prawo zamówień publicznych (tj. Dz.U. z 2019 r. poz. 2019 ze zm.) na wykonanie zastępującego zadania:</w:t>
      </w:r>
    </w:p>
    <w:p w:rsidR="0017504F" w:rsidRDefault="0017504F" w:rsidP="003D05DA">
      <w:pPr>
        <w:autoSpaceDE w:val="0"/>
        <w:autoSpaceDN w:val="0"/>
        <w:adjustRightInd w:val="0"/>
        <w:spacing w:line="240" w:lineRule="auto"/>
        <w:ind w:left="567"/>
        <w:jc w:val="center"/>
        <w:rPr>
          <w:sz w:val="22"/>
          <w:szCs w:val="22"/>
        </w:rPr>
      </w:pPr>
    </w:p>
    <w:p w:rsidR="003D05DA" w:rsidRPr="0017504F" w:rsidRDefault="003D05DA" w:rsidP="003D05DA">
      <w:pPr>
        <w:autoSpaceDE w:val="0"/>
        <w:autoSpaceDN w:val="0"/>
        <w:adjustRightInd w:val="0"/>
        <w:spacing w:line="240" w:lineRule="auto"/>
        <w:ind w:left="567"/>
        <w:jc w:val="center"/>
        <w:rPr>
          <w:sz w:val="22"/>
          <w:szCs w:val="22"/>
        </w:rPr>
      </w:pPr>
      <w:r w:rsidRPr="0017504F">
        <w:rPr>
          <w:sz w:val="22"/>
          <w:szCs w:val="22"/>
        </w:rPr>
        <w:t>„Budowa placów zabaw wraz z dostawą wyposażenia  w m. Mołodycz, Wiązownica,  Nielepkowice  i  Manasterz</w:t>
      </w:r>
      <w:r w:rsidR="00CD7FB7" w:rsidRPr="0017504F">
        <w:rPr>
          <w:sz w:val="22"/>
          <w:szCs w:val="22"/>
        </w:rPr>
        <w:t>”</w:t>
      </w:r>
    </w:p>
    <w:p w:rsidR="003D05DA" w:rsidRDefault="003D05DA" w:rsidP="003D05DA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712208" w:rsidRPr="00866359" w:rsidRDefault="003D05DA" w:rsidP="00712208">
      <w:pPr>
        <w:jc w:val="both"/>
        <w:rPr>
          <w:rFonts w:cs="Gautami"/>
          <w:b w:val="0"/>
          <w:sz w:val="22"/>
          <w:szCs w:val="22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Działając na podstawie art. </w:t>
      </w:r>
      <w:r w:rsidR="00712208">
        <w:rPr>
          <w:rFonts w:eastAsia="Times New Roman" w:cs="Arial"/>
          <w:b w:val="0"/>
          <w:sz w:val="22"/>
          <w:szCs w:val="22"/>
          <w:lang w:eastAsia="pl-PL"/>
        </w:rPr>
        <w:t xml:space="preserve">253 ust.. 1 </w:t>
      </w:r>
      <w:r w:rsidR="00866359">
        <w:rPr>
          <w:rFonts w:eastAsia="Times New Roman" w:cs="Arial"/>
          <w:b w:val="0"/>
          <w:sz w:val="22"/>
          <w:szCs w:val="22"/>
          <w:lang w:eastAsia="pl-PL"/>
        </w:rPr>
        <w:t xml:space="preserve"> i 2  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ustawy z dnia 11 września 2019 r.  Prawo zamówień publicznych (t.j. Dz. U. z 2019 r., poz. 2019 ze zm.) </w:t>
      </w:r>
      <w:r w:rsidR="00712208" w:rsidRPr="00074DD3">
        <w:rPr>
          <w:rFonts w:cs="Gautami"/>
          <w:b w:val="0"/>
          <w:sz w:val="22"/>
          <w:szCs w:val="22"/>
        </w:rPr>
        <w:t xml:space="preserve">Zamawiający – Wójt Gminy Wiązownica zawiadamia, </w:t>
      </w:r>
      <w:r w:rsidR="00712208" w:rsidRPr="00866359">
        <w:rPr>
          <w:rFonts w:cs="Gautami"/>
          <w:b w:val="0"/>
          <w:sz w:val="22"/>
          <w:szCs w:val="22"/>
        </w:rPr>
        <w:t xml:space="preserve">że w postępowaniu o udzielenie zamówienia publicznego na wykonanie  ww. zadania, w dniu </w:t>
      </w:r>
      <w:r w:rsidR="00012614" w:rsidRPr="00866359">
        <w:rPr>
          <w:rFonts w:cs="Gautami"/>
          <w:b w:val="0"/>
          <w:sz w:val="22"/>
          <w:szCs w:val="22"/>
        </w:rPr>
        <w:t xml:space="preserve"> 28.05.2021</w:t>
      </w:r>
      <w:r w:rsidR="00712208" w:rsidRPr="00866359">
        <w:rPr>
          <w:rFonts w:cs="Gautami"/>
          <w:b w:val="0"/>
          <w:sz w:val="22"/>
          <w:szCs w:val="22"/>
        </w:rPr>
        <w:t xml:space="preserve"> r. dokonano wyboru najkorzystniejszej oferty</w:t>
      </w:r>
      <w:r w:rsidR="003A0355" w:rsidRPr="00866359">
        <w:rPr>
          <w:rFonts w:cs="Gautami"/>
          <w:b w:val="0"/>
          <w:sz w:val="22"/>
          <w:szCs w:val="22"/>
        </w:rPr>
        <w:t xml:space="preserve"> w zakresie części </w:t>
      </w:r>
      <w:r w:rsidR="00866359" w:rsidRPr="00866359">
        <w:rPr>
          <w:rFonts w:cs="Gautami"/>
          <w:b w:val="0"/>
          <w:sz w:val="22"/>
          <w:szCs w:val="22"/>
        </w:rPr>
        <w:t xml:space="preserve"> </w:t>
      </w:r>
      <w:r w:rsidR="00866359">
        <w:rPr>
          <w:rFonts w:cs="Gautami"/>
          <w:sz w:val="22"/>
          <w:szCs w:val="22"/>
        </w:rPr>
        <w:t xml:space="preserve">     N</w:t>
      </w:r>
      <w:r w:rsidR="003A0355">
        <w:rPr>
          <w:rFonts w:cs="Gautami"/>
          <w:sz w:val="22"/>
          <w:szCs w:val="22"/>
        </w:rPr>
        <w:t>r 2</w:t>
      </w:r>
      <w:r w:rsidR="003A0355" w:rsidRPr="003A0355">
        <w:rPr>
          <w:sz w:val="22"/>
          <w:szCs w:val="22"/>
        </w:rPr>
        <w:t xml:space="preserve"> </w:t>
      </w:r>
      <w:r w:rsidR="00866359">
        <w:rPr>
          <w:sz w:val="22"/>
          <w:szCs w:val="22"/>
        </w:rPr>
        <w:t xml:space="preserve">  </w:t>
      </w:r>
      <w:r w:rsidR="003A0355" w:rsidRPr="00712208">
        <w:rPr>
          <w:sz w:val="22"/>
          <w:szCs w:val="22"/>
        </w:rPr>
        <w:t xml:space="preserve">Budowa publicznego placu zabaw </w:t>
      </w:r>
      <w:r w:rsidR="00866359">
        <w:rPr>
          <w:sz w:val="22"/>
          <w:szCs w:val="22"/>
        </w:rPr>
        <w:t xml:space="preserve">wraz z dostawą  i montażem   </w:t>
      </w:r>
      <w:r w:rsidR="003A0355" w:rsidRPr="00712208">
        <w:rPr>
          <w:sz w:val="22"/>
          <w:szCs w:val="22"/>
        </w:rPr>
        <w:t xml:space="preserve">wyposażenia </w:t>
      </w:r>
      <w:r w:rsidR="00866359">
        <w:rPr>
          <w:sz w:val="22"/>
          <w:szCs w:val="22"/>
        </w:rPr>
        <w:t xml:space="preserve">w m. </w:t>
      </w:r>
      <w:r w:rsidR="003A0355" w:rsidRPr="00712208">
        <w:rPr>
          <w:sz w:val="22"/>
          <w:szCs w:val="22"/>
        </w:rPr>
        <w:t>Wiązownica</w:t>
      </w:r>
      <w:r w:rsidR="00712208" w:rsidRPr="00074DD3">
        <w:rPr>
          <w:rFonts w:cs="Gautami"/>
          <w:sz w:val="22"/>
          <w:szCs w:val="22"/>
        </w:rPr>
        <w:t xml:space="preserve">, </w:t>
      </w:r>
      <w:r w:rsidR="00712208" w:rsidRPr="00866359">
        <w:rPr>
          <w:rFonts w:cs="Gautami"/>
          <w:b w:val="0"/>
          <w:sz w:val="22"/>
          <w:szCs w:val="22"/>
        </w:rPr>
        <w:t>którą przedstawiła firma:</w:t>
      </w:r>
    </w:p>
    <w:p w:rsidR="00712208" w:rsidRDefault="00712208" w:rsidP="00712208">
      <w:pPr>
        <w:jc w:val="both"/>
        <w:rPr>
          <w:rFonts w:cs="Gautami"/>
          <w:b w:val="0"/>
          <w:sz w:val="22"/>
          <w:szCs w:val="22"/>
        </w:rPr>
      </w:pPr>
    </w:p>
    <w:p w:rsidR="00712208" w:rsidRPr="003A0355" w:rsidRDefault="003A0355" w:rsidP="00712208">
      <w:pPr>
        <w:rPr>
          <w:sz w:val="22"/>
          <w:szCs w:val="22"/>
          <w:u w:val="thick"/>
        </w:rPr>
      </w:pPr>
      <w:r w:rsidRPr="003A0355">
        <w:rPr>
          <w:rFonts w:cs="Gautami"/>
          <w:sz w:val="22"/>
          <w:szCs w:val="22"/>
          <w:u w:val="thick"/>
        </w:rPr>
        <w:t>Część Nr 2</w:t>
      </w:r>
      <w:r w:rsidR="00712208" w:rsidRPr="003A0355">
        <w:rPr>
          <w:bCs/>
          <w:sz w:val="22"/>
          <w:szCs w:val="22"/>
          <w:u w:val="thick"/>
        </w:rPr>
        <w:t xml:space="preserve">  </w:t>
      </w:r>
    </w:p>
    <w:p w:rsidR="00712208" w:rsidRPr="002A3247" w:rsidRDefault="00712208" w:rsidP="00712208">
      <w:pPr>
        <w:widowControl w:val="0"/>
        <w:autoSpaceDE w:val="0"/>
        <w:autoSpaceDN w:val="0"/>
        <w:adjustRightInd w:val="0"/>
        <w:rPr>
          <w:rFonts w:cs="Arial"/>
          <w:b w:val="0"/>
          <w:sz w:val="22"/>
          <w:szCs w:val="22"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559"/>
        <w:gridCol w:w="1418"/>
        <w:gridCol w:w="1843"/>
      </w:tblGrid>
      <w:tr w:rsidR="00712208" w:rsidRPr="00436FA4" w:rsidTr="00866359">
        <w:trPr>
          <w:trHeight w:val="753"/>
        </w:trPr>
        <w:tc>
          <w:tcPr>
            <w:tcW w:w="4565" w:type="dxa"/>
            <w:vAlign w:val="center"/>
          </w:tcPr>
          <w:p w:rsidR="00712208" w:rsidRPr="00436FA4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Nr oferty/</w:t>
            </w:r>
            <w:r w:rsidRPr="00436FA4">
              <w:rPr>
                <w:rFonts w:cs="Arial"/>
                <w:bCs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vAlign w:val="center"/>
          </w:tcPr>
          <w:p w:rsidR="00712208" w:rsidRPr="00436FA4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</w:t>
            </w:r>
            <w:r w:rsidRPr="00436FA4">
              <w:rPr>
                <w:rFonts w:cs="Arial"/>
                <w:bCs/>
                <w:sz w:val="22"/>
                <w:szCs w:val="22"/>
              </w:rPr>
              <w:t xml:space="preserve">ryterium: </w:t>
            </w:r>
            <w:r>
              <w:rPr>
                <w:rFonts w:cs="Arial"/>
                <w:bCs/>
                <w:sz w:val="22"/>
                <w:szCs w:val="22"/>
              </w:rPr>
              <w:t xml:space="preserve">Cena </w:t>
            </w:r>
            <w:r w:rsidRPr="00436FA4">
              <w:rPr>
                <w:rFonts w:cs="Arial"/>
                <w:bCs/>
                <w:sz w:val="22"/>
                <w:szCs w:val="22"/>
              </w:rPr>
              <w:t>brutto oferty</w:t>
            </w:r>
            <w:r>
              <w:rPr>
                <w:rFonts w:cs="Arial"/>
                <w:bCs/>
                <w:sz w:val="22"/>
                <w:szCs w:val="22"/>
              </w:rPr>
              <w:t xml:space="preserve"> (pkt.)</w:t>
            </w:r>
          </w:p>
        </w:tc>
        <w:tc>
          <w:tcPr>
            <w:tcW w:w="1418" w:type="dxa"/>
            <w:vAlign w:val="center"/>
          </w:tcPr>
          <w:p w:rsidR="00712208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436FA4">
              <w:rPr>
                <w:rFonts w:cs="Arial"/>
                <w:bCs/>
                <w:sz w:val="22"/>
                <w:szCs w:val="22"/>
              </w:rPr>
              <w:t xml:space="preserve">Kryterium: </w:t>
            </w:r>
          </w:p>
          <w:p w:rsidR="00712208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Okres </w:t>
            </w:r>
          </w:p>
          <w:p w:rsidR="00712208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gwarancji</w:t>
            </w:r>
          </w:p>
          <w:p w:rsidR="00712208" w:rsidRPr="00436FA4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(pkt.) </w:t>
            </w:r>
          </w:p>
        </w:tc>
        <w:tc>
          <w:tcPr>
            <w:tcW w:w="1843" w:type="dxa"/>
            <w:vAlign w:val="center"/>
          </w:tcPr>
          <w:p w:rsidR="00712208" w:rsidRPr="00436FA4" w:rsidRDefault="00712208" w:rsidP="007D3DA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436FA4">
              <w:rPr>
                <w:rFonts w:cs="Arial"/>
                <w:bCs/>
                <w:sz w:val="22"/>
                <w:szCs w:val="22"/>
              </w:rPr>
              <w:t xml:space="preserve">Uzyskana łączna ilość punktów </w:t>
            </w:r>
          </w:p>
        </w:tc>
      </w:tr>
      <w:tr w:rsidR="00712208" w:rsidRPr="00436FA4" w:rsidTr="00866359">
        <w:trPr>
          <w:trHeight w:val="1375"/>
        </w:trPr>
        <w:tc>
          <w:tcPr>
            <w:tcW w:w="4565" w:type="dxa"/>
            <w:vAlign w:val="center"/>
          </w:tcPr>
          <w:p w:rsidR="00866359" w:rsidRPr="00712208" w:rsidRDefault="00866359" w:rsidP="002017E7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  <w:r w:rsidR="00712208">
              <w:rPr>
                <w:rFonts w:cs="Arial"/>
                <w:b w:val="0"/>
                <w:sz w:val="22"/>
                <w:szCs w:val="22"/>
              </w:rPr>
              <w:t xml:space="preserve">.  </w:t>
            </w:r>
            <w:r w:rsidRPr="00712208">
              <w:rPr>
                <w:rFonts w:eastAsia="Times New Roman" w:cs="Times New Roman"/>
                <w:b w:val="0"/>
                <w:sz w:val="22"/>
                <w:szCs w:val="22"/>
              </w:rPr>
              <w:t xml:space="preserve">Dr </w:t>
            </w:r>
            <w:proofErr w:type="spellStart"/>
            <w:r w:rsidRPr="00712208">
              <w:rPr>
                <w:rFonts w:eastAsia="Times New Roman" w:cs="Times New Roman"/>
                <w:b w:val="0"/>
                <w:sz w:val="22"/>
                <w:szCs w:val="22"/>
              </w:rPr>
              <w:t>Spil</w:t>
            </w:r>
            <w:proofErr w:type="spellEnd"/>
            <w:r w:rsidRPr="00712208">
              <w:rPr>
                <w:rFonts w:eastAsia="Times New Roman" w:cs="Times New Roman"/>
                <w:b w:val="0"/>
                <w:sz w:val="22"/>
                <w:szCs w:val="22"/>
              </w:rPr>
              <w:t xml:space="preserve"> Polska  Marcin Kozubek</w:t>
            </w:r>
          </w:p>
          <w:p w:rsidR="00866359" w:rsidRPr="00712208" w:rsidRDefault="00866359" w:rsidP="002017E7">
            <w:pPr>
              <w:tabs>
                <w:tab w:val="left" w:pos="567"/>
              </w:tabs>
              <w:spacing w:line="240" w:lineRule="auto"/>
              <w:ind w:left="567" w:hanging="567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 xml:space="preserve">     </w:t>
            </w:r>
            <w:r w:rsidRPr="00712208">
              <w:rPr>
                <w:rFonts w:eastAsia="Times New Roman" w:cs="Times New Roman"/>
                <w:b w:val="0"/>
                <w:sz w:val="22"/>
                <w:szCs w:val="22"/>
              </w:rPr>
              <w:t>ul. Pietrusińskiego 14, 40-842 Katowice</w:t>
            </w:r>
          </w:p>
          <w:p w:rsidR="00712208" w:rsidRPr="00C33816" w:rsidRDefault="00712208" w:rsidP="002017E7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rFonts w:cs="Gautami"/>
                <w:b w:val="0"/>
                <w:sz w:val="22"/>
                <w:szCs w:val="22"/>
              </w:rPr>
              <w:t xml:space="preserve">     </w:t>
            </w:r>
            <w:r w:rsidRPr="00C33816">
              <w:rPr>
                <w:rFonts w:cs="Gautami"/>
                <w:b w:val="0"/>
                <w:sz w:val="22"/>
                <w:szCs w:val="22"/>
              </w:rPr>
              <w:t xml:space="preserve">w kwocie </w:t>
            </w:r>
            <w:r w:rsidRPr="00C33816">
              <w:rPr>
                <w:b w:val="0"/>
                <w:sz w:val="22"/>
                <w:szCs w:val="22"/>
              </w:rPr>
              <w:t>brutto</w:t>
            </w:r>
            <w:r w:rsidRPr="00C33816">
              <w:rPr>
                <w:rFonts w:cs="Gautami"/>
                <w:b w:val="0"/>
                <w:sz w:val="22"/>
                <w:szCs w:val="22"/>
              </w:rPr>
              <w:t xml:space="preserve">  </w:t>
            </w:r>
            <w:r w:rsidR="00866359" w:rsidRPr="00866359">
              <w:rPr>
                <w:rFonts w:eastAsia="Times New Roman" w:cs="Times New Roman"/>
                <w:b w:val="0"/>
                <w:sz w:val="22"/>
                <w:szCs w:val="22"/>
              </w:rPr>
              <w:t>65 471,67</w:t>
            </w:r>
            <w:r w:rsidR="0086635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C33816">
              <w:rPr>
                <w:b w:val="0"/>
                <w:sz w:val="22"/>
                <w:szCs w:val="22"/>
              </w:rPr>
              <w:t>zł.</w:t>
            </w:r>
          </w:p>
          <w:p w:rsidR="00712208" w:rsidRPr="00F97DF9" w:rsidRDefault="00712208" w:rsidP="002017E7">
            <w:pPr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C33816">
              <w:rPr>
                <w:b w:val="0"/>
                <w:sz w:val="22"/>
                <w:szCs w:val="22"/>
              </w:rPr>
              <w:t xml:space="preserve">     okres gwarancji 48 m-</w:t>
            </w:r>
            <w:proofErr w:type="spellStart"/>
            <w:r w:rsidRPr="00C33816">
              <w:rPr>
                <w:b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59" w:type="dxa"/>
            <w:vAlign w:val="center"/>
          </w:tcPr>
          <w:p w:rsidR="00712208" w:rsidRPr="006C148E" w:rsidRDefault="00866359" w:rsidP="007D3DA9">
            <w:pPr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:rsidR="00712208" w:rsidRPr="006C148E" w:rsidRDefault="00712208" w:rsidP="007D3DA9">
            <w:pPr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 w:rsidRPr="006C148E">
              <w:rPr>
                <w:rFonts w:cs="Arial"/>
                <w:b w:val="0"/>
                <w:bCs/>
                <w:sz w:val="22"/>
                <w:szCs w:val="22"/>
              </w:rPr>
              <w:t>40,00</w:t>
            </w:r>
          </w:p>
        </w:tc>
        <w:tc>
          <w:tcPr>
            <w:tcW w:w="1843" w:type="dxa"/>
            <w:vAlign w:val="center"/>
          </w:tcPr>
          <w:p w:rsidR="00712208" w:rsidRPr="00436FA4" w:rsidRDefault="00866359" w:rsidP="007D3DA9">
            <w:pPr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100,00</w:t>
            </w:r>
            <w:r w:rsidR="00712208" w:rsidRPr="00436FA4">
              <w:rPr>
                <w:rFonts w:cs="Arial"/>
                <w:b w:val="0"/>
                <w:bCs/>
                <w:sz w:val="22"/>
                <w:szCs w:val="22"/>
              </w:rPr>
              <w:t xml:space="preserve"> pkt.</w:t>
            </w:r>
          </w:p>
        </w:tc>
      </w:tr>
    </w:tbl>
    <w:p w:rsidR="00712208" w:rsidRDefault="00712208" w:rsidP="00712208">
      <w:pPr>
        <w:jc w:val="both"/>
        <w:rPr>
          <w:rFonts w:cs="Gautami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712208" w:rsidRDefault="00712208" w:rsidP="00712208">
      <w:pPr>
        <w:ind w:firstLine="708"/>
        <w:jc w:val="both"/>
        <w:rPr>
          <w:rFonts w:cs="Gautami"/>
          <w:b w:val="0"/>
          <w:sz w:val="22"/>
          <w:szCs w:val="22"/>
        </w:rPr>
      </w:pPr>
      <w:r w:rsidRPr="00866359">
        <w:rPr>
          <w:rFonts w:cs="Gautami"/>
          <w:b w:val="0"/>
          <w:sz w:val="22"/>
          <w:szCs w:val="22"/>
        </w:rPr>
        <w:t xml:space="preserve">Oferta złożona przez Wykonawcę spełnia warunki udziału w postępowaniu, określone w specyfikacji istotnych warunków zamówienia. Wybrana oferta przedstawia najkorzystniejszy bilans ceny i pozostałych kryteriów za wykonanie przedmiotu zamówienia. W dokonanej ocenie, na podstawie kryteriów oceny ofert, okazała się ofertą najkorzystniejszą. </w:t>
      </w:r>
    </w:p>
    <w:p w:rsidR="0017504F" w:rsidRDefault="0017504F" w:rsidP="00712208">
      <w:pPr>
        <w:ind w:firstLine="708"/>
        <w:jc w:val="both"/>
        <w:rPr>
          <w:rFonts w:cs="Gautami"/>
          <w:b w:val="0"/>
          <w:sz w:val="22"/>
          <w:szCs w:val="22"/>
        </w:rPr>
      </w:pPr>
    </w:p>
    <w:p w:rsidR="002017E7" w:rsidRDefault="002017E7" w:rsidP="002B18F7">
      <w:pPr>
        <w:jc w:val="both"/>
        <w:rPr>
          <w:rFonts w:cs="Gautami"/>
          <w:b w:val="0"/>
          <w:sz w:val="22"/>
          <w:szCs w:val="22"/>
        </w:rPr>
      </w:pPr>
    </w:p>
    <w:p w:rsidR="002017E7" w:rsidRDefault="002017E7" w:rsidP="002017E7">
      <w:pPr>
        <w:ind w:firstLine="708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Jednocześnie zamawiający informuje, że na podstawie art. 262 ustawy Pzp.  unieważnione zostało  postępowanie w zakresie części nr 1, 3 i 4,   dotyczące </w:t>
      </w:r>
      <w:r w:rsidRPr="002017E7">
        <w:rPr>
          <w:b w:val="0"/>
          <w:sz w:val="22"/>
          <w:szCs w:val="22"/>
        </w:rPr>
        <w:t xml:space="preserve">budowy publicznych placów zabaw wraz z dostawą  i montażem   wyposażenia w </w:t>
      </w:r>
      <w:r>
        <w:rPr>
          <w:b w:val="0"/>
          <w:sz w:val="22"/>
          <w:szCs w:val="22"/>
        </w:rPr>
        <w:t xml:space="preserve">pozostałych miejscowościach </w:t>
      </w:r>
      <w:r w:rsidRPr="002017E7">
        <w:rPr>
          <w:b w:val="0"/>
          <w:sz w:val="22"/>
          <w:szCs w:val="22"/>
        </w:rPr>
        <w:t>m. Mołodycz, Nielepkowice i Manasterz</w:t>
      </w:r>
      <w:r w:rsidRPr="002017E7">
        <w:rPr>
          <w:rFonts w:cs="Gautami"/>
          <w:b w:val="0"/>
          <w:sz w:val="22"/>
          <w:szCs w:val="22"/>
        </w:rPr>
        <w:t>.</w:t>
      </w:r>
    </w:p>
    <w:p w:rsidR="002017E7" w:rsidRPr="0088572A" w:rsidRDefault="0088572A" w:rsidP="0088572A">
      <w:pPr>
        <w:jc w:val="both"/>
        <w:rPr>
          <w:rFonts w:cs="Gautami"/>
          <w:sz w:val="22"/>
          <w:szCs w:val="22"/>
        </w:rPr>
      </w:pPr>
      <w:r w:rsidRPr="0088572A">
        <w:rPr>
          <w:rFonts w:cs="Gautami"/>
          <w:sz w:val="22"/>
          <w:szCs w:val="22"/>
        </w:rPr>
        <w:t>Podstawa prawna unieważnienia postępowania:</w:t>
      </w:r>
    </w:p>
    <w:p w:rsidR="0088572A" w:rsidRPr="0088572A" w:rsidRDefault="0088572A" w:rsidP="0088572A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88572A">
        <w:rPr>
          <w:rFonts w:eastAsia="Times New Roman" w:cs="Arial"/>
          <w:b w:val="0"/>
          <w:sz w:val="22"/>
          <w:szCs w:val="22"/>
          <w:lang w:eastAsia="pl-PL"/>
        </w:rPr>
        <w:t>Art. 255  pkt. 3 ustawy z dnia 11 września 2019 r. Prawo zamówień publicznych ( t.j. Dz. U. z 2019 r., poz. 2019 ze zm.)</w:t>
      </w:r>
    </w:p>
    <w:p w:rsidR="0088572A" w:rsidRPr="0088572A" w:rsidRDefault="0088572A" w:rsidP="0088572A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88572A" w:rsidRPr="0088572A" w:rsidRDefault="0088572A" w:rsidP="0088572A">
      <w:pPr>
        <w:spacing w:line="240" w:lineRule="auto"/>
        <w:jc w:val="both"/>
        <w:rPr>
          <w:rFonts w:eastAsia="Times New Roman" w:cs="Arial"/>
          <w:sz w:val="22"/>
          <w:szCs w:val="22"/>
          <w:lang w:eastAsia="pl-PL"/>
        </w:rPr>
      </w:pPr>
      <w:r w:rsidRPr="0088572A">
        <w:rPr>
          <w:rFonts w:eastAsia="Times New Roman" w:cs="Arial"/>
          <w:sz w:val="22"/>
          <w:szCs w:val="22"/>
          <w:lang w:eastAsia="pl-PL"/>
        </w:rPr>
        <w:t>Uzasadnienie unieważnienia postępowania:</w:t>
      </w:r>
    </w:p>
    <w:p w:rsidR="0088572A" w:rsidRDefault="0088572A" w:rsidP="0088572A">
      <w:pPr>
        <w:ind w:firstLine="708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88572A">
        <w:rPr>
          <w:rFonts w:eastAsia="Times New Roman" w:cs="Arial"/>
          <w:b w:val="0"/>
          <w:sz w:val="22"/>
          <w:szCs w:val="22"/>
          <w:lang w:eastAsia="pl-PL"/>
        </w:rPr>
        <w:t>W toczącym się postępowaniu o udzielenie zamówienia publicznego na</w:t>
      </w:r>
      <w:r w:rsidRPr="0088572A">
        <w:rPr>
          <w:b w:val="0"/>
          <w:sz w:val="22"/>
          <w:szCs w:val="22"/>
          <w:lang w:eastAsia="ar-SA"/>
        </w:rPr>
        <w:t xml:space="preserve"> wykonanie </w:t>
      </w:r>
      <w:r>
        <w:rPr>
          <w:b w:val="0"/>
          <w:sz w:val="22"/>
          <w:szCs w:val="22"/>
          <w:lang w:eastAsia="ar-SA"/>
        </w:rPr>
        <w:t>zadania podzielonego na od</w:t>
      </w:r>
      <w:r w:rsidR="0017504F">
        <w:rPr>
          <w:b w:val="0"/>
          <w:sz w:val="22"/>
          <w:szCs w:val="22"/>
          <w:lang w:eastAsia="ar-SA"/>
        </w:rPr>
        <w:t xml:space="preserve">rębne części </w:t>
      </w:r>
      <w:r>
        <w:rPr>
          <w:b w:val="0"/>
          <w:sz w:val="22"/>
          <w:szCs w:val="22"/>
          <w:lang w:eastAsia="ar-SA"/>
        </w:rPr>
        <w:t xml:space="preserve">nr 1, 3 i 4 </w:t>
      </w:r>
      <w:r w:rsidRPr="0088572A">
        <w:rPr>
          <w:b w:val="0"/>
          <w:sz w:val="22"/>
          <w:szCs w:val="22"/>
          <w:lang w:eastAsia="ar-SA"/>
        </w:rPr>
        <w:t>następującego</w:t>
      </w:r>
      <w:r>
        <w:rPr>
          <w:b w:val="0"/>
          <w:sz w:val="22"/>
          <w:szCs w:val="22"/>
          <w:lang w:eastAsia="ar-SA"/>
        </w:rPr>
        <w:t xml:space="preserve"> </w:t>
      </w:r>
      <w:r w:rsidRPr="0088572A">
        <w:rPr>
          <w:b w:val="0"/>
          <w:sz w:val="22"/>
          <w:szCs w:val="22"/>
          <w:lang w:eastAsia="ar-SA"/>
        </w:rPr>
        <w:t xml:space="preserve"> zadania:  „</w:t>
      </w:r>
      <w:r>
        <w:rPr>
          <w:b w:val="0"/>
          <w:sz w:val="22"/>
          <w:szCs w:val="22"/>
        </w:rPr>
        <w:t>Budowa</w:t>
      </w:r>
      <w:r w:rsidRPr="002017E7">
        <w:rPr>
          <w:b w:val="0"/>
          <w:sz w:val="22"/>
          <w:szCs w:val="22"/>
        </w:rPr>
        <w:t xml:space="preserve"> publicznych placów zabaw wraz z dostawą  i montażem   wyposażenia w </w:t>
      </w:r>
      <w:r>
        <w:rPr>
          <w:b w:val="0"/>
          <w:sz w:val="22"/>
          <w:szCs w:val="22"/>
        </w:rPr>
        <w:t xml:space="preserve">pozostałych miejscowościach </w:t>
      </w:r>
      <w:r w:rsidRPr="002017E7">
        <w:rPr>
          <w:b w:val="0"/>
          <w:sz w:val="22"/>
          <w:szCs w:val="22"/>
        </w:rPr>
        <w:t>m. Mołodycz, Nielepkowice i</w:t>
      </w:r>
      <w:r>
        <w:rPr>
          <w:b w:val="0"/>
          <w:sz w:val="22"/>
          <w:szCs w:val="22"/>
        </w:rPr>
        <w:t> </w:t>
      </w:r>
      <w:r w:rsidRPr="002017E7">
        <w:rPr>
          <w:b w:val="0"/>
          <w:sz w:val="22"/>
          <w:szCs w:val="22"/>
        </w:rPr>
        <w:t>Manasterz</w:t>
      </w:r>
      <w:r w:rsidRPr="002017E7">
        <w:rPr>
          <w:rFonts w:cs="Gautami"/>
          <w:b w:val="0"/>
          <w:sz w:val="22"/>
          <w:szCs w:val="22"/>
        </w:rPr>
        <w:t>.</w:t>
      </w:r>
      <w:r w:rsidRPr="0088572A">
        <w:rPr>
          <w:b w:val="0"/>
          <w:sz w:val="22"/>
          <w:szCs w:val="22"/>
        </w:rPr>
        <w:t xml:space="preserve">” wpłynęła 1 </w:t>
      </w:r>
      <w:r>
        <w:rPr>
          <w:b w:val="0"/>
          <w:sz w:val="22"/>
          <w:szCs w:val="22"/>
        </w:rPr>
        <w:t xml:space="preserve">ważna </w:t>
      </w:r>
      <w:r w:rsidR="0017504F">
        <w:rPr>
          <w:b w:val="0"/>
          <w:sz w:val="22"/>
          <w:szCs w:val="22"/>
        </w:rPr>
        <w:t>oferta, której zaoferowana kwota dla poszczególnych częściach</w:t>
      </w:r>
      <w:r w:rsidRPr="0088572A">
        <w:rPr>
          <w:b w:val="0"/>
          <w:sz w:val="22"/>
          <w:szCs w:val="22"/>
        </w:rPr>
        <w:t xml:space="preserve"> </w:t>
      </w:r>
      <w:r w:rsidR="0017504F">
        <w:rPr>
          <w:b w:val="0"/>
          <w:sz w:val="22"/>
          <w:szCs w:val="22"/>
        </w:rPr>
        <w:t xml:space="preserve">zamówienia </w:t>
      </w:r>
      <w:r w:rsidR="0017504F">
        <w:rPr>
          <w:rFonts w:eastAsia="Times New Roman" w:cs="Arial"/>
          <w:b w:val="0"/>
          <w:sz w:val="22"/>
          <w:szCs w:val="22"/>
          <w:lang w:eastAsia="pl-PL"/>
        </w:rPr>
        <w:t>przewyższa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 kwotę, którą Zamawiający zamierza przeznaczyć na sfinansowanie 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poszczególnych części 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zamówienia. 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>Po analizie możliwości finansowej jednostki, Zamawiający stwierdził, że nie jest możliwe zwiększenie kwoty przeznaczonej na realizację zamówienia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 dla danych części, 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 do wysokości oferty najkorzystniejszej</w:t>
      </w:r>
      <w:r w:rsidR="0017504F">
        <w:rPr>
          <w:rFonts w:eastAsia="Times New Roman" w:cs="Arial"/>
          <w:b w:val="0"/>
          <w:sz w:val="22"/>
          <w:szCs w:val="22"/>
          <w:lang w:eastAsia="pl-PL"/>
        </w:rPr>
        <w:t xml:space="preserve"> cenowo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. </w:t>
      </w:r>
    </w:p>
    <w:p w:rsidR="0017504F" w:rsidRDefault="0017504F" w:rsidP="0088572A">
      <w:pPr>
        <w:ind w:firstLine="708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17504F" w:rsidRDefault="0088572A" w:rsidP="0088572A">
      <w:pPr>
        <w:ind w:firstLine="708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W związku 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z powyższym, zgodnie z treścią art. 255  pkt. 3  ustawy Prawo zamówień publicznych, Zamawiający </w:t>
      </w:r>
    </w:p>
    <w:p w:rsidR="0017504F" w:rsidRDefault="0017504F" w:rsidP="0088572A">
      <w:pPr>
        <w:ind w:firstLine="708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17504F" w:rsidRPr="0017504F" w:rsidRDefault="0088572A" w:rsidP="0088572A">
      <w:pPr>
        <w:ind w:firstLine="708"/>
        <w:jc w:val="both"/>
        <w:rPr>
          <w:rFonts w:eastAsia="Times New Roman" w:cs="Arial"/>
          <w:sz w:val="24"/>
          <w:szCs w:val="24"/>
          <w:u w:val="thick"/>
          <w:lang w:eastAsia="pl-PL"/>
        </w:rPr>
      </w:pPr>
      <w:r w:rsidRPr="0017504F">
        <w:rPr>
          <w:rFonts w:eastAsia="Times New Roman" w:cs="Arial"/>
          <w:sz w:val="24"/>
          <w:szCs w:val="24"/>
          <w:u w:val="thick"/>
          <w:lang w:eastAsia="pl-PL"/>
        </w:rPr>
        <w:t xml:space="preserve">unieważnia postępowanie o udzielenie zamówienia publicznego </w:t>
      </w:r>
    </w:p>
    <w:p w:rsidR="0017504F" w:rsidRDefault="0017504F" w:rsidP="0017504F">
      <w:pPr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88572A" w:rsidRPr="0017504F" w:rsidRDefault="0088572A" w:rsidP="0017504F">
      <w:pPr>
        <w:jc w:val="both"/>
        <w:rPr>
          <w:rFonts w:eastAsia="Times New Roman" w:cs="Arial"/>
          <w:sz w:val="22"/>
          <w:szCs w:val="22"/>
          <w:lang w:eastAsia="pl-PL"/>
        </w:rPr>
      </w:pPr>
      <w:r w:rsidRPr="0017504F">
        <w:rPr>
          <w:rFonts w:eastAsia="Times New Roman" w:cs="Arial"/>
          <w:sz w:val="22"/>
          <w:szCs w:val="22"/>
          <w:lang w:eastAsia="pl-PL"/>
        </w:rPr>
        <w:t>w zakresie:</w:t>
      </w:r>
    </w:p>
    <w:p w:rsidR="0088572A" w:rsidRPr="00834D2B" w:rsidRDefault="0088572A" w:rsidP="0088572A">
      <w:pPr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834D2B">
        <w:rPr>
          <w:rFonts w:eastAsia="Times New Roman" w:cs="Arial"/>
          <w:b w:val="0"/>
          <w:sz w:val="22"/>
          <w:szCs w:val="22"/>
          <w:lang w:eastAsia="pl-PL"/>
        </w:rPr>
        <w:t xml:space="preserve">Części nr 1 </w:t>
      </w:r>
      <w:r w:rsidR="0017504F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834D2B" w:rsidRPr="00834D2B">
        <w:rPr>
          <w:b w:val="0"/>
          <w:sz w:val="22"/>
          <w:szCs w:val="22"/>
        </w:rPr>
        <w:t xml:space="preserve">Budowa </w:t>
      </w:r>
      <w:r w:rsidRPr="00834D2B">
        <w:rPr>
          <w:b w:val="0"/>
          <w:sz w:val="22"/>
          <w:szCs w:val="22"/>
        </w:rPr>
        <w:t xml:space="preserve"> placu zabaw wraz z dostawą  i montażem   wyposażenia w m. Mołodycz</w:t>
      </w:r>
    </w:p>
    <w:p w:rsidR="0088572A" w:rsidRPr="00834D2B" w:rsidRDefault="0088572A" w:rsidP="0088572A">
      <w:pPr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834D2B">
        <w:rPr>
          <w:rFonts w:eastAsia="Times New Roman" w:cs="Arial"/>
          <w:b w:val="0"/>
          <w:sz w:val="22"/>
          <w:szCs w:val="22"/>
          <w:lang w:eastAsia="pl-PL"/>
        </w:rPr>
        <w:t>Części nr 3</w:t>
      </w:r>
      <w:r w:rsidR="00834D2B" w:rsidRPr="00834D2B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17504F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834D2B" w:rsidRPr="00834D2B">
        <w:rPr>
          <w:b w:val="0"/>
          <w:sz w:val="22"/>
          <w:szCs w:val="22"/>
        </w:rPr>
        <w:t xml:space="preserve">Budowa </w:t>
      </w:r>
      <w:r w:rsidRPr="00834D2B">
        <w:rPr>
          <w:b w:val="0"/>
          <w:sz w:val="22"/>
          <w:szCs w:val="22"/>
        </w:rPr>
        <w:t xml:space="preserve"> placu zabaw wraz z dostawą  i montażem   wyposażenia w m. Nielepkowice</w:t>
      </w:r>
    </w:p>
    <w:p w:rsidR="0088572A" w:rsidRPr="00834D2B" w:rsidRDefault="0088572A" w:rsidP="0088572A">
      <w:pPr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834D2B">
        <w:rPr>
          <w:rFonts w:eastAsia="Times New Roman" w:cs="Arial"/>
          <w:b w:val="0"/>
          <w:sz w:val="22"/>
          <w:szCs w:val="22"/>
          <w:lang w:eastAsia="pl-PL"/>
        </w:rPr>
        <w:t xml:space="preserve">Części nr 4 </w:t>
      </w:r>
      <w:r w:rsidR="0017504F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834D2B" w:rsidRPr="00834D2B">
        <w:rPr>
          <w:b w:val="0"/>
          <w:sz w:val="22"/>
          <w:szCs w:val="22"/>
        </w:rPr>
        <w:t xml:space="preserve">Budowa </w:t>
      </w:r>
      <w:r w:rsidRPr="00834D2B">
        <w:rPr>
          <w:b w:val="0"/>
          <w:sz w:val="22"/>
          <w:szCs w:val="22"/>
        </w:rPr>
        <w:t xml:space="preserve"> placu zabaw wraz z dostawą  i montażem   wyposażenia w m. Manasterz</w:t>
      </w:r>
      <w:r w:rsidR="00834D2B">
        <w:rPr>
          <w:b w:val="0"/>
          <w:sz w:val="22"/>
          <w:szCs w:val="22"/>
        </w:rPr>
        <w:t>,</w:t>
      </w:r>
    </w:p>
    <w:p w:rsidR="0088572A" w:rsidRDefault="0088572A" w:rsidP="0088572A">
      <w:pPr>
        <w:jc w:val="both"/>
        <w:rPr>
          <w:sz w:val="22"/>
          <w:szCs w:val="22"/>
        </w:rPr>
      </w:pPr>
    </w:p>
    <w:p w:rsidR="0088572A" w:rsidRPr="0088572A" w:rsidRDefault="0088572A" w:rsidP="0088572A">
      <w:pPr>
        <w:jc w:val="both"/>
        <w:rPr>
          <w:rFonts w:cs="Gautami"/>
          <w:b w:val="0"/>
          <w:sz w:val="22"/>
          <w:szCs w:val="22"/>
        </w:rPr>
      </w:pP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jeżeli </w:t>
      </w:r>
      <w:r>
        <w:rPr>
          <w:rFonts w:eastAsia="Times New Roman" w:cs="Arial"/>
          <w:b w:val="0"/>
          <w:sz w:val="22"/>
          <w:szCs w:val="22"/>
          <w:lang w:eastAsia="pl-PL"/>
        </w:rPr>
        <w:t>oferta</w:t>
      </w:r>
      <w:r w:rsidRPr="0088572A">
        <w:rPr>
          <w:rFonts w:eastAsia="Times New Roman" w:cs="Arial"/>
          <w:b w:val="0"/>
          <w:sz w:val="22"/>
          <w:szCs w:val="22"/>
          <w:lang w:eastAsia="pl-PL"/>
        </w:rPr>
        <w:t xml:space="preserve"> z najniższą ceną przewyższa kwotę, którą zamawiający zamierza przeznaczyć na sfinansowanie zamówienia. </w:t>
      </w:r>
    </w:p>
    <w:p w:rsidR="00866359" w:rsidRDefault="00866359" w:rsidP="00712208">
      <w:pPr>
        <w:ind w:firstLine="708"/>
        <w:jc w:val="both"/>
        <w:rPr>
          <w:rFonts w:cs="Gautami"/>
          <w:b w:val="0"/>
          <w:sz w:val="22"/>
          <w:szCs w:val="22"/>
        </w:rPr>
      </w:pPr>
    </w:p>
    <w:p w:rsidR="0017504F" w:rsidRDefault="0017504F" w:rsidP="00712208">
      <w:pPr>
        <w:ind w:firstLine="708"/>
        <w:jc w:val="both"/>
        <w:rPr>
          <w:rFonts w:cs="Gautami"/>
          <w:b w:val="0"/>
          <w:sz w:val="22"/>
          <w:szCs w:val="22"/>
        </w:rPr>
      </w:pPr>
    </w:p>
    <w:p w:rsidR="00866359" w:rsidRDefault="00866359" w:rsidP="00866359">
      <w:pPr>
        <w:rPr>
          <w:rFonts w:cs="Gautami"/>
          <w:sz w:val="22"/>
          <w:szCs w:val="22"/>
        </w:rPr>
      </w:pPr>
      <w:r w:rsidRPr="00AE1BDC">
        <w:rPr>
          <w:rFonts w:cs="Gautami"/>
          <w:sz w:val="22"/>
          <w:szCs w:val="22"/>
        </w:rPr>
        <w:t>Z postępowania odrzuco</w:t>
      </w:r>
      <w:r>
        <w:rPr>
          <w:rFonts w:cs="Gautami"/>
          <w:sz w:val="22"/>
          <w:szCs w:val="22"/>
        </w:rPr>
        <w:t xml:space="preserve">no ofertę złożoną przez firmę: </w:t>
      </w:r>
    </w:p>
    <w:p w:rsidR="00866359" w:rsidRPr="00866359" w:rsidRDefault="00866359" w:rsidP="00866359">
      <w:pPr>
        <w:spacing w:line="276" w:lineRule="auto"/>
        <w:rPr>
          <w:b w:val="0"/>
          <w:sz w:val="22"/>
          <w:szCs w:val="22"/>
        </w:rPr>
      </w:pPr>
      <w:r w:rsidRPr="00866359">
        <w:rPr>
          <w:b w:val="0"/>
          <w:sz w:val="22"/>
          <w:szCs w:val="22"/>
        </w:rPr>
        <w:t xml:space="preserve">BIG TOYS Elżbieta </w:t>
      </w:r>
      <w:proofErr w:type="spellStart"/>
      <w:r w:rsidRPr="00866359">
        <w:rPr>
          <w:b w:val="0"/>
          <w:sz w:val="22"/>
          <w:szCs w:val="22"/>
        </w:rPr>
        <w:t>Zygaryn</w:t>
      </w:r>
      <w:proofErr w:type="spellEnd"/>
    </w:p>
    <w:p w:rsidR="00866359" w:rsidRDefault="00866359" w:rsidP="00866359">
      <w:pPr>
        <w:rPr>
          <w:rFonts w:cs="Gautami"/>
          <w:sz w:val="22"/>
          <w:szCs w:val="22"/>
        </w:rPr>
      </w:pPr>
      <w:r w:rsidRPr="00866359">
        <w:rPr>
          <w:b w:val="0"/>
          <w:sz w:val="22"/>
          <w:szCs w:val="22"/>
        </w:rPr>
        <w:t>Słotwina 58F, 58-100 Świdnica</w:t>
      </w:r>
    </w:p>
    <w:p w:rsidR="00866359" w:rsidRPr="002017E7" w:rsidRDefault="00866359" w:rsidP="00866359">
      <w:pPr>
        <w:jc w:val="both"/>
        <w:rPr>
          <w:rFonts w:cs="Gautami"/>
          <w:sz w:val="22"/>
          <w:szCs w:val="22"/>
        </w:rPr>
      </w:pPr>
      <w:r w:rsidRPr="002017E7">
        <w:rPr>
          <w:rFonts w:cs="Gautami"/>
          <w:sz w:val="22"/>
          <w:szCs w:val="22"/>
        </w:rPr>
        <w:t>Podstawa prawna odrzucenia oferty:</w:t>
      </w:r>
    </w:p>
    <w:p w:rsidR="00866359" w:rsidRDefault="00866359" w:rsidP="00866359">
      <w:pPr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Art. </w:t>
      </w:r>
      <w:r w:rsidR="002017E7">
        <w:rPr>
          <w:rFonts w:cs="Gautami"/>
          <w:b w:val="0"/>
          <w:sz w:val="22"/>
          <w:szCs w:val="22"/>
        </w:rPr>
        <w:t>226 ust. 1 pkt. 6 ustawy Pzp.</w:t>
      </w:r>
    </w:p>
    <w:p w:rsidR="00866359" w:rsidRPr="002017E7" w:rsidRDefault="002017E7" w:rsidP="00866359">
      <w:pPr>
        <w:jc w:val="both"/>
        <w:rPr>
          <w:rFonts w:cs="Gautami"/>
          <w:sz w:val="22"/>
          <w:szCs w:val="22"/>
        </w:rPr>
      </w:pPr>
      <w:r w:rsidRPr="002017E7">
        <w:rPr>
          <w:rFonts w:cs="Gautami"/>
          <w:sz w:val="22"/>
          <w:szCs w:val="22"/>
        </w:rPr>
        <w:t>Uzasadnienie:</w:t>
      </w:r>
    </w:p>
    <w:p w:rsidR="001A61EA" w:rsidRDefault="001A61EA" w:rsidP="002B18F7">
      <w:pPr>
        <w:spacing w:line="276" w:lineRule="auto"/>
        <w:jc w:val="both"/>
        <w:rPr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W prowadzonym postępowaniu  o udzielenie zamówienia publicznego na budowę placów zabaw wraz z dostawą wyposażenia w m. Mołodycz, Wiązownica, Nielepkowice i Manasterz, złożone zostały 2 oferty przetargowe, w tym oferta </w:t>
      </w:r>
      <w:r w:rsidR="0017504F">
        <w:rPr>
          <w:rFonts w:cs="Gautami"/>
          <w:b w:val="0"/>
          <w:sz w:val="22"/>
          <w:szCs w:val="22"/>
        </w:rPr>
        <w:t xml:space="preserve"> złożona przez  firmę </w:t>
      </w:r>
      <w:r w:rsidR="0017504F" w:rsidRPr="00866359">
        <w:rPr>
          <w:b w:val="0"/>
          <w:sz w:val="22"/>
          <w:szCs w:val="22"/>
        </w:rPr>
        <w:t xml:space="preserve">BIG TOYS Elżbieta </w:t>
      </w:r>
      <w:proofErr w:type="spellStart"/>
      <w:r w:rsidR="0017504F" w:rsidRPr="00866359">
        <w:rPr>
          <w:b w:val="0"/>
          <w:sz w:val="22"/>
          <w:szCs w:val="22"/>
        </w:rPr>
        <w:t>Zygaryn</w:t>
      </w:r>
      <w:proofErr w:type="spellEnd"/>
      <w:r w:rsidR="0017504F">
        <w:rPr>
          <w:b w:val="0"/>
          <w:sz w:val="22"/>
          <w:szCs w:val="22"/>
        </w:rPr>
        <w:t xml:space="preserve">  </w:t>
      </w:r>
      <w:r w:rsidR="0017504F" w:rsidRPr="00866359">
        <w:rPr>
          <w:b w:val="0"/>
          <w:sz w:val="22"/>
          <w:szCs w:val="22"/>
        </w:rPr>
        <w:t>Słotwina 58F, 58-100 Świdnica</w:t>
      </w:r>
      <w:r>
        <w:rPr>
          <w:b w:val="0"/>
          <w:sz w:val="22"/>
          <w:szCs w:val="22"/>
        </w:rPr>
        <w:t>.</w:t>
      </w:r>
    </w:p>
    <w:p w:rsidR="002B18F7" w:rsidRPr="002B18F7" w:rsidRDefault="000A486D" w:rsidP="002B18F7">
      <w:pPr>
        <w:spacing w:line="276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Zgodnie z przepisami  ustawy  Prawo zamówień publicznych oraz  zapisami  pkt.  16.2 i 16. 3  SWZ,  ofertę wraz z załącznikami  należy  podpisać  kwalifikowanym podpisem elektronicznym, podpisem zaufanym lub podpisem osobistym  i  złożyć w postaci elektronicznej na stronie prowadzonego postępowania, na platformie zakupowej pod adresem: </w:t>
      </w:r>
      <w:hyperlink r:id="rId7" w:history="1">
        <w:r w:rsidRPr="00B0641E">
          <w:rPr>
            <w:rStyle w:val="Hipercze"/>
            <w:rFonts w:cs="Gautami"/>
            <w:b w:val="0"/>
            <w:sz w:val="22"/>
            <w:szCs w:val="22"/>
          </w:rPr>
          <w:t>https://platformazakupowa.pl/wiazownica</w:t>
        </w:r>
      </w:hyperlink>
    </w:p>
    <w:p w:rsidR="002B18F7" w:rsidRDefault="001A61EA" w:rsidP="001A61EA">
      <w:pPr>
        <w:jc w:val="both"/>
        <w:rPr>
          <w:rFonts w:cs="Gautami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toku przeprowadzonej weryfikacji, pod kątem, czy oferta została złożona poprawnie </w:t>
      </w:r>
      <w:r w:rsidR="00AD0BC1">
        <w:rPr>
          <w:b w:val="0"/>
          <w:sz w:val="22"/>
          <w:szCs w:val="22"/>
        </w:rPr>
        <w:t>w for</w:t>
      </w:r>
      <w:r>
        <w:rPr>
          <w:b w:val="0"/>
          <w:sz w:val="22"/>
          <w:szCs w:val="22"/>
        </w:rPr>
        <w:t xml:space="preserve">mie elektronicznej  i czy </w:t>
      </w:r>
      <w:r w:rsidR="00AD0BC1">
        <w:rPr>
          <w:b w:val="0"/>
          <w:sz w:val="22"/>
          <w:szCs w:val="22"/>
        </w:rPr>
        <w:t>została  podpisana  zgodnie z wymogami określonymi</w:t>
      </w:r>
      <w:r>
        <w:rPr>
          <w:b w:val="0"/>
          <w:sz w:val="22"/>
          <w:szCs w:val="22"/>
        </w:rPr>
        <w:t xml:space="preserve"> w ustawie Pzp. i SWZ, stwierdzono, iż  oferta złożona na stronie postępowania pod adresem: </w:t>
      </w:r>
      <w:r w:rsidR="00AD0BC1">
        <w:rPr>
          <w:b w:val="0"/>
          <w:sz w:val="22"/>
          <w:szCs w:val="22"/>
        </w:rPr>
        <w:t xml:space="preserve"> </w:t>
      </w:r>
      <w:hyperlink r:id="rId8" w:history="1">
        <w:r w:rsidRPr="00B0641E">
          <w:rPr>
            <w:rStyle w:val="Hipercze"/>
            <w:rFonts w:cs="Gautami"/>
            <w:b w:val="0"/>
            <w:sz w:val="22"/>
            <w:szCs w:val="22"/>
          </w:rPr>
          <w:t>https://platformazakupowa.pl/wiazownica</w:t>
        </w:r>
      </w:hyperlink>
      <w:r>
        <w:rPr>
          <w:rFonts w:cs="Gautami"/>
          <w:b w:val="0"/>
          <w:sz w:val="22"/>
          <w:szCs w:val="22"/>
        </w:rPr>
        <w:t xml:space="preserve"> nie została podpisana właściwe. </w:t>
      </w:r>
    </w:p>
    <w:p w:rsidR="001A61EA" w:rsidRDefault="001A61EA" w:rsidP="001A61EA">
      <w:pPr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Podczas weryfikacji </w:t>
      </w:r>
      <w:r w:rsidR="000A486D">
        <w:rPr>
          <w:rFonts w:cs="Gautami"/>
          <w:b w:val="0"/>
          <w:sz w:val="22"/>
          <w:szCs w:val="22"/>
        </w:rPr>
        <w:t xml:space="preserve">oferty </w:t>
      </w:r>
      <w:r>
        <w:rPr>
          <w:rFonts w:cs="Gautami"/>
          <w:b w:val="0"/>
          <w:sz w:val="22"/>
          <w:szCs w:val="22"/>
        </w:rPr>
        <w:t xml:space="preserve"> </w:t>
      </w:r>
      <w:r w:rsidR="000A486D">
        <w:rPr>
          <w:rFonts w:cs="Gautami"/>
          <w:b w:val="0"/>
          <w:sz w:val="22"/>
          <w:szCs w:val="22"/>
        </w:rPr>
        <w:t xml:space="preserve">stwierdzono, iż Wykonawca zamieścił wyłącznie dokumenty oferty, które nie zostały opatrzone  kwalifikowanym podpisem elektronicznym, podpisem zaufanym lub podpisem osobistym. </w:t>
      </w:r>
      <w:r>
        <w:rPr>
          <w:rFonts w:cs="Gautami"/>
          <w:b w:val="0"/>
          <w:sz w:val="22"/>
          <w:szCs w:val="22"/>
        </w:rPr>
        <w:t xml:space="preserve"> </w:t>
      </w:r>
    </w:p>
    <w:p w:rsidR="00866359" w:rsidRDefault="00866359" w:rsidP="00866359">
      <w:pPr>
        <w:jc w:val="both"/>
        <w:rPr>
          <w:rFonts w:cs="Gautami"/>
          <w:b w:val="0"/>
          <w:sz w:val="22"/>
          <w:szCs w:val="22"/>
        </w:rPr>
      </w:pPr>
    </w:p>
    <w:p w:rsidR="00FF41D5" w:rsidRDefault="00FF41D5" w:rsidP="00866359">
      <w:pPr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lastRenderedPageBreak/>
        <w:t>.</w:t>
      </w:r>
    </w:p>
    <w:p w:rsidR="000A486D" w:rsidRDefault="000A486D" w:rsidP="00866359">
      <w:pPr>
        <w:jc w:val="both"/>
        <w:rPr>
          <w:rFonts w:cs="Gautami"/>
          <w:b w:val="0"/>
          <w:sz w:val="22"/>
          <w:szCs w:val="22"/>
        </w:rPr>
      </w:pPr>
    </w:p>
    <w:p w:rsidR="00866359" w:rsidRDefault="00FF41D5" w:rsidP="00866359">
      <w:pPr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>Zgodnie z obowiązującymi przepisami, wnioski o dopuszc</w:t>
      </w:r>
      <w:r w:rsidR="002B18F7">
        <w:rPr>
          <w:rFonts w:cs="Gautami"/>
          <w:b w:val="0"/>
          <w:sz w:val="22"/>
          <w:szCs w:val="22"/>
        </w:rPr>
        <w:t>zenie do udziału w postępowaniu lub</w:t>
      </w:r>
      <w:r>
        <w:rPr>
          <w:rFonts w:cs="Gautami"/>
          <w:b w:val="0"/>
          <w:sz w:val="22"/>
          <w:szCs w:val="22"/>
        </w:rPr>
        <w:t xml:space="preserve"> oferty sporządza się, pod rygorem nieważności, w postaci elektronicznej   i opatruje kwalifikowanym podpisem elektronicznym, podpisem zaufanym lun osobistym.</w:t>
      </w:r>
    </w:p>
    <w:p w:rsidR="002B18F7" w:rsidRDefault="002B18F7" w:rsidP="00866359">
      <w:pPr>
        <w:jc w:val="both"/>
        <w:rPr>
          <w:rFonts w:cs="Gautami"/>
          <w:b w:val="0"/>
          <w:sz w:val="22"/>
          <w:szCs w:val="22"/>
        </w:rPr>
      </w:pPr>
    </w:p>
    <w:p w:rsidR="00AD5F5C" w:rsidRDefault="00FF41D5" w:rsidP="00866359">
      <w:pPr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>Z powyższego wynika, iż brak podpisu  pod ofertą</w:t>
      </w:r>
      <w:r w:rsidR="00AD5F5C">
        <w:rPr>
          <w:rFonts w:cs="Gautami"/>
          <w:b w:val="0"/>
          <w:sz w:val="22"/>
          <w:szCs w:val="22"/>
        </w:rPr>
        <w:t xml:space="preserve"> złożoną w postaci elektronicznej</w:t>
      </w:r>
      <w:r w:rsidR="002B18F7">
        <w:rPr>
          <w:rFonts w:cs="Gautami"/>
          <w:b w:val="0"/>
          <w:sz w:val="22"/>
          <w:szCs w:val="22"/>
        </w:rPr>
        <w:t xml:space="preserve"> przy użyciu środków komunikacji elektronicznej</w:t>
      </w:r>
      <w:r w:rsidR="00AD5F5C">
        <w:rPr>
          <w:rFonts w:cs="Gautami"/>
          <w:b w:val="0"/>
          <w:sz w:val="22"/>
          <w:szCs w:val="22"/>
        </w:rPr>
        <w:t>, stanowi podstawę do o</w:t>
      </w:r>
      <w:r w:rsidR="002B18F7">
        <w:rPr>
          <w:rFonts w:cs="Gautami"/>
          <w:b w:val="0"/>
          <w:sz w:val="22"/>
          <w:szCs w:val="22"/>
        </w:rPr>
        <w:t>drzucenia oferty z postępowania, zgodnie z art. 226 ust. 1 pkt. 6 ustawy Pzp.</w:t>
      </w:r>
    </w:p>
    <w:p w:rsidR="002B18F7" w:rsidRDefault="002B18F7" w:rsidP="00866359">
      <w:pPr>
        <w:jc w:val="both"/>
        <w:rPr>
          <w:rFonts w:cs="Gautami"/>
          <w:b w:val="0"/>
          <w:sz w:val="22"/>
          <w:szCs w:val="22"/>
        </w:rPr>
      </w:pPr>
    </w:p>
    <w:p w:rsidR="002B18F7" w:rsidRDefault="002B18F7" w:rsidP="002B18F7">
      <w:pPr>
        <w:spacing w:line="276" w:lineRule="auto"/>
        <w:jc w:val="both"/>
        <w:rPr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Mając powyższe na uwadze stwierdzić należy, że odrzucenie oferty złożonej przez firmę </w:t>
      </w:r>
      <w:r w:rsidRPr="00866359">
        <w:rPr>
          <w:b w:val="0"/>
          <w:sz w:val="22"/>
          <w:szCs w:val="22"/>
        </w:rPr>
        <w:t xml:space="preserve">BIG TOYS Elżbieta </w:t>
      </w:r>
      <w:proofErr w:type="spellStart"/>
      <w:r w:rsidRPr="00866359">
        <w:rPr>
          <w:b w:val="0"/>
          <w:sz w:val="22"/>
          <w:szCs w:val="22"/>
        </w:rPr>
        <w:t>Zygaryn</w:t>
      </w:r>
      <w:proofErr w:type="spellEnd"/>
      <w:r>
        <w:rPr>
          <w:b w:val="0"/>
          <w:sz w:val="22"/>
          <w:szCs w:val="22"/>
        </w:rPr>
        <w:t xml:space="preserve">  </w:t>
      </w:r>
      <w:r w:rsidRPr="00866359">
        <w:rPr>
          <w:b w:val="0"/>
          <w:sz w:val="22"/>
          <w:szCs w:val="22"/>
        </w:rPr>
        <w:t>Słotwina 58F, 58-100 Świdnica</w:t>
      </w:r>
      <w:r>
        <w:rPr>
          <w:b w:val="0"/>
          <w:sz w:val="22"/>
          <w:szCs w:val="22"/>
        </w:rPr>
        <w:t xml:space="preserve"> jest  w pełni uzasadnione.</w:t>
      </w:r>
    </w:p>
    <w:p w:rsidR="002B18F7" w:rsidRDefault="002B18F7" w:rsidP="00866359">
      <w:pPr>
        <w:jc w:val="both"/>
        <w:rPr>
          <w:rFonts w:cs="Gautami"/>
          <w:b w:val="0"/>
          <w:sz w:val="22"/>
          <w:szCs w:val="22"/>
        </w:rPr>
      </w:pPr>
    </w:p>
    <w:p w:rsidR="00866359" w:rsidRDefault="00866359" w:rsidP="00866359">
      <w:pPr>
        <w:jc w:val="both"/>
        <w:rPr>
          <w:rFonts w:cs="Gautami"/>
          <w:b w:val="0"/>
          <w:sz w:val="22"/>
          <w:szCs w:val="22"/>
        </w:rPr>
      </w:pPr>
    </w:p>
    <w:p w:rsidR="00137C96" w:rsidRPr="00AF6B9F" w:rsidRDefault="00137C96" w:rsidP="00137C96">
      <w:pPr>
        <w:rPr>
          <w:rFonts w:cs="Arial"/>
          <w:b w:val="0"/>
          <w:sz w:val="22"/>
          <w:szCs w:val="22"/>
        </w:rPr>
      </w:pPr>
      <w:r w:rsidRPr="00AF6B9F">
        <w:rPr>
          <w:rFonts w:cs="Arial"/>
          <w:b w:val="0"/>
          <w:sz w:val="22"/>
          <w:szCs w:val="22"/>
        </w:rPr>
        <w:t>POUCZENIE</w:t>
      </w:r>
    </w:p>
    <w:p w:rsidR="00116C3F" w:rsidRPr="00561591" w:rsidRDefault="00137C96" w:rsidP="00561591">
      <w:pPr>
        <w:jc w:val="both"/>
        <w:rPr>
          <w:rFonts w:cs="Arial"/>
          <w:b w:val="0"/>
          <w:sz w:val="22"/>
          <w:szCs w:val="22"/>
        </w:rPr>
      </w:pPr>
      <w:r w:rsidRPr="00137C96">
        <w:rPr>
          <w:rFonts w:cs="Arial"/>
          <w:b w:val="0"/>
          <w:sz w:val="22"/>
          <w:szCs w:val="22"/>
        </w:rPr>
        <w:t>Wykonawcy, a także innemu podmiotowi, który poniósł lub może ponieść szkodę w wyniku naruszenia przez Zamawiającego przepisów ustawy Pzp przysługują środki ochrony prawnej, o</w:t>
      </w:r>
      <w:r w:rsidR="00561591">
        <w:rPr>
          <w:rFonts w:cs="Arial"/>
          <w:b w:val="0"/>
          <w:sz w:val="22"/>
          <w:szCs w:val="22"/>
        </w:rPr>
        <w:t>kreślone w dziale IX ustawy Pzp.</w:t>
      </w:r>
      <w:bookmarkStart w:id="0" w:name="_GoBack"/>
      <w:bookmarkEnd w:id="0"/>
    </w:p>
    <w:p w:rsidR="00116C3F" w:rsidRPr="00AF6B9F" w:rsidRDefault="00116C3F" w:rsidP="00116C3F">
      <w:pPr>
        <w:jc w:val="both"/>
        <w:rPr>
          <w:rFonts w:cs="Arial"/>
          <w:sz w:val="22"/>
          <w:szCs w:val="22"/>
        </w:rPr>
      </w:pPr>
    </w:p>
    <w:p w:rsidR="00116C3F" w:rsidRDefault="00116C3F" w:rsidP="00116C3F">
      <w:pPr>
        <w:rPr>
          <w:b w:val="0"/>
          <w:smallCaps/>
          <w:sz w:val="28"/>
          <w:szCs w:val="28"/>
        </w:rPr>
      </w:pPr>
    </w:p>
    <w:p w:rsidR="00116C3F" w:rsidRDefault="00116C3F" w:rsidP="00116C3F">
      <w:pPr>
        <w:jc w:val="center"/>
        <w:rPr>
          <w:b w:val="0"/>
          <w:smallCaps/>
          <w:sz w:val="28"/>
          <w:szCs w:val="2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F31658" w:rsidRPr="00F31658" w:rsidTr="00F31658">
        <w:tc>
          <w:tcPr>
            <w:tcW w:w="4106" w:type="dxa"/>
          </w:tcPr>
          <w:p w:rsidR="00F31658" w:rsidRPr="00F31658" w:rsidRDefault="00F31658">
            <w:pPr>
              <w:spacing w:line="240" w:lineRule="auto"/>
              <w:jc w:val="both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  <w:tc>
          <w:tcPr>
            <w:tcW w:w="4956" w:type="dxa"/>
            <w:hideMark/>
          </w:tcPr>
          <w:p w:rsidR="00F31658" w:rsidRPr="00F31658" w:rsidRDefault="00F31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1658">
              <w:rPr>
                <w:sz w:val="24"/>
                <w:szCs w:val="24"/>
              </w:rPr>
              <w:t>Wójt Gminy Wiązownica</w:t>
            </w:r>
          </w:p>
          <w:p w:rsidR="00F31658" w:rsidRPr="00F31658" w:rsidRDefault="00F31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1658">
              <w:rPr>
                <w:sz w:val="24"/>
                <w:szCs w:val="24"/>
              </w:rPr>
              <w:t>(-)</w:t>
            </w:r>
          </w:p>
          <w:p w:rsidR="00F31658" w:rsidRPr="00F31658" w:rsidRDefault="00F31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1658">
              <w:rPr>
                <w:sz w:val="24"/>
                <w:szCs w:val="24"/>
              </w:rPr>
              <w:t>Marian Jerzy Ryznar</w:t>
            </w:r>
          </w:p>
          <w:p w:rsidR="00F31658" w:rsidRPr="00F31658" w:rsidRDefault="00F31658">
            <w:pPr>
              <w:spacing w:line="276" w:lineRule="auto"/>
              <w:jc w:val="center"/>
              <w:rPr>
                <w:b w:val="0"/>
                <w:i/>
                <w:sz w:val="22"/>
                <w:szCs w:val="24"/>
              </w:rPr>
            </w:pPr>
            <w:r w:rsidRPr="00F31658">
              <w:rPr>
                <w:b w:val="0"/>
                <w:i/>
                <w:sz w:val="20"/>
                <w:szCs w:val="24"/>
              </w:rPr>
              <w:t>(Podpisane bezpiecznym podpisem elektronicznym)</w:t>
            </w:r>
          </w:p>
        </w:tc>
      </w:tr>
    </w:tbl>
    <w:p w:rsidR="00116C3F" w:rsidRDefault="00116C3F" w:rsidP="00F31658">
      <w:pPr>
        <w:rPr>
          <w:b w:val="0"/>
          <w:smallCaps/>
          <w:sz w:val="28"/>
          <w:szCs w:val="28"/>
        </w:rPr>
      </w:pPr>
    </w:p>
    <w:p w:rsidR="00116C3F" w:rsidRDefault="00116C3F" w:rsidP="00116C3F">
      <w:pPr>
        <w:jc w:val="center"/>
        <w:rPr>
          <w:b w:val="0"/>
          <w:smallCaps/>
          <w:sz w:val="28"/>
          <w:szCs w:val="28"/>
        </w:rPr>
      </w:pPr>
    </w:p>
    <w:p w:rsidR="00116C3F" w:rsidRDefault="00116C3F" w:rsidP="00116C3F">
      <w:pPr>
        <w:jc w:val="center"/>
        <w:rPr>
          <w:b w:val="0"/>
          <w:smallCaps/>
          <w:sz w:val="28"/>
          <w:szCs w:val="28"/>
        </w:rPr>
      </w:pPr>
    </w:p>
    <w:p w:rsidR="00116C3F" w:rsidRDefault="00116C3F" w:rsidP="00116C3F">
      <w:pPr>
        <w:rPr>
          <w:sz w:val="22"/>
          <w:szCs w:val="22"/>
        </w:rPr>
      </w:pPr>
    </w:p>
    <w:p w:rsidR="00561591" w:rsidRDefault="00561591" w:rsidP="00561591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Otrzymują:</w:t>
      </w:r>
    </w:p>
    <w:p w:rsidR="00561591" w:rsidRDefault="00561591" w:rsidP="00561591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1. Wykonawcy – wszyscy.</w:t>
      </w:r>
    </w:p>
    <w:p w:rsidR="00561591" w:rsidRDefault="00561591" w:rsidP="00561591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2. Strona internetowa prowadzonego postępowania – platforma zakupowa.</w:t>
      </w:r>
    </w:p>
    <w:p w:rsidR="00561591" w:rsidRDefault="00561591" w:rsidP="00561591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3. Strona internetowa Zamawiającego.</w:t>
      </w:r>
    </w:p>
    <w:p w:rsidR="00561591" w:rsidRDefault="00561591" w:rsidP="00561591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4. a/a.</w:t>
      </w:r>
    </w:p>
    <w:p w:rsidR="00116C3F" w:rsidRPr="00F343AE" w:rsidRDefault="00116C3F" w:rsidP="00F343AE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sectPr w:rsidR="00116C3F" w:rsidRPr="00F343AE" w:rsidSect="00866359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4F" w:rsidRDefault="00A95F4F" w:rsidP="003D05DA">
      <w:pPr>
        <w:spacing w:line="240" w:lineRule="auto"/>
      </w:pPr>
      <w:r>
        <w:separator/>
      </w:r>
    </w:p>
  </w:endnote>
  <w:endnote w:type="continuationSeparator" w:id="0">
    <w:p w:rsidR="00A95F4F" w:rsidRDefault="00A95F4F" w:rsidP="003D0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4F" w:rsidRDefault="00A95F4F" w:rsidP="003D05DA">
      <w:pPr>
        <w:spacing w:line="240" w:lineRule="auto"/>
      </w:pPr>
      <w:r>
        <w:separator/>
      </w:r>
    </w:p>
  </w:footnote>
  <w:footnote w:type="continuationSeparator" w:id="0">
    <w:p w:rsidR="00A95F4F" w:rsidRDefault="00A95F4F" w:rsidP="003D0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DA" w:rsidRPr="003D05DA" w:rsidRDefault="003D05DA" w:rsidP="003D05DA">
    <w:pPr>
      <w:spacing w:line="240" w:lineRule="auto"/>
      <w:rPr>
        <w:rFonts w:eastAsia="Times New Roman" w:cs="Times New Roman"/>
        <w:sz w:val="22"/>
        <w:szCs w:val="22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5DA">
      <w:rPr>
        <w:rFonts w:eastAsia="Times New Roman" w:cs="Times New Roman"/>
        <w:sz w:val="22"/>
        <w:szCs w:val="22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3D05DA" w:rsidRPr="003D05DA" w:rsidRDefault="003D05DA" w:rsidP="003D05DA">
    <w:pPr>
      <w:spacing w:line="240" w:lineRule="auto"/>
      <w:rPr>
        <w:rFonts w:eastAsia="Times New Roman" w:cs="Times New Roman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5DA">
      <w:rPr>
        <w:rFonts w:eastAsia="Times New Roman" w:cs="Times New Roman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3D05DA" w:rsidRPr="003D05DA" w:rsidRDefault="003D05DA" w:rsidP="003D05DA">
    <w:pPr>
      <w:spacing w:line="240" w:lineRule="auto"/>
      <w:rPr>
        <w:rFonts w:eastAsia="Times New Roman" w:cs="Times New Roman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5DA">
      <w:rPr>
        <w:rFonts w:eastAsia="Times New Roman" w:cs="Times New Roman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3D05DA" w:rsidRPr="003D05DA" w:rsidRDefault="003D05DA" w:rsidP="003D05DA">
    <w:pPr>
      <w:spacing w:line="240" w:lineRule="auto"/>
      <w:rPr>
        <w:rFonts w:eastAsia="Times New Roman" w:cs="Times New Roman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5DA">
      <w:rPr>
        <w:rFonts w:eastAsia="Times New Roman" w:cs="Times New Roman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3D05DA" w:rsidRPr="00F343AE" w:rsidRDefault="003D05DA" w:rsidP="00F343AE">
    <w:pPr>
      <w:spacing w:line="240" w:lineRule="auto"/>
      <w:rPr>
        <w:rFonts w:eastAsia="Times New Roman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5DA">
      <w:rPr>
        <w:rFonts w:eastAsia="Times New Roman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438F2"/>
    <w:multiLevelType w:val="hybridMultilevel"/>
    <w:tmpl w:val="EA88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3"/>
    <w:rsid w:val="00012614"/>
    <w:rsid w:val="000A486D"/>
    <w:rsid w:val="00116C3F"/>
    <w:rsid w:val="00137C96"/>
    <w:rsid w:val="0017504F"/>
    <w:rsid w:val="001A61EA"/>
    <w:rsid w:val="002017E7"/>
    <w:rsid w:val="002B18F7"/>
    <w:rsid w:val="003A0355"/>
    <w:rsid w:val="003D05DA"/>
    <w:rsid w:val="00445C5C"/>
    <w:rsid w:val="00453212"/>
    <w:rsid w:val="004606B0"/>
    <w:rsid w:val="00561591"/>
    <w:rsid w:val="00611331"/>
    <w:rsid w:val="00712208"/>
    <w:rsid w:val="0074387F"/>
    <w:rsid w:val="00834D2B"/>
    <w:rsid w:val="00866359"/>
    <w:rsid w:val="0088572A"/>
    <w:rsid w:val="009A4A57"/>
    <w:rsid w:val="009D0F23"/>
    <w:rsid w:val="009D541E"/>
    <w:rsid w:val="00A95F4F"/>
    <w:rsid w:val="00AD0BC1"/>
    <w:rsid w:val="00AD5F5C"/>
    <w:rsid w:val="00AF55CB"/>
    <w:rsid w:val="00C222CA"/>
    <w:rsid w:val="00CD7FB7"/>
    <w:rsid w:val="00D3722B"/>
    <w:rsid w:val="00F31658"/>
    <w:rsid w:val="00F343AE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47CC-63B7-46F5-AA88-46E70B2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5DA"/>
    <w:pPr>
      <w:spacing w:after="0" w:line="252" w:lineRule="auto"/>
    </w:pPr>
    <w:rPr>
      <w:rFonts w:ascii="CG Omega" w:hAnsi="CG Omeg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5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5DA"/>
    <w:rPr>
      <w:rFonts w:ascii="CG Omega" w:hAnsi="CG Omega"/>
      <w:b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D05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5DA"/>
    <w:rPr>
      <w:rFonts w:ascii="CG Omega" w:hAnsi="CG Omega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41D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31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iazow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2021-05-12T07:25:00Z</dcterms:created>
  <dcterms:modified xsi:type="dcterms:W3CDTF">2021-05-28T10:29:00Z</dcterms:modified>
</cp:coreProperties>
</file>