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C4B4B" w:rsidRPr="000C4B4B" w:rsidRDefault="000C4B4B" w:rsidP="006C1B98">
      <w:pPr>
        <w:jc w:val="center"/>
        <w:rPr>
          <w:rFonts w:ascii="Arial" w:hAnsi="Arial" w:cs="Arial"/>
          <w:b/>
          <w:bCs/>
          <w:small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4B4B">
        <w:rPr>
          <w:rFonts w:ascii="Arial" w:hAnsi="Arial" w:cs="Arial"/>
          <w:b/>
          <w:bCs/>
          <w:small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 dnia 04.06.2024 r.</w:t>
      </w:r>
    </w:p>
    <w:p w:rsidR="00581CA9" w:rsidRPr="00462D14" w:rsidRDefault="006C1B98" w:rsidP="00C84DCE">
      <w:pPr>
        <w:pStyle w:val="Tekstpodstawowy"/>
        <w:ind w:hanging="567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>ZADANIE 1. Materiały eksploatacyjne i akcesoria do sprzętu medycznego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autoklawowanie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ssaków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krućców)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734BB4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0C4B4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 w:rsidR="00577937">
        <w:rPr>
          <w:rFonts w:ascii="Arial" w:hAnsi="Arial" w:cs="Arial"/>
          <w:iCs/>
          <w:spacing w:val="4"/>
        </w:rPr>
        <w:t>4</w:t>
      </w:r>
      <w:r w:rsidR="004C3820">
        <w:rPr>
          <w:rFonts w:ascii="Arial" w:hAnsi="Arial" w:cs="Arial"/>
          <w:iCs/>
          <w:spacing w:val="4"/>
        </w:rPr>
        <w:t xml:space="preserve"> dni roboczych – 1 pkt; </w:t>
      </w:r>
      <w:r w:rsidR="00577937">
        <w:rPr>
          <w:rFonts w:ascii="Arial" w:hAnsi="Arial" w:cs="Arial"/>
          <w:iCs/>
          <w:spacing w:val="4"/>
        </w:rPr>
        <w:t xml:space="preserve">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E70D34" w:rsidRDefault="00581CA9" w:rsidP="00E70D3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="008863FE" w:rsidRPr="00073537">
        <w:rPr>
          <w:rFonts w:ascii="Arial" w:hAnsi="Arial" w:cs="Arial"/>
        </w:rPr>
        <w:t xml:space="preserve">                                                                            </w:t>
      </w:r>
      <w:r w:rsidR="008863FE">
        <w:rPr>
          <w:rFonts w:ascii="Arial" w:hAnsi="Arial" w:cs="Arial"/>
        </w:rPr>
        <w:t xml:space="preserve">                         </w:t>
      </w:r>
      <w:r w:rsidR="008863FE" w:rsidRPr="00073537">
        <w:rPr>
          <w:rFonts w:ascii="Arial" w:hAnsi="Arial" w:cs="Arial"/>
        </w:rPr>
        <w:t xml:space="preserve">     </w:t>
      </w:r>
      <w:r w:rsidR="008863FE"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C84DCE" w:rsidRDefault="00C84DCE" w:rsidP="00C84DCE">
      <w:pPr>
        <w:pStyle w:val="Tekstpodstawowy"/>
        <w:ind w:left="-709" w:firstLine="142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left="-709" w:firstLine="142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4C3820">
        <w:rPr>
          <w:rFonts w:ascii="Calibri" w:hAnsi="Calibri" w:cs="Arial"/>
          <w:b/>
        </w:rPr>
        <w:t>2</w:t>
      </w:r>
      <w:r w:rsidRPr="00462D14">
        <w:rPr>
          <w:rFonts w:ascii="Calibri" w:hAnsi="Calibri" w:cs="Arial"/>
          <w:b/>
        </w:rPr>
        <w:t>. Materiały eksploatacyjne i akcesoria do sprzętu medycznego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podkłądkę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boczne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szt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Deska ortopedyczna pediatryczna typ Pedi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0C4B4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hanging="567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3</w:t>
      </w:r>
      <w:r w:rsidRPr="00462D14">
        <w:rPr>
          <w:rFonts w:ascii="Calibri" w:hAnsi="Calibri" w:cs="Arial"/>
          <w:b/>
        </w:rPr>
        <w:t>. Materiały eksploatacyjne i akcesoria do sprzętu medycznego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pediatrycznego; do pulsoksymetrów/kapnometrów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F7BD1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8D0E75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pulsoksymetrów/kapnometrów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>(obwód palca 10 mm – 19 mm); wyposażony w technologię PureLigh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PureSAT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7,5 mm – 12,5 mm); 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>; wyposażony w technologię PureLigh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PureSAT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0C4B4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BE1555" w:rsidP="00C84DCE">
      <w:pPr>
        <w:pStyle w:val="Tekstpodstawowy"/>
        <w:ind w:left="-56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4</w:t>
      </w:r>
      <w:r w:rsidR="00581CA9" w:rsidRPr="00462D14">
        <w:rPr>
          <w:rFonts w:ascii="Calibri" w:hAnsi="Calibri" w:cs="Arial"/>
          <w:b/>
        </w:rPr>
        <w:t>. Materiały eksploatacyjne i akcesoria do sprzętu medycznego SMITHS MEDICAL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Obwód oddechowy pacjent – respirator, jednorazowy; jednoramienny;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zastawkę PEEP; 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pacjent – respirator, jednorazowy; jednoramienny;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CPAP, jednorazowy; dwuramienny;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0C4B4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F6959" w:rsidRDefault="001F6959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1F6959" w:rsidRDefault="001F6959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1F6959" w:rsidRDefault="001F6959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1F6959" w:rsidRDefault="001F6959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1F6959" w:rsidRDefault="001F6959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581CA9" w:rsidRDefault="00581CA9" w:rsidP="00C84DCE">
      <w:pPr>
        <w:pStyle w:val="Tekstpodstawowy"/>
        <w:ind w:hanging="567"/>
        <w:rPr>
          <w:rFonts w:ascii="Calibri" w:hAnsi="Calibri" w:cs="Arial"/>
          <w:b/>
          <w:bCs/>
          <w:vertAlign w:val="superscript"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6D4AD1">
        <w:rPr>
          <w:rFonts w:ascii="Calibri" w:hAnsi="Calibri" w:cs="Arial"/>
          <w:b/>
        </w:rPr>
        <w:t>5</w:t>
      </w:r>
      <w:r w:rsidRPr="00462D14">
        <w:rPr>
          <w:rFonts w:ascii="Calibri" w:hAnsi="Calibri" w:cs="Arial"/>
          <w:b/>
        </w:rPr>
        <w:t>. Materiały eksploatacyjne i akcesoria do sprzętu medycznego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905"/>
        <w:gridCol w:w="1229"/>
        <w:gridCol w:w="672"/>
        <w:gridCol w:w="1965"/>
        <w:gridCol w:w="1163"/>
        <w:gridCol w:w="1619"/>
        <w:gridCol w:w="1006"/>
        <w:gridCol w:w="1619"/>
        <w:gridCol w:w="1619"/>
      </w:tblGrid>
      <w:tr w:rsidR="00581CA9" w:rsidRPr="00462D14" w:rsidTr="001F695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1F695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794BEA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34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FilterLine®,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</w:t>
            </w:r>
            <w:r w:rsidR="00581CA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1F6959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91AB6" w:rsidRDefault="00291AB6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numeru katalogowego/nazwy handlowej należy wpisać tę informację w formularzu w kol. </w:t>
      </w:r>
      <w:r w:rsidR="000C4B4B">
        <w:rPr>
          <w:rFonts w:ascii="Arial" w:hAnsi="Arial" w:cs="Arial"/>
        </w:rPr>
        <w:t>5</w:t>
      </w:r>
      <w:r w:rsidRPr="00446840">
        <w:rPr>
          <w:rFonts w:ascii="Arial" w:hAnsi="Arial" w:cs="Arial"/>
        </w:rPr>
        <w:t>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580DE4" w:rsidRDefault="00581CA9" w:rsidP="004C3820">
      <w:pPr>
        <w:suppressAutoHyphens w:val="0"/>
        <w:autoSpaceDN w:val="0"/>
        <w:adjustRightInd w:val="0"/>
        <w:ind w:hanging="567"/>
        <w:rPr>
          <w:rFonts w:ascii="Arial" w:hAnsi="Arial" w:cs="Arial"/>
        </w:rPr>
      </w:pPr>
    </w:p>
    <w:sectPr w:rsidR="00581CA9" w:rsidRPr="00580DE4" w:rsidSect="003A6D6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1F04" w:rsidRDefault="00D31F04">
      <w:r>
        <w:separator/>
      </w:r>
    </w:p>
  </w:endnote>
  <w:endnote w:type="continuationSeparator" w:id="0">
    <w:p w:rsidR="00D31F04" w:rsidRDefault="00D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1F04" w:rsidRDefault="00D31F04">
      <w:r>
        <w:separator/>
      </w:r>
    </w:p>
  </w:footnote>
  <w:footnote w:type="continuationSeparator" w:id="0">
    <w:p w:rsidR="00D31F04" w:rsidRDefault="00D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4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24851">
    <w:abstractNumId w:val="3"/>
  </w:num>
  <w:num w:numId="2" w16cid:durableId="162430921">
    <w:abstractNumId w:val="4"/>
  </w:num>
  <w:num w:numId="3" w16cid:durableId="1539204287">
    <w:abstractNumId w:val="5"/>
  </w:num>
  <w:num w:numId="4" w16cid:durableId="169493723">
    <w:abstractNumId w:val="8"/>
  </w:num>
  <w:num w:numId="5" w16cid:durableId="1669627085">
    <w:abstractNumId w:val="10"/>
  </w:num>
  <w:num w:numId="6" w16cid:durableId="1804612738">
    <w:abstractNumId w:val="11"/>
  </w:num>
  <w:num w:numId="7" w16cid:durableId="269239205">
    <w:abstractNumId w:val="19"/>
  </w:num>
  <w:num w:numId="8" w16cid:durableId="382292839">
    <w:abstractNumId w:val="22"/>
  </w:num>
  <w:num w:numId="9" w16cid:durableId="1662271731">
    <w:abstractNumId w:val="34"/>
  </w:num>
  <w:num w:numId="10" w16cid:durableId="20063209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34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8070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875096">
    <w:abstractNumId w:val="81"/>
  </w:num>
  <w:num w:numId="14" w16cid:durableId="318965315">
    <w:abstractNumId w:val="98"/>
  </w:num>
  <w:num w:numId="15" w16cid:durableId="755326249">
    <w:abstractNumId w:val="99"/>
  </w:num>
  <w:num w:numId="16" w16cid:durableId="2017341750">
    <w:abstractNumId w:val="73"/>
  </w:num>
  <w:num w:numId="17" w16cid:durableId="989362582">
    <w:abstractNumId w:val="96"/>
  </w:num>
  <w:num w:numId="18" w16cid:durableId="970525604">
    <w:abstractNumId w:val="77"/>
  </w:num>
  <w:num w:numId="19" w16cid:durableId="1110852936">
    <w:abstractNumId w:val="104"/>
  </w:num>
  <w:num w:numId="20" w16cid:durableId="1926717908">
    <w:abstractNumId w:val="89"/>
  </w:num>
  <w:num w:numId="21" w16cid:durableId="337469346">
    <w:abstractNumId w:val="70"/>
  </w:num>
  <w:num w:numId="22" w16cid:durableId="1396126483">
    <w:abstractNumId w:val="71"/>
  </w:num>
  <w:num w:numId="23" w16cid:durableId="1229656861">
    <w:abstractNumId w:val="87"/>
  </w:num>
  <w:num w:numId="24" w16cid:durableId="1048455667">
    <w:abstractNumId w:val="82"/>
  </w:num>
  <w:num w:numId="25" w16cid:durableId="104932878">
    <w:abstractNumId w:val="85"/>
  </w:num>
  <w:num w:numId="26" w16cid:durableId="27806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532689">
    <w:abstractNumId w:val="107"/>
  </w:num>
  <w:num w:numId="28" w16cid:durableId="1986548340">
    <w:abstractNumId w:val="91"/>
  </w:num>
  <w:num w:numId="29" w16cid:durableId="857816159">
    <w:abstractNumId w:val="97"/>
  </w:num>
  <w:num w:numId="30" w16cid:durableId="1599093716">
    <w:abstractNumId w:val="101"/>
  </w:num>
  <w:num w:numId="31" w16cid:durableId="280577048">
    <w:abstractNumId w:val="93"/>
  </w:num>
  <w:num w:numId="32" w16cid:durableId="1227839692">
    <w:abstractNumId w:val="72"/>
  </w:num>
  <w:num w:numId="33" w16cid:durableId="717558286">
    <w:abstractNumId w:val="92"/>
  </w:num>
  <w:num w:numId="34" w16cid:durableId="566574556">
    <w:abstractNumId w:val="79"/>
  </w:num>
  <w:num w:numId="35" w16cid:durableId="1693263711">
    <w:abstractNumId w:val="75"/>
  </w:num>
  <w:num w:numId="36" w16cid:durableId="752556851">
    <w:abstractNumId w:val="83"/>
  </w:num>
  <w:num w:numId="37" w16cid:durableId="699211099">
    <w:abstractNumId w:val="106"/>
  </w:num>
  <w:num w:numId="38" w16cid:durableId="1016926697">
    <w:abstractNumId w:val="108"/>
  </w:num>
  <w:num w:numId="39" w16cid:durableId="778376343">
    <w:abstractNumId w:val="76"/>
  </w:num>
  <w:num w:numId="40" w16cid:durableId="1222785502">
    <w:abstractNumId w:val="0"/>
  </w:num>
  <w:num w:numId="41" w16cid:durableId="1902446402">
    <w:abstractNumId w:val="21"/>
  </w:num>
  <w:num w:numId="42" w16cid:durableId="314141232">
    <w:abstractNumId w:val="25"/>
  </w:num>
  <w:num w:numId="43" w16cid:durableId="1482387561">
    <w:abstractNumId w:val="86"/>
  </w:num>
  <w:num w:numId="44" w16cid:durableId="1859810593">
    <w:abstractNumId w:val="90"/>
  </w:num>
  <w:num w:numId="45" w16cid:durableId="640499843">
    <w:abstractNumId w:val="78"/>
  </w:num>
  <w:num w:numId="46" w16cid:durableId="2076850757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0A5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3FA1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06D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4B4B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12C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591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051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959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3478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3349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AB6"/>
    <w:rsid w:val="00291DF1"/>
    <w:rsid w:val="00292178"/>
    <w:rsid w:val="0029247D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0F38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3946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1F6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6D63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918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AF9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16A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03F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15B1"/>
    <w:rsid w:val="004C2020"/>
    <w:rsid w:val="004C235D"/>
    <w:rsid w:val="004C26EB"/>
    <w:rsid w:val="004C3820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3AEE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004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937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494D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5A3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4AD1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DB8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4BB4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BEA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1E1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75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BD1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756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5FA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3D1E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633B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083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555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AD8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4DCE"/>
    <w:rsid w:val="00C856F1"/>
    <w:rsid w:val="00C85D0F"/>
    <w:rsid w:val="00C8624B"/>
    <w:rsid w:val="00C86353"/>
    <w:rsid w:val="00C8699E"/>
    <w:rsid w:val="00C90B8F"/>
    <w:rsid w:val="00C91293"/>
    <w:rsid w:val="00C912DF"/>
    <w:rsid w:val="00C92077"/>
    <w:rsid w:val="00C92AE8"/>
    <w:rsid w:val="00C93884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AB0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359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CF75A5"/>
    <w:rsid w:val="00D00717"/>
    <w:rsid w:val="00D0086E"/>
    <w:rsid w:val="00D02194"/>
    <w:rsid w:val="00D02337"/>
    <w:rsid w:val="00D0254F"/>
    <w:rsid w:val="00D03E9B"/>
    <w:rsid w:val="00D04604"/>
    <w:rsid w:val="00D04A9D"/>
    <w:rsid w:val="00D0508F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1F04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6CC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BD1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BD0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0DDE"/>
    <w:rsid w:val="00E6154D"/>
    <w:rsid w:val="00E63A8A"/>
    <w:rsid w:val="00E63E40"/>
    <w:rsid w:val="00E64517"/>
    <w:rsid w:val="00E7031D"/>
    <w:rsid w:val="00E7037B"/>
    <w:rsid w:val="00E70816"/>
    <w:rsid w:val="00E70D34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2A9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01C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080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9CB5C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78DB-06A8-4DBC-8A73-58C1CF2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</cp:revision>
  <cp:lastPrinted>2021-05-12T07:40:00Z</cp:lastPrinted>
  <dcterms:created xsi:type="dcterms:W3CDTF">2024-06-03T09:13:00Z</dcterms:created>
  <dcterms:modified xsi:type="dcterms:W3CDTF">2024-06-04T07:20:00Z</dcterms:modified>
</cp:coreProperties>
</file>