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58" w:rsidRPr="00F17A58" w:rsidRDefault="00F17A58" w:rsidP="00F17A58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17A58">
        <w:rPr>
          <w:rFonts w:ascii="Arial" w:eastAsia="MS Gothic" w:hAnsi="Arial" w:cs="Arial"/>
          <w:b/>
          <w:bCs/>
          <w:szCs w:val="22"/>
        </w:rPr>
        <w:t>załącznik nr 1.6 do Specyfikacji Warunków Zamówienia</w:t>
      </w:r>
    </w:p>
    <w:p w:rsidR="00F17A58" w:rsidRPr="00F17A58" w:rsidRDefault="00F17A58" w:rsidP="00F17A5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17A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F17A58" w:rsidRPr="00F17A58" w:rsidRDefault="00F17A58" w:rsidP="00F17A58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17A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17A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17A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F17A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F17A58" w:rsidRPr="00F17A58" w:rsidRDefault="00F17A58" w:rsidP="00F17A5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17A5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967" type="#_x0000_t75" style="width:240.75pt;height:57pt" o:ole="">
            <v:imagedata r:id="rId8" o:title=""/>
          </v:shape>
          <w:control r:id="rId9" w:name="unnamed06" w:shapeid="_x0000_i3967"/>
        </w:object>
      </w:r>
    </w:p>
    <w:p w:rsidR="00F17A58" w:rsidRPr="00F17A58" w:rsidRDefault="00F17A58" w:rsidP="00F17A5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17A5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17A5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17A58">
        <w:rPr>
          <w:rFonts w:ascii="Arial" w:eastAsia="Times New Roman" w:hAnsi="Arial" w:cs="Arial"/>
          <w:sz w:val="20"/>
          <w:szCs w:val="20"/>
        </w:rPr>
        <w:t>)</w:t>
      </w:r>
    </w:p>
    <w:p w:rsidR="00F17A58" w:rsidRPr="00F17A58" w:rsidRDefault="00F17A58" w:rsidP="00F17A58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F17A58">
        <w:rPr>
          <w:rFonts w:ascii="Arial" w:eastAsia="Times New Roman" w:hAnsi="Arial" w:cs="Arial"/>
          <w:sz w:val="20"/>
          <w:szCs w:val="20"/>
        </w:rPr>
        <w:t>Reprezentowany przez:</w:t>
      </w:r>
    </w:p>
    <w:p w:rsidR="00F17A58" w:rsidRPr="00F17A58" w:rsidRDefault="00F17A58" w:rsidP="00F17A58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17A58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3966" type="#_x0000_t75" style="width:240.75pt;height:19.5pt" o:ole="">
            <v:imagedata r:id="rId10" o:title=""/>
          </v:shape>
          <w:control r:id="rId11" w:name="unnamed15" w:shapeid="_x0000_i3966"/>
        </w:object>
      </w:r>
      <w:r w:rsidRPr="00F17A58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F17A58" w:rsidRPr="00F17A58" w:rsidRDefault="00F17A58" w:rsidP="00F17A58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17A58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F17A58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parkowa TYP 3</w:t>
      </w:r>
    </w:p>
    <w:p w:rsidR="00F17A58" w:rsidRPr="00F17A58" w:rsidRDefault="00F17A58" w:rsidP="00F17A5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17A58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F17A58">
        <w:rPr>
          <w:rFonts w:ascii="Arial" w:hAnsi="Arial" w:cs="Arial"/>
          <w:b/>
          <w:bCs/>
          <w:szCs w:val="22"/>
        </w:rPr>
        <w:t>Pzp</w:t>
      </w:r>
      <w:proofErr w:type="spellEnd"/>
      <w:r w:rsidRPr="00F17A58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F17A58">
        <w:rPr>
          <w:rFonts w:ascii="Arial" w:hAnsi="Arial" w:cs="Arial"/>
          <w:b/>
          <w:bCs/>
          <w:szCs w:val="22"/>
        </w:rPr>
        <w:t>Pzp</w:t>
      </w:r>
      <w:proofErr w:type="spellEnd"/>
      <w:r w:rsidRPr="00F17A58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F17A58">
        <w:rPr>
          <w:rFonts w:ascii="Arial" w:hAnsi="Arial" w:cs="Arial"/>
          <w:b/>
          <w:bCs/>
          <w:szCs w:val="22"/>
        </w:rPr>
        <w:t>Pzp</w:t>
      </w:r>
      <w:proofErr w:type="spellEnd"/>
      <w:r w:rsidRPr="00F17A58">
        <w:rPr>
          <w:rFonts w:ascii="Arial" w:hAnsi="Arial" w:cs="Arial"/>
          <w:b/>
          <w:bCs/>
          <w:szCs w:val="22"/>
        </w:rPr>
        <w:t>.</w:t>
      </w:r>
    </w:p>
    <w:p w:rsidR="00F17A58" w:rsidRPr="00F17A58" w:rsidRDefault="00F17A58" w:rsidP="00F17A5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17A58">
        <w:rPr>
          <w:rFonts w:ascii="Arial" w:hAnsi="Arial" w:cs="Arial"/>
          <w:b/>
          <w:bCs/>
          <w:szCs w:val="22"/>
        </w:rPr>
        <w:t>Przedmiot zamówienia: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Remont systemu oświetlenia drogowego na terenie Gminy Miejskiej Legionowo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17A58">
        <w:rPr>
          <w:rFonts w:ascii="Arial" w:hAnsi="Arial" w:cs="Arial"/>
          <w:b/>
          <w:bCs/>
          <w:szCs w:val="22"/>
        </w:rPr>
        <w:t>Zamawiający: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Gmina Miejska Legionowo – Urząd Miasta Legionowo</w:t>
      </w:r>
    </w:p>
    <w:p w:rsidR="00F17A58" w:rsidRPr="00F17A58" w:rsidRDefault="00F17A58" w:rsidP="00F17A58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Producent oprawy</w:t>
      </w:r>
      <w:r w:rsidRPr="00F17A58">
        <w:rPr>
          <w:rFonts w:ascii="Arial" w:hAnsi="Arial" w:cs="Arial"/>
        </w:rPr>
        <w:object w:dxaOrig="225" w:dyaOrig="225">
          <v:shape id="_x0000_i3965" type="#_x0000_t75" style="width:482.25pt;height:19.5pt" o:ole="">
            <v:imagedata r:id="rId12" o:title=""/>
          </v:shape>
          <w:control r:id="rId13" w:name="unnamed78" w:shapeid="_x0000_i3965"/>
        </w:objec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Nazwa oprawy (nazwa własna oprawy)</w:t>
      </w:r>
    </w:p>
    <w:p w:rsidR="00F17A58" w:rsidRPr="00F17A58" w:rsidRDefault="00F17A58" w:rsidP="00F17A58">
      <w:pPr>
        <w:overflowPunct/>
        <w:rPr>
          <w:rFonts w:ascii="Arial" w:hAnsi="Arial" w:cs="Arial"/>
        </w:rPr>
      </w:pPr>
      <w:r w:rsidRPr="00F17A58">
        <w:rPr>
          <w:rFonts w:ascii="Arial" w:hAnsi="Arial" w:cs="Arial"/>
          <w:b/>
          <w:bCs/>
        </w:rPr>
        <w:object w:dxaOrig="225" w:dyaOrig="225">
          <v:shape id="_x0000_i3964" type="#_x0000_t75" style="width:482.25pt;height:19.5pt" o:ole="">
            <v:imagedata r:id="rId14" o:title=""/>
          </v:shape>
          <w:control r:id="rId15" w:name="unnamed79" w:shapeid="_x0000_i3964"/>
        </w:object>
      </w:r>
    </w:p>
    <w:p w:rsidR="00F17A58" w:rsidRPr="00F17A58" w:rsidRDefault="00F17A58" w:rsidP="00F17A58">
      <w:pPr>
        <w:overflowPunct/>
        <w:spacing w:before="283" w:after="0" w:line="276" w:lineRule="auto"/>
        <w:rPr>
          <w:rFonts w:ascii="Arial" w:hAnsi="Arial" w:cs="Arial"/>
        </w:rPr>
      </w:pPr>
      <w:r w:rsidRPr="00F17A58">
        <w:rPr>
          <w:rFonts w:ascii="Arial" w:hAnsi="Arial" w:cs="Arial"/>
        </w:rPr>
        <w:t>Rysunek poglądowy: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noProof/>
          <w:szCs w:val="22"/>
          <w:lang w:eastAsia="pl-PL" w:bidi="ar-SA"/>
        </w:rPr>
        <w:drawing>
          <wp:inline distT="0" distB="0" distL="0" distR="0" wp14:anchorId="3BB2FB30" wp14:editId="5C5B30FC">
            <wp:extent cx="1415415" cy="1440180"/>
            <wp:effectExtent l="0" t="0" r="0" b="0"/>
            <wp:docPr id="4" name="Obraz 10" descr="schemat i cechy wzornicze oprawy typu trzec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" descr="schemat i cechy wzornicze oprawy typu trzecie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58">
        <w:rPr>
          <w:rFonts w:ascii="Arial" w:hAnsi="Arial" w:cs="Arial"/>
          <w:szCs w:val="22"/>
        </w:rPr>
        <w:t xml:space="preserve"> Wymiary </w:t>
      </w:r>
      <w:proofErr w:type="spellStart"/>
      <w:r w:rsidRPr="00F17A58">
        <w:rPr>
          <w:rFonts w:ascii="Arial" w:hAnsi="Arial" w:cs="Arial"/>
          <w:szCs w:val="22"/>
        </w:rPr>
        <w:t>AxBxC</w:t>
      </w:r>
      <w:proofErr w:type="spellEnd"/>
      <w:r w:rsidRPr="00F17A58">
        <w:rPr>
          <w:rFonts w:ascii="Arial" w:hAnsi="Arial" w:cs="Arial"/>
          <w:szCs w:val="22"/>
        </w:rPr>
        <w:t xml:space="preserve"> (mm): 650x650x650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283" w:after="0" w:line="276" w:lineRule="auto"/>
        <w:ind w:hanging="363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 xml:space="preserve">Materiał </w:t>
      </w:r>
      <w:proofErr w:type="spellStart"/>
      <w:r w:rsidRPr="00F17A58">
        <w:rPr>
          <w:rFonts w:ascii="Arial" w:hAnsi="Arial" w:cs="Arial"/>
          <w:szCs w:val="22"/>
        </w:rPr>
        <w:t>korpusu,pokrywy</w:t>
      </w:r>
      <w:proofErr w:type="spellEnd"/>
      <w:r w:rsidRPr="00F17A58">
        <w:rPr>
          <w:rFonts w:ascii="Arial" w:hAnsi="Arial" w:cs="Arial"/>
          <w:szCs w:val="22"/>
        </w:rPr>
        <w:t xml:space="preserve"> – aluminium malowane proszkowo na kolor wskazany przez zamawiającego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63" type="#_x0000_t75" style="width:8.25pt;height:24pt" o:ole="">
            <v:imagedata r:id="rId17" o:title=""/>
          </v:shape>
          <w:control r:id="rId18" w:name="Spełnia74" w:shapeid="_x0000_i3963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62" type="#_x0000_t75" style="width:8.25pt;height:24pt" o:ole="">
            <v:imagedata r:id="rId19" o:title=""/>
          </v:shape>
          <w:control r:id="rId20" w:name="Nie spełnia74" w:shapeid="_x0000_i3962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Materiał klosza zewnętrznego – szkło hartowane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61" type="#_x0000_t75" style="width:8.25pt;height:24pt" o:ole="">
            <v:imagedata r:id="rId21" o:title=""/>
          </v:shape>
          <w:control r:id="rId22" w:name="Spełnia75" w:shapeid="_x0000_i3961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60" type="#_x0000_t75" style="width:8.25pt;height:24pt" o:ole="">
            <v:imagedata r:id="rId23" o:title=""/>
          </v:shape>
          <w:control r:id="rId24" w:name="Nie spełnia75" w:shapeid="_x0000_i3960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Montaż na słupie o średnicy Ø60mm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9" type="#_x0000_t75" style="width:8.25pt;height:24pt" o:ole="">
            <v:imagedata r:id="rId25" o:title=""/>
          </v:shape>
          <w:control r:id="rId26" w:name="Spełnia76" w:shapeid="_x0000_i3959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8" type="#_x0000_t75" style="width:8.25pt;height:24pt" o:ole="">
            <v:imagedata r:id="rId27" o:title=""/>
          </v:shape>
          <w:control r:id="rId28" w:name="Nie spełnia76" w:shapeid="_x0000_i3958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Stopień odporności klosza na uderzenia mechaniczne – IK08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7" type="#_x0000_t75" style="width:8.25pt;height:24pt" o:ole="">
            <v:imagedata r:id="rId29" o:title=""/>
          </v:shape>
          <w:control r:id="rId30" w:name="Spełnia77" w:shapeid="_x0000_i3957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6" type="#_x0000_t75" style="width:8.25pt;height:24pt" o:ole="">
            <v:imagedata r:id="rId31" o:title=""/>
          </v:shape>
          <w:control r:id="rId32" w:name="Nie spełnia77" w:shapeid="_x0000_i3956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Szczelność komory optycznej – IP66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5" type="#_x0000_t75" style="width:8.25pt;height:24pt" o:ole="">
            <v:imagedata r:id="rId33" o:title=""/>
          </v:shape>
          <w:control r:id="rId34" w:name="Spełnia78" w:shapeid="_x0000_i3955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4" type="#_x0000_t75" style="width:8.25pt;height:24pt" o:ole="">
            <v:imagedata r:id="rId35" o:title=""/>
          </v:shape>
          <w:control r:id="rId36" w:name="Nie spełnia78" w:shapeid="_x0000_i3954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Wygląd, styl i wielkość oprawy zgodny z cechami wzorniczymi pokazanymi na rysunku. Dopuszczalna tolerancja wymiarów ± 20% pod warunkiem zachowania proporcji oraz kształtu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3" type="#_x0000_t75" style="width:8.25pt;height:24pt" o:ole="">
            <v:imagedata r:id="rId37" o:title=""/>
          </v:shape>
          <w:control r:id="rId38" w:name="Spełnia79" w:shapeid="_x0000_i3953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2" type="#_x0000_t75" style="width:8.25pt;height:24pt" o:ole="">
            <v:imagedata r:id="rId39" o:title=""/>
          </v:shape>
          <w:control r:id="rId40" w:name="Nie spełnia79" w:shapeid="_x0000_i3952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 xml:space="preserve">Znamionowe napięcie zasilania 220-240 V / 50-60 </w:t>
      </w:r>
      <w:proofErr w:type="spellStart"/>
      <w:r w:rsidRPr="00F17A58">
        <w:rPr>
          <w:rFonts w:ascii="Arial" w:hAnsi="Arial" w:cs="Arial"/>
          <w:szCs w:val="22"/>
        </w:rPr>
        <w:t>Hz</w:t>
      </w:r>
      <w:proofErr w:type="spellEnd"/>
      <w:r w:rsidRPr="00F17A58">
        <w:rPr>
          <w:rFonts w:ascii="Arial" w:hAnsi="Arial" w:cs="Arial"/>
          <w:szCs w:val="22"/>
        </w:rPr>
        <w:t>, współczynnik mocy (PF) oprawy min. 0,93 dla znamionowego obciążenia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1" type="#_x0000_t75" style="width:8.25pt;height:24pt" o:ole="">
            <v:imagedata r:id="rId41" o:title=""/>
          </v:shape>
          <w:control r:id="rId42" w:name="Spełnia80" w:shapeid="_x0000_i3951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50" type="#_x0000_t75" style="width:8.25pt;height:24pt" o:ole="">
            <v:imagedata r:id="rId43" o:title=""/>
          </v:shape>
          <w:control r:id="rId44" w:name="Nie spełnia80" w:shapeid="_x0000_i3950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9" type="#_x0000_t75" style="width:8.25pt;height:24pt" o:ole="">
            <v:imagedata r:id="rId45" o:title=""/>
          </v:shape>
          <w:control r:id="rId46" w:name="Spełnia81" w:shapeid="_x0000_i3949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8" type="#_x0000_t75" style="width:8.25pt;height:24pt" o:ole="">
            <v:imagedata r:id="rId47" o:title=""/>
          </v:shape>
          <w:control r:id="rId48" w:name="Nie spełnia81" w:shapeid="_x0000_i3948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Oprawa posiada przed układem zasilającym zabezpieczenie przeciwprzepięciowe min. 10kV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7" type="#_x0000_t75" style="width:8.25pt;height:24pt" o:ole="">
            <v:imagedata r:id="rId33" o:title=""/>
          </v:shape>
          <w:control r:id="rId49" w:name="Spełnia82" w:shapeid="_x0000_i3947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6" type="#_x0000_t75" style="width:8.25pt;height:24pt" o:ole="">
            <v:imagedata r:id="rId50" o:title=""/>
          </v:shape>
          <w:control r:id="rId51" w:name="Nie spełnia82" w:shapeid="_x0000_i3946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 xml:space="preserve">Oprawa wykonana w I lub II klasie ochronności elektrycznej 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5" type="#_x0000_t75" style="width:8.25pt;height:24pt" o:ole="">
            <v:imagedata r:id="rId52" o:title=""/>
          </v:shape>
          <w:control r:id="rId53" w:name="Spełnia83" w:shapeid="_x0000_i3945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4" type="#_x0000_t75" style="width:8.25pt;height:24pt" o:ole="">
            <v:imagedata r:id="rId54" o:title=""/>
          </v:shape>
          <w:control r:id="rId55" w:name="Nie spełnia83" w:shapeid="_x0000_i3944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Rodzaj źródła światła – LED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3" type="#_x0000_t75" style="width:8.25pt;height:24pt" o:ole="">
            <v:imagedata r:id="rId56" o:title=""/>
          </v:shape>
          <w:control r:id="rId57" w:name="Spełnia84" w:shapeid="_x0000_i3943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2" type="#_x0000_t75" style="width:8.25pt;height:24pt" o:ole="">
            <v:imagedata r:id="rId58" o:title=""/>
          </v:shape>
          <w:control r:id="rId59" w:name="Nie spełnia84" w:shapeid="_x0000_i3942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Zakres temperatury barwowej źródeł światła: 3000K ±10%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1" type="#_x0000_t75" style="width:8.25pt;height:24pt" o:ole="">
            <v:imagedata r:id="rId60" o:title=""/>
          </v:shape>
          <w:control r:id="rId61" w:name="Spełnia85" w:shapeid="_x0000_i3941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40" type="#_x0000_t75" style="width:8.25pt;height:24pt" o:ole="">
            <v:imagedata r:id="rId62" o:title=""/>
          </v:shape>
          <w:control r:id="rId63" w:name="Nie spełnia85" w:shapeid="_x0000_i3940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Bryła fotometryczna kształtowana za pomocą płaskiej wielosoczewkowej matrycy LED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9" type="#_x0000_t75" style="width:8.25pt;height:24pt" o:ole="">
            <v:imagedata r:id="rId64" o:title=""/>
          </v:shape>
          <w:control r:id="rId65" w:name="Spełnia86" w:shapeid="_x0000_i3939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8" type="#_x0000_t75" style="width:8.25pt;height:24pt" o:ole="">
            <v:imagedata r:id="rId66" o:title=""/>
          </v:shape>
          <w:control r:id="rId67" w:name="Nie spełnia86" w:shapeid="_x0000_i3938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Każda z soczewek matrycy emituje taką samą krzywą światłości, a całkowity strumień oprawy jest sumą strumieni poszczególnych soczewek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7" type="#_x0000_t75" style="width:8.25pt;height:24pt" o:ole="">
            <v:imagedata r:id="rId68" o:title=""/>
          </v:shape>
          <w:control r:id="rId69" w:name="Spełnia87" w:shapeid="_x0000_i3937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6" type="#_x0000_t75" style="width:8.25pt;height:24pt" o:ole="">
            <v:imagedata r:id="rId70" o:title=""/>
          </v:shape>
          <w:control r:id="rId71" w:name="Nie spełnia87" w:shapeid="_x0000_i3936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 xml:space="preserve">Trwałość strumienia światła oprawy mierzona parametrem L90B10 min 100 000h potwierdzona sprawozdaniem z badania źródeł światła LED LM-80-08 zastosowanych w oprawie dla temp. </w:t>
      </w:r>
      <w:proofErr w:type="spellStart"/>
      <w:r w:rsidRPr="00F17A58">
        <w:rPr>
          <w:rFonts w:ascii="Arial" w:hAnsi="Arial" w:cs="Arial"/>
          <w:szCs w:val="22"/>
        </w:rPr>
        <w:t>Ts</w:t>
      </w:r>
      <w:proofErr w:type="spellEnd"/>
      <w:r w:rsidRPr="00F17A58">
        <w:rPr>
          <w:rFonts w:ascii="Arial" w:hAnsi="Arial" w:cs="Arial"/>
          <w:szCs w:val="22"/>
        </w:rPr>
        <w:t xml:space="preserve"> (Tc) = 55°C, 85°C oraz min 105°C wraz z prognozą zgodną ze wzorem Memorandum Technicznym TM 21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5" type="#_x0000_t75" style="width:8.25pt;height:24pt" o:ole="">
            <v:imagedata r:id="rId72" o:title=""/>
          </v:shape>
          <w:control r:id="rId73" w:name="Spełnia88" w:shapeid="_x0000_i3935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4" type="#_x0000_t75" style="width:8.25pt;height:24pt" o:ole="">
            <v:imagedata r:id="rId74" o:title=""/>
          </v:shape>
          <w:control r:id="rId75" w:name="Nie spełnia88" w:shapeid="_x0000_i3934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Wartości wskaźnika udziału światła wysyłanego ku górze (ULOR) nie większa niż określona w Rozporządzeniu WE nr 245/2009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3" type="#_x0000_t75" style="width:8.25pt;height:24pt" o:ole="">
            <v:imagedata r:id="rId76" o:title=""/>
          </v:shape>
          <w:control r:id="rId77" w:name="Spełnia89" w:shapeid="_x0000_i3933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2" type="#_x0000_t75" style="width:8.25pt;height:24pt" o:ole="">
            <v:imagedata r:id="rId78" o:title=""/>
          </v:shape>
          <w:control r:id="rId79" w:name="Nie spełnia89" w:shapeid="_x0000_i3932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Oprawy muszą spełniać wymagania normy EN 62471 „Bezpieczeństwo fotobiologiczne lamp i systemów lampowych”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1" type="#_x0000_t75" style="width:8.25pt;height:24pt" o:ole="">
            <v:imagedata r:id="rId80" o:title=""/>
          </v:shape>
          <w:control r:id="rId81" w:name="Spełnia90" w:shapeid="_x0000_i3931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30" type="#_x0000_t75" style="width:8.25pt;height:24pt" o:ole="">
            <v:imagedata r:id="rId82" o:title=""/>
          </v:shape>
          <w:control r:id="rId83" w:name="Nie spełnia90" w:shapeid="_x0000_i3930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Dostępność plików fotometrycznych (np. format .</w:t>
      </w:r>
      <w:proofErr w:type="spellStart"/>
      <w:r w:rsidRPr="00F17A58">
        <w:rPr>
          <w:rFonts w:ascii="Arial" w:hAnsi="Arial" w:cs="Arial"/>
          <w:szCs w:val="22"/>
        </w:rPr>
        <w:t>Ldt</w:t>
      </w:r>
      <w:proofErr w:type="spellEnd"/>
      <w:r w:rsidRPr="00F17A58">
        <w:rPr>
          <w:rFonts w:ascii="Arial" w:hAnsi="Arial" w:cs="Arial"/>
          <w:szCs w:val="22"/>
        </w:rPr>
        <w:t>, .</w:t>
      </w:r>
      <w:proofErr w:type="spellStart"/>
      <w:r w:rsidRPr="00F17A58">
        <w:rPr>
          <w:rFonts w:ascii="Arial" w:hAnsi="Arial" w:cs="Arial"/>
          <w:szCs w:val="22"/>
        </w:rPr>
        <w:t>les</w:t>
      </w:r>
      <w:proofErr w:type="spellEnd"/>
      <w:r w:rsidRPr="00F17A58">
        <w:rPr>
          <w:rFonts w:ascii="Arial" w:hAnsi="Arial" w:cs="Arial"/>
          <w:szCs w:val="22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F17A58">
        <w:rPr>
          <w:rFonts w:ascii="Arial" w:hAnsi="Arial" w:cs="Arial"/>
          <w:szCs w:val="22"/>
        </w:rPr>
        <w:t>Dialux</w:t>
      </w:r>
      <w:proofErr w:type="spellEnd"/>
      <w:r w:rsidRPr="00F17A58">
        <w:rPr>
          <w:rFonts w:ascii="Arial" w:hAnsi="Arial" w:cs="Arial"/>
          <w:szCs w:val="22"/>
        </w:rPr>
        <w:t xml:space="preserve">, </w:t>
      </w:r>
      <w:proofErr w:type="spellStart"/>
      <w:r w:rsidRPr="00F17A58">
        <w:rPr>
          <w:rFonts w:ascii="Arial" w:hAnsi="Arial" w:cs="Arial"/>
          <w:szCs w:val="22"/>
        </w:rPr>
        <w:t>Relux</w:t>
      </w:r>
      <w:proofErr w:type="spellEnd"/>
      <w:r w:rsidRPr="00F17A58">
        <w:rPr>
          <w:rFonts w:ascii="Arial" w:hAnsi="Arial" w:cs="Arial"/>
          <w:szCs w:val="22"/>
        </w:rPr>
        <w:t>)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9" type="#_x0000_t75" style="width:8.25pt;height:24pt" o:ole="">
            <v:imagedata r:id="rId84" o:title=""/>
          </v:shape>
          <w:control r:id="rId85" w:name="Spełnia91" w:shapeid="_x0000_i3929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8" type="#_x0000_t75" style="width:8.25pt;height:24pt" o:ole="">
            <v:imagedata r:id="rId47" o:title=""/>
          </v:shape>
          <w:control r:id="rId86" w:name="Nie spełnia91" w:shapeid="_x0000_i3928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Oprawa musi być oznakowana znakiem CE oraz  posiadać deklarację zgodności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7" type="#_x0000_t75" style="width:8.25pt;height:24pt" o:ole="">
            <v:imagedata r:id="rId74" o:title=""/>
          </v:shape>
          <w:control r:id="rId87" w:name="Spełnia92" w:shapeid="_x0000_i3927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6" type="#_x0000_t75" style="width:8.25pt;height:24pt" o:ole="">
            <v:imagedata r:id="rId88" o:title=""/>
          </v:shape>
          <w:control r:id="rId89" w:name="Nie spełnia92" w:shapeid="_x0000_i3926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5" type="#_x0000_t75" style="width:8.25pt;height:24pt" o:ole="">
            <v:imagedata r:id="rId90" o:title=""/>
          </v:shape>
          <w:control r:id="rId91" w:name="Spełnia93" w:shapeid="_x0000_i3925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4" type="#_x0000_t75" style="width:8.25pt;height:24pt" o:ole="">
            <v:imagedata r:id="rId92" o:title=""/>
          </v:shape>
          <w:control r:id="rId93" w:name="Nie spełnia93" w:shapeid="_x0000_i3924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Oprawa wyposażona w etykietę z kodem QR wraz z dodatkową naklejką do umieszczenia np. we wnęce słupowej i/lub na projekcie. Kod QR poprzez użycie dedykowanej aplikacji producenta umożliwia uzyskanie pełnej charakterystyki oprawy i dostęp do informacji takich jak: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parametry fotometryczne, elektryczne oraz mechaniczne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dokumentacja oprawy, instrukcja montażu</w:t>
      </w:r>
      <w:bookmarkStart w:id="0" w:name="_GoBack"/>
      <w:bookmarkEnd w:id="0"/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instrukcja serwisowania w przypadku nieprawidłowego działania oprawy oświetleniowej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lista części zamiennych wraz z kodami producenta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Dedykowana aplikacja po zarejestrowaniu projektu pozwala na: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wyeksportowanie danych lokalizacyjnych opraw do ogólnodostępnych map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wprowadzenie indywidualnych opisów danej instalacji np. typ słupa czy jego wysokość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bezpośrednie raportowanie czynności konserwacyjnych</w:t>
      </w:r>
    </w:p>
    <w:p w:rsidR="00F17A58" w:rsidRPr="00F17A58" w:rsidRDefault="00F17A58" w:rsidP="00F17A58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F17A58">
        <w:rPr>
          <w:rFonts w:ascii="Arial" w:hAnsi="Arial" w:cs="Arial"/>
          <w:szCs w:val="22"/>
        </w:rPr>
        <w:t>- eksport danych o instalacji do pliku .</w:t>
      </w:r>
      <w:proofErr w:type="spellStart"/>
      <w:r w:rsidRPr="00F17A58">
        <w:rPr>
          <w:rFonts w:ascii="Arial" w:hAnsi="Arial" w:cs="Arial"/>
          <w:szCs w:val="22"/>
        </w:rPr>
        <w:t>csv</w:t>
      </w:r>
      <w:proofErr w:type="spellEnd"/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</w:rPr>
        <w:object w:dxaOrig="225" w:dyaOrig="225">
          <v:shape id="_x0000_i3923" type="#_x0000_t75" style="width:8.25pt;height:24pt" o:ole="">
            <v:imagedata r:id="rId94" o:title=""/>
          </v:shape>
          <w:control r:id="rId95" w:name="Spełnia94" w:shapeid="_x0000_i3923"/>
        </w:object>
      </w:r>
      <w:r w:rsidRPr="00F17A58">
        <w:rPr>
          <w:rFonts w:ascii="Arial" w:hAnsi="Arial" w:cs="Arial"/>
          <w:szCs w:val="22"/>
        </w:rPr>
        <w:t xml:space="preserve"> Spełnia</w:t>
      </w:r>
    </w:p>
    <w:p w:rsidR="00F17A58" w:rsidRPr="00F17A58" w:rsidRDefault="00F17A58" w:rsidP="00F17A58">
      <w:pPr>
        <w:overflowPunct/>
        <w:spacing w:before="0" w:after="0" w:line="276" w:lineRule="auto"/>
        <w:rPr>
          <w:rFonts w:ascii="Arial" w:hAnsi="Arial" w:cs="Arial"/>
        </w:rPr>
      </w:pPr>
      <w:r w:rsidRPr="00F17A58">
        <w:rPr>
          <w:rFonts w:ascii="Arial" w:hAnsi="Arial" w:cs="Arial"/>
        </w:rPr>
        <w:object w:dxaOrig="225" w:dyaOrig="225">
          <v:shape id="_x0000_i3922" type="#_x0000_t75" style="width:8.25pt;height:24pt" o:ole="">
            <v:imagedata r:id="rId96" o:title=""/>
          </v:shape>
          <w:control r:id="rId97" w:name="Nie spełnia94" w:shapeid="_x0000_i3922"/>
        </w:object>
      </w:r>
      <w:r w:rsidRPr="00F17A58">
        <w:rPr>
          <w:rFonts w:ascii="Arial" w:hAnsi="Arial" w:cs="Arial"/>
          <w:szCs w:val="22"/>
        </w:rPr>
        <w:t xml:space="preserve"> Nie spełnia</w:t>
      </w:r>
    </w:p>
    <w:p w:rsidR="00F17A58" w:rsidRPr="00F17A58" w:rsidRDefault="00F17A58" w:rsidP="00F17A58">
      <w:pPr>
        <w:overflowPunct/>
        <w:spacing w:before="240" w:after="0" w:line="276" w:lineRule="auto"/>
        <w:rPr>
          <w:rFonts w:ascii="Arial" w:hAnsi="Arial" w:cs="Arial"/>
        </w:rPr>
      </w:pPr>
      <w:r w:rsidRPr="00F17A58">
        <w:rPr>
          <w:rFonts w:ascii="Arial" w:hAnsi="Arial" w:cs="Arial"/>
          <w:b/>
          <w:bCs/>
          <w:szCs w:val="22"/>
        </w:rPr>
        <w:t>Uwaga</w:t>
      </w:r>
    </w:p>
    <w:p w:rsidR="002E5271" w:rsidRPr="00F17A58" w:rsidRDefault="00F17A58" w:rsidP="00F17A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7A58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2E5271" w:rsidRPr="00F17A58">
      <w:footerReference w:type="default" r:id="rId9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17A5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/>
    <w:lvlOverride w:ilvl="1"/>
    <w:lvlOverride w:ilvl="2">
      <w:startOverride w:val="1"/>
    </w:lvlOverride>
  </w:num>
  <w:num w:numId="11">
    <w:abstractNumId w:val="10"/>
    <w:lvlOverride w:ilvl="0"/>
    <w:lvlOverride w:ilvl="1">
      <w:startOverride w:val="1"/>
    </w:lvlOverride>
  </w:num>
  <w:num w:numId="12">
    <w:abstractNumId w:val="13"/>
  </w:num>
  <w:num w:numId="13">
    <w:abstractNumId w:val="16"/>
  </w:num>
  <w:num w:numId="14">
    <w:abstractNumId w:val="15"/>
  </w:num>
  <w:num w:numId="15">
    <w:abstractNumId w:val="15"/>
    <w:lvlOverride w:ilvl="0"/>
    <w:lvlOverride w:ilvl="1"/>
    <w:lvlOverride w:ilvl="2">
      <w:startOverride w:val="1"/>
    </w:lvlOverride>
  </w:num>
  <w:num w:numId="16">
    <w:abstractNumId w:val="16"/>
    <w:lvlOverride w:ilvl="0"/>
    <w:lvlOverride w:ilvl="1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F0A64"/>
    <w:rsid w:val="004410A0"/>
    <w:rsid w:val="006750AB"/>
    <w:rsid w:val="00694DD7"/>
    <w:rsid w:val="006B6003"/>
    <w:rsid w:val="006C6AFD"/>
    <w:rsid w:val="00891D8F"/>
    <w:rsid w:val="009F6759"/>
    <w:rsid w:val="00A63934"/>
    <w:rsid w:val="00AE2C2D"/>
    <w:rsid w:val="00B1746E"/>
    <w:rsid w:val="00C05D24"/>
    <w:rsid w:val="00C6771F"/>
    <w:rsid w:val="00D340F8"/>
    <w:rsid w:val="00D40C58"/>
    <w:rsid w:val="00DC26DB"/>
    <w:rsid w:val="00E47CBC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2.xml"/><Relationship Id="rId16" Type="http://schemas.openxmlformats.org/officeDocument/2006/relationships/image" Target="media/image5.png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91" Type="http://schemas.openxmlformats.org/officeDocument/2006/relationships/control" Target="activeX/activeX43.xml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image" Target="media/image43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A868-EA34-49FC-A728-D16D2810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2023-03-16T12:20:00Z</dcterms:created>
  <dcterms:modified xsi:type="dcterms:W3CDTF">2023-03-16T12:20:00Z</dcterms:modified>
  <dc:language>pl-PL</dc:language>
</cp:coreProperties>
</file>