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FE" w:rsidRDefault="00AC447B" w:rsidP="00AC447B">
      <w:pPr>
        <w:jc w:val="center"/>
      </w:pPr>
      <w:r>
        <w:t>UMOWA NR … /2024</w:t>
      </w:r>
    </w:p>
    <w:p w:rsidR="00AC447B" w:rsidRDefault="00AC447B" w:rsidP="00AC447B">
      <w:r>
        <w:t>Zawarta w dniu … w Toruniu pomiędzy:</w:t>
      </w:r>
    </w:p>
    <w:p w:rsidR="005C642A" w:rsidRPr="00836F3C" w:rsidRDefault="005C642A" w:rsidP="005C642A">
      <w:pPr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  <w:b/>
        </w:rPr>
        <w:t>Wojewódzką Biblioteką Publiczną – Książnica Kopernikańska w Toruniu</w:t>
      </w:r>
      <w:r w:rsidRPr="00836F3C">
        <w:rPr>
          <w:rFonts w:ascii="Calibri" w:hAnsi="Calibri" w:cs="Calibri"/>
        </w:rPr>
        <w:t>, ul. Juliusza Słowackiego 8, 87-100 Toruń, wpisaną do Rejestru Instytucji Kultury Województwa Kujawsko-Pomorskiego  pod numerem: EK-II-4011/09/99, NIP: 879-017-72-79, REGON: 871502106,</w:t>
      </w:r>
    </w:p>
    <w:p w:rsidR="005C642A" w:rsidRPr="00836F3C" w:rsidRDefault="005C642A" w:rsidP="005C642A">
      <w:pPr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</w:rPr>
        <w:t>reprezentowaną przez:</w:t>
      </w:r>
    </w:p>
    <w:p w:rsidR="005C642A" w:rsidRPr="00836F3C" w:rsidRDefault="005C642A" w:rsidP="005C642A">
      <w:pPr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</w:rPr>
        <w:t xml:space="preserve">- </w:t>
      </w:r>
      <w:proofErr w:type="spellStart"/>
      <w:r w:rsidRPr="00836F3C">
        <w:rPr>
          <w:rFonts w:ascii="Calibri" w:hAnsi="Calibri" w:cs="Calibri"/>
        </w:rPr>
        <w:t>Danettę</w:t>
      </w:r>
      <w:proofErr w:type="spellEnd"/>
      <w:r w:rsidRPr="00836F3C">
        <w:rPr>
          <w:rFonts w:ascii="Calibri" w:hAnsi="Calibri" w:cs="Calibri"/>
        </w:rPr>
        <w:t xml:space="preserve"> Ryszkowską- Mirowską – Dyrektora,</w:t>
      </w:r>
    </w:p>
    <w:p w:rsidR="005C642A" w:rsidRPr="00836F3C" w:rsidRDefault="005C642A" w:rsidP="005C642A">
      <w:pPr>
        <w:numPr>
          <w:ilvl w:val="12"/>
          <w:numId w:val="0"/>
        </w:numPr>
        <w:tabs>
          <w:tab w:val="left" w:pos="426"/>
        </w:tabs>
        <w:ind w:hanging="426"/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</w:rPr>
        <w:tab/>
        <w:t>zwaną dalej „</w:t>
      </w:r>
      <w:r w:rsidRPr="00836F3C">
        <w:rPr>
          <w:rFonts w:ascii="Calibri" w:hAnsi="Calibri" w:cs="Calibri"/>
          <w:b/>
        </w:rPr>
        <w:t>Zamawiającym</w:t>
      </w:r>
      <w:r w:rsidRPr="00836F3C">
        <w:rPr>
          <w:rFonts w:ascii="Calibri" w:hAnsi="Calibri" w:cs="Calibri"/>
        </w:rPr>
        <w:t>”,</w:t>
      </w:r>
    </w:p>
    <w:p w:rsidR="005C642A" w:rsidRPr="00836F3C" w:rsidRDefault="005C642A" w:rsidP="005C642A">
      <w:pPr>
        <w:numPr>
          <w:ilvl w:val="12"/>
          <w:numId w:val="0"/>
        </w:numPr>
        <w:tabs>
          <w:tab w:val="left" w:pos="426"/>
        </w:tabs>
        <w:ind w:hanging="426"/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</w:rPr>
        <w:tab/>
        <w:t>a</w:t>
      </w:r>
    </w:p>
    <w:p w:rsidR="005C642A" w:rsidRPr="00836F3C" w:rsidRDefault="005C642A" w:rsidP="005C642A">
      <w:pPr>
        <w:suppressAutoHyphens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…</w:t>
      </w:r>
    </w:p>
    <w:p w:rsidR="005C642A" w:rsidRPr="00836F3C" w:rsidRDefault="005C642A" w:rsidP="005C642A">
      <w:pPr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  <w:lang w:eastAsia="pl-PL"/>
        </w:rPr>
        <w:t>przez:</w:t>
      </w:r>
    </w:p>
    <w:p w:rsidR="005C642A" w:rsidRPr="00836F3C" w:rsidRDefault="005C642A" w:rsidP="005C64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</w:p>
    <w:p w:rsidR="005C642A" w:rsidRPr="00836F3C" w:rsidRDefault="005C642A" w:rsidP="005C642A">
      <w:pPr>
        <w:tabs>
          <w:tab w:val="left" w:pos="426"/>
        </w:tabs>
        <w:ind w:hanging="426"/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</w:rPr>
        <w:tab/>
        <w:t>zwanym dalej „</w:t>
      </w:r>
      <w:r w:rsidRPr="00836F3C">
        <w:rPr>
          <w:rFonts w:ascii="Calibri" w:hAnsi="Calibri" w:cs="Calibri"/>
          <w:b/>
        </w:rPr>
        <w:t>Wykonawcą</w:t>
      </w:r>
      <w:r w:rsidRPr="00836F3C">
        <w:rPr>
          <w:rFonts w:ascii="Calibri" w:hAnsi="Calibri" w:cs="Calibri"/>
        </w:rPr>
        <w:t>”,</w:t>
      </w:r>
    </w:p>
    <w:p w:rsidR="005C642A" w:rsidRPr="00836F3C" w:rsidRDefault="005C642A" w:rsidP="005C642A">
      <w:pPr>
        <w:tabs>
          <w:tab w:val="left" w:pos="426"/>
        </w:tabs>
        <w:ind w:hanging="426"/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</w:rPr>
        <w:t xml:space="preserve">        zwanymi dalej łącznie „</w:t>
      </w:r>
      <w:r w:rsidRPr="00836F3C">
        <w:rPr>
          <w:rFonts w:ascii="Calibri" w:hAnsi="Calibri" w:cs="Calibri"/>
          <w:b/>
        </w:rPr>
        <w:t>Stronami</w:t>
      </w:r>
      <w:r w:rsidRPr="00836F3C">
        <w:rPr>
          <w:rFonts w:ascii="Calibri" w:hAnsi="Calibri" w:cs="Calibri"/>
        </w:rPr>
        <w:t>” lub każda z osobna „</w:t>
      </w:r>
      <w:r w:rsidRPr="00836F3C">
        <w:rPr>
          <w:rFonts w:ascii="Calibri" w:hAnsi="Calibri" w:cs="Calibri"/>
          <w:b/>
        </w:rPr>
        <w:t>Stroną</w:t>
      </w:r>
      <w:r w:rsidRPr="00836F3C">
        <w:rPr>
          <w:rFonts w:ascii="Calibri" w:hAnsi="Calibri" w:cs="Calibri"/>
        </w:rPr>
        <w:t>”</w:t>
      </w:r>
    </w:p>
    <w:p w:rsidR="00453BCC" w:rsidRDefault="00453BCC" w:rsidP="005C642A">
      <w:pPr>
        <w:jc w:val="center"/>
        <w:rPr>
          <w:rFonts w:ascii="Calibri" w:hAnsi="Calibri" w:cs="Calibri"/>
          <w:b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 1</w:t>
      </w:r>
    </w:p>
    <w:p w:rsidR="005C642A" w:rsidRPr="005C642A" w:rsidRDefault="005C642A" w:rsidP="005C642A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 w:rsidRPr="00836F3C">
        <w:rPr>
          <w:rFonts w:ascii="Calibri" w:hAnsi="Calibri" w:cs="Calibri"/>
        </w:rPr>
        <w:t xml:space="preserve">Przedmiotem umowy </w:t>
      </w:r>
      <w:r>
        <w:rPr>
          <w:rFonts w:eastAsia="Times New Roman" w:cstheme="minorHAnsi"/>
          <w:lang w:eastAsia="ar-SA"/>
        </w:rPr>
        <w:t>wykonywanie usług windykacji wierzytelności na rzecz Zamawiającego.</w:t>
      </w:r>
    </w:p>
    <w:p w:rsidR="005C642A" w:rsidRDefault="005C642A" w:rsidP="005C642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Realizacja przedmiotu zamówienia obejmuje:</w:t>
      </w:r>
    </w:p>
    <w:p w:rsidR="005C642A" w:rsidRPr="005C642A" w:rsidRDefault="005C642A" w:rsidP="005C642A">
      <w:pPr>
        <w:pStyle w:val="Akapitzlist"/>
        <w:suppressAutoHyphens/>
        <w:spacing w:after="0"/>
        <w:ind w:left="360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 </w:t>
      </w:r>
      <w:r w:rsidRPr="005C642A">
        <w:rPr>
          <w:rFonts w:eastAsia="Times New Roman" w:cstheme="minorHAnsi"/>
          <w:bCs/>
          <w:lang w:eastAsia="ar-SA"/>
        </w:rPr>
        <w:t>- Dochodzenie należności z tytułu przekroczenia regulaminowego terminu zwrotu materiałów bibliotecznych – książek (należności za przetrzymanie wraz z poniesionymi przez Zamawiającego kosztami wysyłanych upomnień pocztowych);</w:t>
      </w:r>
    </w:p>
    <w:p w:rsidR="005C642A" w:rsidRDefault="005C642A" w:rsidP="005C642A">
      <w:pPr>
        <w:pStyle w:val="Akapitzlist"/>
        <w:suppressAutoHyphens/>
        <w:spacing w:after="0"/>
        <w:ind w:left="360"/>
        <w:jc w:val="both"/>
        <w:rPr>
          <w:rFonts w:eastAsia="Times New Roman" w:cstheme="minorHAnsi"/>
          <w:bCs/>
          <w:lang w:eastAsia="ar-SA"/>
        </w:rPr>
      </w:pPr>
      <w:r w:rsidRPr="005C642A">
        <w:rPr>
          <w:rFonts w:eastAsia="Times New Roman" w:cstheme="minorHAnsi"/>
          <w:bCs/>
          <w:lang w:eastAsia="ar-SA"/>
        </w:rPr>
        <w:t>- Dochodzenie zwrotu przetrzymanych materiałów bibliotecznych – książek lub dochodzenie należności z tytułu ekwiwalentu za niezwrócone materiały biblioteczne (zgodnie z wyceną Zamawiającego) od wskazanych użytkow</w:t>
      </w:r>
      <w:r w:rsidR="006C4E98">
        <w:rPr>
          <w:rFonts w:eastAsia="Times New Roman" w:cstheme="minorHAnsi"/>
          <w:bCs/>
          <w:lang w:eastAsia="ar-SA"/>
        </w:rPr>
        <w:t>ników (dłużników) Zamawiającego.</w:t>
      </w:r>
    </w:p>
    <w:p w:rsidR="005C642A" w:rsidRPr="005C642A" w:rsidRDefault="005C642A" w:rsidP="005C642A">
      <w:pPr>
        <w:pStyle w:val="Akapitzlist"/>
        <w:suppressAutoHyphens/>
        <w:spacing w:after="0"/>
        <w:ind w:left="426"/>
        <w:jc w:val="both"/>
        <w:rPr>
          <w:rFonts w:eastAsia="Times New Roman" w:cstheme="minorHAnsi"/>
          <w:bCs/>
          <w:lang w:eastAsia="ar-SA"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§2</w:t>
      </w:r>
    </w:p>
    <w:p w:rsidR="005C642A" w:rsidRDefault="005C642A" w:rsidP="005C642A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wykonać na rzecz Zamawiającego usługę windykacji wierzytelności przysługujących Zamawiającemu od czytelników i innych użytkowników biblioteki (dalej „dłużnicy”).</w:t>
      </w:r>
    </w:p>
    <w:p w:rsidR="005C642A" w:rsidRDefault="005C642A" w:rsidP="005C642A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usługi obejmuje:</w:t>
      </w:r>
    </w:p>
    <w:p w:rsidR="005C642A" w:rsidRDefault="00E63965" w:rsidP="005C642A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C642A">
        <w:rPr>
          <w:rFonts w:ascii="Calibri" w:hAnsi="Calibri" w:cs="Calibri"/>
        </w:rPr>
        <w:t>ochodzenie</w:t>
      </w:r>
      <w:r>
        <w:rPr>
          <w:rFonts w:ascii="Calibri" w:hAnsi="Calibri" w:cs="Calibri"/>
        </w:rPr>
        <w:t xml:space="preserve"> wierzytelności Zamawiającego z tytułu przekroczenia przez dłużników regulaminowego terminu zwrotu materiałów bibliotecznych (w szczególności książek) wraz z poniesionymi przez Zamawiającego kosztami wysłanych upomnień;</w:t>
      </w:r>
    </w:p>
    <w:p w:rsidR="00E63965" w:rsidRDefault="00E63965" w:rsidP="005C642A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Dochodzenie należności Zamawiającego za niezwrócone materiały biblioteczne (zgodnie z wyceną Zamawiającego) od wskazanych przez niego dłużników;</w:t>
      </w:r>
    </w:p>
    <w:p w:rsidR="005C642A" w:rsidRDefault="00E63965" w:rsidP="005C642A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Czynności windykacyjne mogą być prowadzone przez Wykonawcę jedynie wobec dłużników wskazanych przez Zamawiającego oraz wyłącznie do wysokości odpowiadającej kwocie zadłużenia, powiększonej o odsetki ustawowe.</w:t>
      </w:r>
    </w:p>
    <w:p w:rsidR="00E63965" w:rsidRDefault="00E63965" w:rsidP="005C642A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prowadzi czynności windykacyjne na podstawie sporządzonych przez Zamawiającego elektronicznych dwóch wykazów należności przysługujących mu od dłużników. Wykazy te zostaną przekazane Wykonawcy w ustalonym przez strony terminie.</w:t>
      </w:r>
    </w:p>
    <w:p w:rsidR="00E63965" w:rsidRDefault="00E63965" w:rsidP="005C642A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Wykaz A dotyczy należności określonych w §2 ust. 2 lit. a), a wykaz B należności określonych w §2 ust. 2 lit. b). Oba wykazy będą zawierały posiadane przez Zamawiającego informacje dotyczące dłużników, w tym m.in. imię, nazwisko, adres, kwoty zadłużenia, daty powstania należności, dane identyfikacyjne materiału bibliotecznego, a także ewentualne koszty wysłanych upomnień. W przypadku przekazania do windykacji zwrotu materiałów bibliotecznych Zamawiający dodatkowo określi w wykazie B dane identyfikacyjne materiału oraz regulaminową datę zwrotu, a także własną wycenę tego materiału.</w:t>
      </w:r>
    </w:p>
    <w:p w:rsidR="00E63965" w:rsidRDefault="00E63965" w:rsidP="005C642A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później niż miesiąc od podpisania umowy, Wykonawca przekaże Zamawiającemu pisemną procedurę windykacyjną (zawierającą w szczególności wzór wezwania do zapłaty), która musi zostać zaakceptowana przez Zamawiającego.</w:t>
      </w:r>
    </w:p>
    <w:p w:rsidR="00E63965" w:rsidRDefault="00E63965" w:rsidP="005C642A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później niż w przeciągu 3 miesięcy od podpisania umowy, Wykonawca przeszkoli wyznaczonych do współpracy z nim pracowników Zamawiającego w zakresie realizacji niniejszej umowy.</w:t>
      </w:r>
    </w:p>
    <w:p w:rsidR="001326FE" w:rsidRDefault="00453BCC" w:rsidP="001326FE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rozpocznie realizację zamówienia po przeszkoleniu pracowników Zamawiającego.</w:t>
      </w:r>
    </w:p>
    <w:p w:rsidR="001326FE" w:rsidRPr="001326FE" w:rsidRDefault="001326FE" w:rsidP="001326FE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 w:rsidRPr="001326FE">
        <w:t>Wykonawca zobowiązany jest do:</w:t>
      </w:r>
    </w:p>
    <w:p w:rsidR="001326FE" w:rsidRPr="001326FE" w:rsidRDefault="001326FE" w:rsidP="001326FE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1326FE">
        <w:t>prowadzenia dokumentacji wszystkich spraw zleconych do windykacji przez Zamawiającego w ramach zawartej umowy,</w:t>
      </w:r>
    </w:p>
    <w:p w:rsidR="001326FE" w:rsidRPr="001326FE" w:rsidRDefault="001326FE" w:rsidP="001326FE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before="100" w:beforeAutospacing="1" w:after="0" w:line="240" w:lineRule="auto"/>
        <w:ind w:left="709" w:hanging="283"/>
        <w:jc w:val="both"/>
      </w:pPr>
      <w:r w:rsidRPr="001326FE">
        <w:t>ewidencji wszystkich podjętych czynności windykacyjnych,</w:t>
      </w:r>
    </w:p>
    <w:p w:rsidR="001326FE" w:rsidRPr="001326FE" w:rsidRDefault="001326FE" w:rsidP="001326FE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before="100" w:beforeAutospacing="1" w:after="0" w:line="240" w:lineRule="auto"/>
        <w:ind w:left="709" w:hanging="283"/>
        <w:jc w:val="both"/>
      </w:pPr>
      <w:r w:rsidRPr="001326FE">
        <w:t>przedstawienia propozycji działań, uwzględniającej zakres planowanych działań oraz ich częstotliwość,</w:t>
      </w:r>
    </w:p>
    <w:p w:rsidR="001326FE" w:rsidRPr="001326FE" w:rsidRDefault="001326FE" w:rsidP="001326FE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1326FE">
        <w:t xml:space="preserve">przedstawiania do akceptacji Zamawiającego wszelkich komunikatów pisemnych wysyłanych do dłużników, </w:t>
      </w:r>
    </w:p>
    <w:p w:rsidR="001326FE" w:rsidRPr="001326FE" w:rsidRDefault="001326FE" w:rsidP="001326FE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1326FE">
        <w:t>przekazywania Zamawiającemu w terminie do 5 dni roboczych po zakończeniu danego miesiąca raportów (w formie elektronicznej) obejmujących przeprowadzone w danym miesiącu czynności windykacyjne. Format i zawartość raportu zostanie określona w późniejszym terminie</w:t>
      </w:r>
    </w:p>
    <w:p w:rsidR="001326FE" w:rsidRPr="001326FE" w:rsidRDefault="001326FE" w:rsidP="001326FE">
      <w:pPr>
        <w:pStyle w:val="Akapitzlist"/>
        <w:numPr>
          <w:ilvl w:val="0"/>
          <w:numId w:val="32"/>
        </w:numPr>
        <w:suppressAutoHyphens/>
        <w:spacing w:after="0"/>
        <w:ind w:left="426"/>
        <w:jc w:val="both"/>
      </w:pPr>
      <w:r w:rsidRPr="001326FE">
        <w:t>Czynności windykacyjne muszą być prowadzone zgodnie z przepisami prawa, zmierzając do wyegzekwowania wierzytelności na rzecz Zamawiającego.</w:t>
      </w:r>
    </w:p>
    <w:p w:rsidR="001326FE" w:rsidRPr="001326FE" w:rsidRDefault="001326FE" w:rsidP="001326FE">
      <w:pPr>
        <w:pStyle w:val="Akapitzlist"/>
        <w:numPr>
          <w:ilvl w:val="0"/>
          <w:numId w:val="32"/>
        </w:numPr>
        <w:suppressAutoHyphens/>
        <w:spacing w:after="0"/>
        <w:ind w:left="426"/>
        <w:jc w:val="both"/>
      </w:pPr>
      <w:r w:rsidRPr="001326FE">
        <w:t xml:space="preserve">Zamawiający nie przewiduje zwrotu wydatków poniesionych na poczet realizacji zamówienia, w tym kosztów przesyłek pocztowych, połączeń telefonicznych czy wiadomości </w:t>
      </w:r>
      <w:proofErr w:type="spellStart"/>
      <w:r w:rsidRPr="001326FE">
        <w:t>sms</w:t>
      </w:r>
      <w:proofErr w:type="spellEnd"/>
      <w:r w:rsidRPr="001326FE">
        <w:t>.</w:t>
      </w:r>
    </w:p>
    <w:p w:rsidR="001326FE" w:rsidRPr="001326FE" w:rsidRDefault="001326FE" w:rsidP="001326FE">
      <w:pPr>
        <w:pStyle w:val="Akapitzlist"/>
        <w:numPr>
          <w:ilvl w:val="0"/>
          <w:numId w:val="32"/>
        </w:numPr>
        <w:suppressAutoHyphens/>
        <w:spacing w:after="0"/>
        <w:ind w:left="426"/>
        <w:jc w:val="both"/>
        <w:rPr>
          <w:rFonts w:cstheme="minorHAnsi"/>
        </w:rPr>
      </w:pPr>
      <w:r w:rsidRPr="001326FE">
        <w:t>Zamawiający</w:t>
      </w:r>
      <w:r w:rsidRPr="001326FE">
        <w:rPr>
          <w:rFonts w:cstheme="minorHAnsi"/>
        </w:rPr>
        <w:t xml:space="preserve"> będzie przekazywał drogą mailową Wykonawcy sukcesywnie zlecenia odzyskania należności, wraz z posiadanymi informacjami, w tym dot. przedmiotu lub kwoty należności i ewentualnych odsetek / opłat dodatkowych.</w:t>
      </w:r>
    </w:p>
    <w:p w:rsidR="001326FE" w:rsidRPr="00836F3C" w:rsidRDefault="001326FE" w:rsidP="001326FE">
      <w:pPr>
        <w:suppressAutoHyphens/>
        <w:spacing w:after="0"/>
        <w:ind w:left="360"/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pStyle w:val="Akapitzlist"/>
        <w:ind w:left="360"/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§3</w:t>
      </w:r>
    </w:p>
    <w:p w:rsidR="005C642A" w:rsidRDefault="00453BCC" w:rsidP="005C642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Zamawiający oświadcza, że wierzytelności będące przedmiotem umowy istnieją, są wymagalne i nie są przedmiotem postępowań sądowych / komorniczych lub windykacji przez osoby trzecie.</w:t>
      </w:r>
    </w:p>
    <w:p w:rsidR="00453BCC" w:rsidRDefault="00453BCC" w:rsidP="005C642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Niniejsza umowa nie obejmuje czynności związanych z dochodzeniem spełniania świadczeń przez dłużników w ramach postępowania sądowego i egzekucyjnego.</w:t>
      </w:r>
    </w:p>
    <w:p w:rsidR="00453BCC" w:rsidRDefault="00453BCC" w:rsidP="005C642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Wykonawcy nie wolno dochodzić od dłużników świadczeń innych niż należności Zamawiającego, a w szczególności obciążać dłużników kosztami postępowania windykacyjnego.</w:t>
      </w:r>
    </w:p>
    <w:p w:rsidR="00453BCC" w:rsidRDefault="00453BCC" w:rsidP="005C642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Czynności windykacyjne Wykonawcy obejmują w szczególności:</w:t>
      </w:r>
    </w:p>
    <w:p w:rsidR="00453BCC" w:rsidRPr="00453BCC" w:rsidRDefault="00453BCC" w:rsidP="00453BCC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453BCC">
        <w:rPr>
          <w:rFonts w:eastAsia="Times New Roman"/>
          <w:bCs/>
          <w:lang w:eastAsia="ar-SA"/>
        </w:rPr>
        <w:t>Ustalenie</w:t>
      </w:r>
      <w:r w:rsidRPr="00453BCC">
        <w:t xml:space="preserve"> aktualnych danych adresowych dłużnika (o ile uległy zmianie te, którymi dysponuje Zamawiający) i ich uaktualnianie </w:t>
      </w:r>
    </w:p>
    <w:p w:rsidR="00453BCC" w:rsidRPr="00453BCC" w:rsidRDefault="00453BCC" w:rsidP="00453BCC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453BCC">
        <w:rPr>
          <w:rFonts w:eastAsiaTheme="minorEastAsia"/>
        </w:rPr>
        <w:t xml:space="preserve">Pisemne wezwania dłużnika do zapłaty </w:t>
      </w:r>
    </w:p>
    <w:p w:rsidR="00453BCC" w:rsidRPr="00453BCC" w:rsidRDefault="00453BCC" w:rsidP="00453BCC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453BCC">
        <w:rPr>
          <w:rFonts w:eastAsiaTheme="minorEastAsia"/>
        </w:rPr>
        <w:t>Komunikację z dłużnikiem za pośrednictwem telefonu, poczty e-mail lub komunikatorów internetowych</w:t>
      </w:r>
    </w:p>
    <w:p w:rsidR="00453BCC" w:rsidRPr="00453BCC" w:rsidRDefault="00453BCC" w:rsidP="00453BCC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453BCC">
        <w:rPr>
          <w:rFonts w:eastAsiaTheme="minorEastAsia"/>
        </w:rPr>
        <w:t>Bezpośrednie i pośrednie negocjacje z dłużnikiem co do możliwości, sposobu i terminu zwrotu należności</w:t>
      </w:r>
    </w:p>
    <w:p w:rsidR="00453BCC" w:rsidRPr="00453BCC" w:rsidRDefault="00453BCC" w:rsidP="00453BCC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453BCC">
        <w:rPr>
          <w:rFonts w:eastAsiaTheme="minorEastAsia"/>
        </w:rPr>
        <w:t>Weryfikację sytuacji finansowej dłużnika</w:t>
      </w:r>
    </w:p>
    <w:p w:rsidR="00453BCC" w:rsidRPr="00453BCC" w:rsidRDefault="00453BCC" w:rsidP="00453BCC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>
        <w:rPr>
          <w:rFonts w:eastAsiaTheme="minorEastAsia"/>
        </w:rPr>
        <w:t>Nadzór nad terminowością dokonywanych przez dłużnika spłat</w:t>
      </w:r>
    </w:p>
    <w:p w:rsidR="00453BCC" w:rsidRDefault="00453BCC" w:rsidP="005C642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Wykonawca realizuje czynności windykacyjne wyłącznie na podstawie niniejszej umowy oraz w granicach udzielonego mu przez Zamawiającego pełnomocnictwa, które stanowi Załącznik do niniejszej umowy.</w:t>
      </w:r>
    </w:p>
    <w:p w:rsidR="00453BCC" w:rsidRDefault="00453BCC" w:rsidP="005C642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 przypadkach</w:t>
      </w:r>
      <w:r w:rsidR="00AC6E75">
        <w:rPr>
          <w:rFonts w:ascii="Calibri" w:hAnsi="Calibri" w:cs="Calibri"/>
        </w:rPr>
        <w:t xml:space="preserve"> udzielenia</w:t>
      </w:r>
      <w:r>
        <w:rPr>
          <w:rFonts w:ascii="Calibri" w:hAnsi="Calibri" w:cs="Calibri"/>
        </w:rPr>
        <w:t xml:space="preserve"> dalszych pełnomocnictw</w:t>
      </w:r>
      <w:r w:rsidR="00AC6E75">
        <w:rPr>
          <w:rFonts w:ascii="Calibri" w:hAnsi="Calibri" w:cs="Calibri"/>
        </w:rPr>
        <w:t xml:space="preserve"> przez Wykonawcę za działania i/lub zaniechania kolejnych pełnomocników odpowiada Wykonawca jak za własne działania i/lub zaniechania.</w:t>
      </w:r>
    </w:p>
    <w:p w:rsidR="00AC6E75" w:rsidRDefault="00AC6E75" w:rsidP="005C642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Pełnomocnictwo określone powyżej wygasa automatycznie, bez konieczności jego odrębnego cofnięcia przez Zamawiającego, z dniem wygaśnięcia lub rozwiązania niniejszej umowy.</w:t>
      </w:r>
    </w:p>
    <w:p w:rsidR="00AC6E75" w:rsidRDefault="00AC6E75" w:rsidP="005C642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Na zasadzie ryzyka, Wykonawca ponosi pełną odpowiedzialność za przekroczenie zakresu udzielonego mu pełnomocnictwa oraz za szkodę wyrządzoną w wyniku takiego przekroczenia Zamawiającemu i/lub osobom trzecim, w tym za szkodę wyrządzoną przez dalszych pełnomocników.</w:t>
      </w:r>
    </w:p>
    <w:p w:rsidR="005C642A" w:rsidRPr="00836F3C" w:rsidRDefault="005C642A" w:rsidP="00AC6E75">
      <w:pPr>
        <w:rPr>
          <w:rFonts w:ascii="Calibri" w:hAnsi="Calibri" w:cs="Calibri"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§4</w:t>
      </w:r>
    </w:p>
    <w:p w:rsidR="005C642A" w:rsidRDefault="00AC6E75" w:rsidP="000B4961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Dłużnicy dokonują spłaty zadłużenia na osobny rachunek bankowy Wykonawcy. Wpłata następuje na imienne subkonto dłużnika lub po utworzeniu innej możliwej identyfikacji dłużnika dokonującego wpłaty.</w:t>
      </w:r>
    </w:p>
    <w:p w:rsidR="00AC6E75" w:rsidRDefault="00AC6E75" w:rsidP="000B4961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Strony wykluczają możliwość inkasowania przez Wykonawcę (podwykonawców) gotówki od dłużników.</w:t>
      </w:r>
    </w:p>
    <w:p w:rsidR="00AC6E75" w:rsidRDefault="00AC6E75" w:rsidP="000B4961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Zamawiającemu przysługuje prawo pisemnego wycofania konkretnych wierzytelności zleconych do windykacji w ramach niniejszej umowy. W takim przypadku Wykonawca zaprzestanie prowadzenia dalszych czynności windykacyjnych niezwłocznie po otrzymaniu od Zamawiającego stosownej informacji w tym zakresie. Wykonawcy nie przysługuje żadna rekompensata z tytułu wycofania wierzytelności.</w:t>
      </w:r>
    </w:p>
    <w:p w:rsidR="00AC6E75" w:rsidRPr="00AC6E75" w:rsidRDefault="00AC6E75" w:rsidP="000B4961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 związku z przekazywaniem Wykonawcy danych osobowych, strony zawrą osobną umowę powierzenia/przetwarzania danych osobowych</w:t>
      </w:r>
      <w:r w:rsidR="000B4961">
        <w:rPr>
          <w:rFonts w:ascii="Calibri" w:hAnsi="Calibri" w:cs="Calibri"/>
        </w:rPr>
        <w:t>, zgodnie z przepisami o ochronie danych osobowych.</w:t>
      </w: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§5</w:t>
      </w:r>
    </w:p>
    <w:p w:rsidR="005C642A" w:rsidRDefault="000B4961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 tytułu wynagrodzenia za wykonywaną usługę, Zamawiający zapłaci Wykonawcy kwotę stanowiącą … % wpłat dokonanych przez dłużników, zgodnie z prowizją zaoferowaną przez Wykonawcę w ofercie.</w:t>
      </w:r>
    </w:p>
    <w:p w:rsidR="000B4961" w:rsidRDefault="000B4961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 przypadku, gdy dłużnik zwróci materiał biblioteczny zamiast zapłaty ekwiwalentu za brak jego zwrotu, Wykonawca wykona tą czynność w ramach wynagrodzenia określonego w pkt. 1 powyżej.</w:t>
      </w:r>
    </w:p>
    <w:p w:rsidR="000B4961" w:rsidRDefault="000B4961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Wynagrodzenie zostanie powiększone o podatek VAT w aktualnie obowiązującej stawce.</w:t>
      </w:r>
    </w:p>
    <w:p w:rsidR="000B4961" w:rsidRDefault="000B4961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Wynagrodzenie określone powyżej ma charakter ryczałtowy, tj. oprócz wynagrodzenia Wykonawcy nie przysługują wobec Zamawiającego żadne inne należności.</w:t>
      </w:r>
    </w:p>
    <w:p w:rsidR="009B5908" w:rsidRDefault="009B5908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Wynagrodzenie z tytułu wykonywanej usługi nie może przekroczyć 130 000 zł netto.</w:t>
      </w:r>
    </w:p>
    <w:p w:rsidR="000B4961" w:rsidRDefault="000B4961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Wszelkie usługi windykacyjne zmierzające do wyegzekwowania należności przekazanych przez Zamawiającego będą prowadzone przez Wykonawcę we własnym zakresie i na własne ryzyko, pokrywając wszelkie koszty związane z ich prowadzeniem. Zamawiający nie ponosi żadnych dodatkowych kosztów związanych z podejmowanymi przez Wykonawcę czynnościami windykacyjnymi.</w:t>
      </w:r>
    </w:p>
    <w:p w:rsidR="000B4961" w:rsidRDefault="000B4961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Jako okres rozliczeniowy Strony ustalają miesiąc kalendarzowy.</w:t>
      </w:r>
    </w:p>
    <w:p w:rsidR="000B4961" w:rsidRDefault="000B4961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Do 5 dnia kolejnego miesiąca kalendarzowego, Wykonawca:</w:t>
      </w:r>
    </w:p>
    <w:p w:rsidR="000B4961" w:rsidRDefault="000B4961" w:rsidP="000B4961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Prześle Zamawiającemu raport z czynności windykacyjnych za ostatni miesiąc kalendarzowy, zawierający w szczególności listę dłużników i wpłat dokonanych w tym okresie;</w:t>
      </w:r>
    </w:p>
    <w:p w:rsidR="000B4961" w:rsidRDefault="000B4961" w:rsidP="000B4961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Przekaże (przeleje) Zamawiającemu wszystkie kwoty wpłacone przez dłużników w poprzednim miesiącu kalendarzowym;</w:t>
      </w:r>
    </w:p>
    <w:p w:rsidR="000B4961" w:rsidRPr="000B4961" w:rsidRDefault="000B4961" w:rsidP="000B4961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Prześle Zamawiającemu fakturę VAT z tytułu jego należności za ww. okres.</w:t>
      </w:r>
    </w:p>
    <w:p w:rsidR="000B4961" w:rsidRDefault="000B4961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Po sprawdzeniu zgodności faktury z miesięcznym raportem Wykonawcy i dokonaną wpłatą, Zamawiający zapłaci należne Wykonawcy wynagrodzenie w ciągu 30 dni od doręczenia</w:t>
      </w:r>
      <w:r w:rsidR="009B5908">
        <w:rPr>
          <w:rFonts w:ascii="Calibri" w:hAnsi="Calibri" w:cs="Calibri"/>
        </w:rPr>
        <w:t xml:space="preserve"> prawidłowo wystawionej</w:t>
      </w:r>
      <w:r>
        <w:rPr>
          <w:rFonts w:ascii="Calibri" w:hAnsi="Calibri" w:cs="Calibri"/>
        </w:rPr>
        <w:t xml:space="preserve"> faktury VAT.</w:t>
      </w:r>
    </w:p>
    <w:p w:rsidR="009B5908" w:rsidRPr="009B5908" w:rsidRDefault="009B5908" w:rsidP="009B590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b/>
        </w:rPr>
      </w:pPr>
      <w:r w:rsidRPr="00836F3C">
        <w:rPr>
          <w:rFonts w:ascii="Calibri" w:hAnsi="Calibri" w:cs="Calibri"/>
        </w:rPr>
        <w:t>Za dzień zapłaty uważa się dzień obciążenia rachunku bankowego Zamawiającego.</w:t>
      </w:r>
    </w:p>
    <w:p w:rsidR="000B4961" w:rsidRPr="00836F3C" w:rsidRDefault="009B5908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przekazywać zbiorcze raporty otrzymanych wpłat na dedykowane subkonta w trybie tygodniowym, w każdy wtorek za tydzień poprzedni.</w:t>
      </w:r>
    </w:p>
    <w:p w:rsidR="005C642A" w:rsidRPr="00836F3C" w:rsidRDefault="005C642A" w:rsidP="005C642A">
      <w:pPr>
        <w:jc w:val="center"/>
        <w:rPr>
          <w:rFonts w:ascii="Calibri" w:hAnsi="Calibri" w:cs="Calibri"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§6</w:t>
      </w:r>
    </w:p>
    <w:p w:rsidR="005C642A" w:rsidRPr="00836F3C" w:rsidRDefault="005C642A" w:rsidP="005C642A">
      <w:pPr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</w:rPr>
        <w:t xml:space="preserve">Niniejsza umowa zostaje zawarta </w:t>
      </w:r>
      <w:r w:rsidR="009B5908">
        <w:rPr>
          <w:rFonts w:ascii="Calibri" w:hAnsi="Calibri" w:cs="Calibri"/>
        </w:rPr>
        <w:t xml:space="preserve">na okres 12 miesięcy, </w:t>
      </w:r>
      <w:r w:rsidRPr="00836F3C">
        <w:rPr>
          <w:rFonts w:ascii="Calibri" w:hAnsi="Calibri" w:cs="Calibri"/>
        </w:rPr>
        <w:t xml:space="preserve">od </w:t>
      </w:r>
      <w:r w:rsidR="009B5908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</w:t>
      </w:r>
      <w:r w:rsidR="009B5908">
        <w:rPr>
          <w:rFonts w:ascii="Calibri" w:hAnsi="Calibri" w:cs="Calibri"/>
        </w:rPr>
        <w:t xml:space="preserve">r. </w:t>
      </w:r>
      <w:r>
        <w:rPr>
          <w:rFonts w:ascii="Calibri" w:hAnsi="Calibri" w:cs="Calibri"/>
        </w:rPr>
        <w:t xml:space="preserve">do </w:t>
      </w:r>
      <w:r w:rsidR="009B5908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r</w:t>
      </w:r>
      <w:r w:rsidRPr="00836F3C">
        <w:rPr>
          <w:rFonts w:ascii="Calibri" w:hAnsi="Calibri" w:cs="Calibri"/>
        </w:rPr>
        <w:t>.</w:t>
      </w:r>
    </w:p>
    <w:p w:rsidR="005C642A" w:rsidRPr="00836F3C" w:rsidRDefault="005C642A" w:rsidP="005C642A">
      <w:pPr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§7</w:t>
      </w:r>
    </w:p>
    <w:p w:rsidR="005C642A" w:rsidRDefault="009B5908" w:rsidP="005C642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Na żądanie Zamawiającego, Wykonawca zapewni Zamawiającemu niezwłoczny dostęp do wszelkich informacji i danych związanych z realizacją niniejszej umowy, w szczególności z dokonywanymi czynnościami windykacyjnymi. Naruszenie tego zobowiązania przez Wykonawcę stanowi podstawę do rozwiązania umowy przez Zamawiającego.</w:t>
      </w:r>
    </w:p>
    <w:p w:rsidR="009B5908" w:rsidRDefault="009B5908" w:rsidP="005C642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Strony zobowiązują się współpracować ze sobą w celu najpełniejszej realizacji niniejszej umowy, w szczególności w zakresie sposobu rozpatrzenia reklamacji, odwołania lub skargi złożonej przez dłużnika, wobec którego Wykonawca podjął czynności windykacyjne.</w:t>
      </w:r>
    </w:p>
    <w:p w:rsidR="009B5908" w:rsidRDefault="009B5908" w:rsidP="005C642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Strony wyznaczają następujące osoby odpowiedzialne za realizację niniejszej umowy:</w:t>
      </w:r>
    </w:p>
    <w:p w:rsidR="009B5908" w:rsidRDefault="009B5908" w:rsidP="009B5908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Ze strony Zamawiającego: …</w:t>
      </w:r>
    </w:p>
    <w:p w:rsidR="009B5908" w:rsidRPr="009B5908" w:rsidRDefault="009B5908" w:rsidP="009B5908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Ze strony Wykonawcy: …</w:t>
      </w:r>
    </w:p>
    <w:p w:rsidR="009B5908" w:rsidRDefault="009B5908" w:rsidP="005C642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 zastrzeżeniem §3 ust. 6, bez uprzedniej pisemnej zgody Zamawiającego, Wykonawcy nie przysługuje prawo dokonania przelewu (cesji) na osoby trzecie jakichkolwiek praw lub obowiązków wynikających z niniejszej umowy.</w:t>
      </w:r>
    </w:p>
    <w:p w:rsidR="009B5908" w:rsidRDefault="009B5908" w:rsidP="005C642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Strony zobowiązują się do bezterminowego zachowania w tajemnicy wszelkich informacji poufnych, w posiadanie których weszły w związku z wykonywaniem niniejszej umowy. Przez informacje poufne strony rozumieją dane oraz informacje nieprzekazane przez daną stronę do wiadomości publicznej.</w:t>
      </w:r>
    </w:p>
    <w:p w:rsidR="009B5908" w:rsidRDefault="009B5908" w:rsidP="005C642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Wszelkie informacje i dokumenty przekazane Wykonawcy przez Zamawiającego</w:t>
      </w:r>
      <w:r w:rsidR="000172DA">
        <w:rPr>
          <w:rFonts w:ascii="Calibri" w:hAnsi="Calibri" w:cs="Calibri"/>
        </w:rPr>
        <w:t xml:space="preserve"> mogą być wykorzystane przez Wykonawcę tylko w celu realizacji niniejszej umowy i nie mogą być bez pisemnej zgody Zamawiającego ujawnione osobom trzecim, z wyjątkiem osób, którym Wykonawca powierza wykonywanie określonych czynności i na które rozciąga się obowiązek nieujawniania informacji i dokumentów osobom postronnym.</w:t>
      </w:r>
    </w:p>
    <w:p w:rsidR="009B5908" w:rsidRPr="00836F3C" w:rsidRDefault="009B5908" w:rsidP="009B5908">
      <w:pPr>
        <w:pStyle w:val="Akapitzlist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Calibri" w:hAnsi="Calibri" w:cs="Calibri"/>
        </w:rPr>
      </w:pPr>
    </w:p>
    <w:p w:rsidR="005C642A" w:rsidRPr="00836F3C" w:rsidRDefault="005C642A" w:rsidP="005C642A">
      <w:pPr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§8</w:t>
      </w:r>
    </w:p>
    <w:p w:rsidR="005C642A" w:rsidRDefault="000172DA" w:rsidP="005C642A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Stronom przysługuje prawo rozwiązania umowy za pisemnym wypowiedzeniem, z zachowaniem miesięcznego okresu wypowiedzenia</w:t>
      </w:r>
      <w:r w:rsidR="005C642A" w:rsidRPr="00836F3C">
        <w:rPr>
          <w:rFonts w:ascii="Calibri" w:hAnsi="Calibri" w:cs="Calibri"/>
        </w:rPr>
        <w:t>.</w:t>
      </w:r>
    </w:p>
    <w:p w:rsidR="005C642A" w:rsidRDefault="000172DA" w:rsidP="000172DA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Zamawiającemu przysługuje prawo do rozwiązania umowy w trybie natychmiastowym, z dniem doręczenia Wykonawcy stosownego oświadczenia, w przypadku istotnego naruszenia przez Wykonawcę postanowień niniejszej umowy.</w:t>
      </w:r>
    </w:p>
    <w:p w:rsidR="000172DA" w:rsidRDefault="000172DA" w:rsidP="000172DA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Zamawiający może odstąpić od umowy w</w:t>
      </w:r>
      <w:r w:rsidRPr="00836F3C">
        <w:rPr>
          <w:rFonts w:ascii="Calibri" w:hAnsi="Calibri" w:cs="Calibri"/>
          <w:color w:val="000000"/>
        </w:rPr>
        <w:t xml:space="preserve">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 przypadku Wykonawca może żądać wyłącznie wynagro</w:t>
      </w:r>
      <w:r>
        <w:rPr>
          <w:rFonts w:ascii="Calibri" w:hAnsi="Calibri" w:cs="Calibri"/>
          <w:color w:val="000000"/>
        </w:rPr>
        <w:t>dzenia należnego z tytułu wykonanej</w:t>
      </w:r>
      <w:r w:rsidRPr="00836F3C">
        <w:rPr>
          <w:rFonts w:ascii="Calibri" w:hAnsi="Calibri" w:cs="Calibri"/>
          <w:color w:val="000000"/>
        </w:rPr>
        <w:t xml:space="preserve"> części umowy</w:t>
      </w:r>
      <w:r>
        <w:rPr>
          <w:rFonts w:ascii="Calibri" w:hAnsi="Calibri" w:cs="Calibri"/>
          <w:color w:val="000000"/>
        </w:rPr>
        <w:t>.</w:t>
      </w:r>
    </w:p>
    <w:p w:rsidR="000172DA" w:rsidRDefault="000172DA" w:rsidP="000172DA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Zmiany umowy nie zmieniające jej istotnych postanowień, np. zmiana nazwy lub adresu którejś ze stron lub osoby wyznaczonej do realizacji niniejszej umowy, nie wymagają pisemnego aneksu.</w:t>
      </w:r>
    </w:p>
    <w:p w:rsidR="000172DA" w:rsidRPr="000172DA" w:rsidRDefault="000172DA" w:rsidP="000172DA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Inne zmiany umowy, wpływające na jej istotne postanowienia, wymagają pisemnego aneksu pod rygorem nieważności.</w:t>
      </w:r>
    </w:p>
    <w:p w:rsidR="005C642A" w:rsidRPr="00836F3C" w:rsidRDefault="005C642A" w:rsidP="000172DA">
      <w:pPr>
        <w:rPr>
          <w:rFonts w:ascii="Calibri" w:hAnsi="Calibri" w:cs="Calibri"/>
          <w:b/>
        </w:rPr>
      </w:pPr>
    </w:p>
    <w:p w:rsidR="005C642A" w:rsidRPr="00836F3C" w:rsidRDefault="005C642A" w:rsidP="005C642A">
      <w:pPr>
        <w:pStyle w:val="Tekstpodstawowy"/>
        <w:tabs>
          <w:tab w:val="num" w:pos="426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§9</w:t>
      </w:r>
    </w:p>
    <w:p w:rsidR="005C642A" w:rsidRDefault="005C642A" w:rsidP="005C642A">
      <w:pPr>
        <w:pStyle w:val="Tekstpodstawowy"/>
        <w:numPr>
          <w:ilvl w:val="0"/>
          <w:numId w:val="1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Wykonawca zapłaci Zamawiającemu następujące kary umowne:</w:t>
      </w:r>
    </w:p>
    <w:p w:rsidR="000172DA" w:rsidRPr="00836F3C" w:rsidRDefault="000172DA" w:rsidP="000172DA">
      <w:pPr>
        <w:pStyle w:val="Tekstpodstawowy"/>
        <w:spacing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1326FE">
        <w:rPr>
          <w:rFonts w:ascii="Calibri" w:hAnsi="Calibri" w:cs="Calibri"/>
          <w:sz w:val="22"/>
          <w:szCs w:val="22"/>
        </w:rPr>
        <w:t xml:space="preserve"> 100 zł za każdy dzień zwłoki w przesłaniu raportu, o którym mowa w §5 ust. 8 </w:t>
      </w:r>
      <w:proofErr w:type="spellStart"/>
      <w:r w:rsidR="001326FE">
        <w:rPr>
          <w:rFonts w:ascii="Calibri" w:hAnsi="Calibri" w:cs="Calibri"/>
          <w:sz w:val="22"/>
          <w:szCs w:val="22"/>
        </w:rPr>
        <w:t>pkt</w:t>
      </w:r>
      <w:proofErr w:type="spellEnd"/>
      <w:r w:rsidR="001326FE">
        <w:rPr>
          <w:rFonts w:ascii="Calibri" w:hAnsi="Calibri" w:cs="Calibri"/>
          <w:sz w:val="22"/>
          <w:szCs w:val="22"/>
        </w:rPr>
        <w:t xml:space="preserve"> 1).</w:t>
      </w:r>
    </w:p>
    <w:p w:rsidR="005C642A" w:rsidRPr="00836F3C" w:rsidRDefault="005C642A" w:rsidP="005C642A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 w:rsidRPr="00836F3C">
        <w:rPr>
          <w:rFonts w:ascii="Calibri" w:hAnsi="Calibri" w:cs="Calibri"/>
        </w:rPr>
        <w:t>Należne kary umowne mogą zostać potrącone bezpośrednio z wynagrodzenia przysługującego Wykonawcy. W przypadku niemożności potrącenia przez Zamawiającego kar umownych, Zamawiający będzie wzywał Wykonawcę do zapłaty kary w terminie oznaczonym w nocie obciążeniowej, nie krótszym niż 7 dni.</w:t>
      </w:r>
    </w:p>
    <w:p w:rsidR="005C642A" w:rsidRPr="00836F3C" w:rsidRDefault="005C642A" w:rsidP="005C642A">
      <w:pPr>
        <w:pStyle w:val="Tekstpodstawowy"/>
        <w:numPr>
          <w:ilvl w:val="0"/>
          <w:numId w:val="1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Zastrzeżenie kary umownej nie wyklucza prawa dochodzenia przez Zamawiającego roszczeń odszkodowawczych na zasadach ogólnych.</w:t>
      </w:r>
    </w:p>
    <w:p w:rsidR="005C642A" w:rsidRPr="00836F3C" w:rsidRDefault="005C642A" w:rsidP="005C642A">
      <w:pPr>
        <w:pStyle w:val="Tekstpodstawowy"/>
        <w:tabs>
          <w:tab w:val="num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5C642A" w:rsidRPr="00836F3C" w:rsidRDefault="005C642A" w:rsidP="005C642A">
      <w:pPr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lastRenderedPageBreak/>
        <w:t>Postanowienia końcowe</w:t>
      </w: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 1</w:t>
      </w:r>
      <w:r w:rsidR="00745E29">
        <w:rPr>
          <w:rFonts w:ascii="Calibri" w:hAnsi="Calibri" w:cs="Calibri"/>
          <w:b/>
        </w:rPr>
        <w:t>0</w:t>
      </w:r>
    </w:p>
    <w:p w:rsidR="005C642A" w:rsidRPr="00836F3C" w:rsidRDefault="005C642A" w:rsidP="005C642A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 w:rsidRPr="00836F3C">
        <w:rPr>
          <w:rFonts w:ascii="Calibri" w:hAnsi="Calibri" w:cs="Calibri"/>
        </w:rPr>
        <w:t xml:space="preserve">W sprawach nieuregulowanych w umowie zastosowanie mają postanowienia </w:t>
      </w:r>
      <w:r w:rsidR="000172DA">
        <w:rPr>
          <w:rFonts w:ascii="Calibri" w:hAnsi="Calibri" w:cs="Calibri"/>
        </w:rPr>
        <w:t>zapytania ofertowego</w:t>
      </w:r>
      <w:r w:rsidRPr="00836F3C">
        <w:rPr>
          <w:rFonts w:ascii="Calibri" w:hAnsi="Calibri" w:cs="Calibri"/>
        </w:rPr>
        <w:t xml:space="preserve"> i odpowiednie </w:t>
      </w:r>
      <w:r w:rsidR="000172DA">
        <w:rPr>
          <w:rFonts w:ascii="Calibri" w:hAnsi="Calibri" w:cs="Calibri"/>
        </w:rPr>
        <w:t>przepisy</w:t>
      </w:r>
      <w:r w:rsidRPr="00836F3C">
        <w:rPr>
          <w:rFonts w:ascii="Calibri" w:hAnsi="Calibri" w:cs="Calibri"/>
        </w:rPr>
        <w:t xml:space="preserve"> Kodeksu cywilnego.</w:t>
      </w:r>
    </w:p>
    <w:p w:rsidR="005C642A" w:rsidRPr="00836F3C" w:rsidRDefault="005C642A" w:rsidP="005C642A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 w:rsidRPr="00836F3C">
        <w:rPr>
          <w:rFonts w:ascii="Calibri" w:hAnsi="Calibri" w:cs="Calibri"/>
        </w:rPr>
        <w:t xml:space="preserve">W przypadku rozbieżności między niniejszą umową a </w:t>
      </w:r>
      <w:r w:rsidR="000172DA">
        <w:rPr>
          <w:rFonts w:ascii="Calibri" w:hAnsi="Calibri" w:cs="Calibri"/>
        </w:rPr>
        <w:t>zapytaniem ofertowym</w:t>
      </w:r>
      <w:r w:rsidRPr="00836F3C">
        <w:rPr>
          <w:rFonts w:ascii="Calibri" w:hAnsi="Calibri" w:cs="Calibri"/>
        </w:rPr>
        <w:t xml:space="preserve">, pierwszeństwo mają postanowienia umowy.  </w:t>
      </w:r>
    </w:p>
    <w:p w:rsidR="005C642A" w:rsidRDefault="005C642A" w:rsidP="005C642A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 w:rsidRPr="00836F3C">
        <w:rPr>
          <w:rFonts w:ascii="Calibri" w:hAnsi="Calibri" w:cs="Calibri"/>
        </w:rPr>
        <w:t>Z zastrzeżeniem innych postanowień niniejszej umowy, wszelkie zmiany umowy wymagają formy pisemnej po rygorem nieważności.</w:t>
      </w:r>
    </w:p>
    <w:p w:rsidR="000172DA" w:rsidRPr="00836F3C" w:rsidRDefault="000172DA" w:rsidP="005C642A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 w:rsidRPr="00836F3C">
        <w:rPr>
          <w:rFonts w:ascii="Calibri" w:hAnsi="Calibri" w:cs="Calibri"/>
        </w:rPr>
        <w:t>Wszelkie spory wynikające z niniejszej umowy będą rozstrzygane przez sąd właściwy miejscowo dla siedziby Zamawiającego</w:t>
      </w:r>
      <w:r>
        <w:rPr>
          <w:rFonts w:ascii="Calibri" w:hAnsi="Calibri" w:cs="Calibri"/>
        </w:rPr>
        <w:t>.</w:t>
      </w:r>
    </w:p>
    <w:p w:rsidR="005C642A" w:rsidRPr="00836F3C" w:rsidRDefault="005C642A" w:rsidP="005C642A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 w:rsidRPr="00836F3C">
        <w:rPr>
          <w:rFonts w:ascii="Calibri" w:hAnsi="Calibri" w:cs="Calibri"/>
        </w:rPr>
        <w:t>Umowa została sporządzona w 2 jednobrzmiących egzemplarzach, po 1 dla każdej ze Stron.</w:t>
      </w:r>
    </w:p>
    <w:p w:rsidR="005C642A" w:rsidRPr="00836F3C" w:rsidRDefault="005C642A" w:rsidP="005C642A">
      <w:pPr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pStyle w:val="Akapitzlist"/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pStyle w:val="Akapitzlist"/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pStyle w:val="Akapitzlist"/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ind w:left="708" w:firstLine="708"/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</w:rPr>
        <w:t>Zamawiający</w:t>
      </w:r>
      <w:r w:rsidRPr="00836F3C">
        <w:rPr>
          <w:rFonts w:ascii="Calibri" w:hAnsi="Calibri" w:cs="Calibri"/>
        </w:rPr>
        <w:tab/>
      </w:r>
      <w:r w:rsidRPr="00836F3C">
        <w:rPr>
          <w:rFonts w:ascii="Calibri" w:hAnsi="Calibri" w:cs="Calibri"/>
        </w:rPr>
        <w:tab/>
      </w:r>
      <w:r w:rsidRPr="00836F3C">
        <w:rPr>
          <w:rFonts w:ascii="Calibri" w:hAnsi="Calibri" w:cs="Calibri"/>
        </w:rPr>
        <w:tab/>
      </w:r>
      <w:r w:rsidRPr="00836F3C">
        <w:rPr>
          <w:rFonts w:ascii="Calibri" w:hAnsi="Calibri" w:cs="Calibri"/>
        </w:rPr>
        <w:tab/>
      </w:r>
      <w:r w:rsidRPr="00836F3C">
        <w:rPr>
          <w:rFonts w:ascii="Calibri" w:hAnsi="Calibri" w:cs="Calibri"/>
        </w:rPr>
        <w:tab/>
      </w:r>
      <w:r w:rsidRPr="00836F3C">
        <w:rPr>
          <w:rFonts w:ascii="Calibri" w:hAnsi="Calibri" w:cs="Calibri"/>
        </w:rPr>
        <w:tab/>
      </w:r>
      <w:r w:rsidRPr="00836F3C">
        <w:rPr>
          <w:rFonts w:ascii="Calibri" w:hAnsi="Calibri" w:cs="Calibri"/>
        </w:rPr>
        <w:tab/>
        <w:t>Wykonawca</w:t>
      </w:r>
    </w:p>
    <w:p w:rsidR="005C642A" w:rsidRPr="00932938" w:rsidRDefault="005C642A" w:rsidP="00AC447B">
      <w:pPr>
        <w:rPr>
          <w:sz w:val="16"/>
          <w:szCs w:val="16"/>
        </w:rPr>
      </w:pPr>
    </w:p>
    <w:sectPr w:rsidR="005C642A" w:rsidRPr="00932938" w:rsidSect="00FE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1E3"/>
    <w:multiLevelType w:val="multilevel"/>
    <w:tmpl w:val="679A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18AA"/>
    <w:multiLevelType w:val="hybridMultilevel"/>
    <w:tmpl w:val="CF6C0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8382D"/>
    <w:multiLevelType w:val="hybridMultilevel"/>
    <w:tmpl w:val="5B927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F5E65"/>
    <w:multiLevelType w:val="multilevel"/>
    <w:tmpl w:val="6F50D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4D4C0C"/>
    <w:multiLevelType w:val="hybridMultilevel"/>
    <w:tmpl w:val="BA48D9D8"/>
    <w:lvl w:ilvl="0" w:tplc="5932271C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66A98"/>
    <w:multiLevelType w:val="hybridMultilevel"/>
    <w:tmpl w:val="4F6C35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092BAF"/>
    <w:multiLevelType w:val="hybridMultilevel"/>
    <w:tmpl w:val="14DCAEBC"/>
    <w:lvl w:ilvl="0" w:tplc="26505758">
      <w:start w:val="10"/>
      <w:numFmt w:val="decimal"/>
      <w:lvlText w:val="%1.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472F6"/>
    <w:multiLevelType w:val="hybridMultilevel"/>
    <w:tmpl w:val="4EC8BB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0A6262"/>
    <w:multiLevelType w:val="hybridMultilevel"/>
    <w:tmpl w:val="4F48D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6586E"/>
    <w:multiLevelType w:val="hybridMultilevel"/>
    <w:tmpl w:val="16761C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00513"/>
    <w:multiLevelType w:val="multilevel"/>
    <w:tmpl w:val="6F50D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3627C10"/>
    <w:multiLevelType w:val="hybridMultilevel"/>
    <w:tmpl w:val="C27A39A2"/>
    <w:lvl w:ilvl="0" w:tplc="5868F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6A0999"/>
    <w:multiLevelType w:val="hybridMultilevel"/>
    <w:tmpl w:val="DD5EE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F7077"/>
    <w:multiLevelType w:val="hybridMultilevel"/>
    <w:tmpl w:val="CAFCBEC2"/>
    <w:lvl w:ilvl="0" w:tplc="FCF86BA0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81225"/>
    <w:multiLevelType w:val="multilevel"/>
    <w:tmpl w:val="6F50D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154AD7"/>
    <w:multiLevelType w:val="multilevel"/>
    <w:tmpl w:val="085E3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2E7488F"/>
    <w:multiLevelType w:val="multilevel"/>
    <w:tmpl w:val="FB243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3402BA5"/>
    <w:multiLevelType w:val="hybridMultilevel"/>
    <w:tmpl w:val="1A5CA3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686EAF"/>
    <w:multiLevelType w:val="hybridMultilevel"/>
    <w:tmpl w:val="950A4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24658"/>
    <w:multiLevelType w:val="hybridMultilevel"/>
    <w:tmpl w:val="F9D26F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C044D6"/>
    <w:multiLevelType w:val="hybridMultilevel"/>
    <w:tmpl w:val="CFDCB674"/>
    <w:lvl w:ilvl="0" w:tplc="308E38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1526B4"/>
    <w:multiLevelType w:val="hybridMultilevel"/>
    <w:tmpl w:val="177416B0"/>
    <w:lvl w:ilvl="0" w:tplc="255210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13E0B"/>
    <w:multiLevelType w:val="hybridMultilevel"/>
    <w:tmpl w:val="F4168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1F5C7B"/>
    <w:multiLevelType w:val="hybridMultilevel"/>
    <w:tmpl w:val="325C3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202948"/>
    <w:multiLevelType w:val="hybridMultilevel"/>
    <w:tmpl w:val="34447F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9F3028"/>
    <w:multiLevelType w:val="hybridMultilevel"/>
    <w:tmpl w:val="89A89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67E20"/>
    <w:multiLevelType w:val="hybridMultilevel"/>
    <w:tmpl w:val="5B927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3263B"/>
    <w:multiLevelType w:val="hybridMultilevel"/>
    <w:tmpl w:val="C3D2E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1A48BA"/>
    <w:multiLevelType w:val="hybridMultilevel"/>
    <w:tmpl w:val="F4EED97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7F6C2A0E"/>
    <w:multiLevelType w:val="hybridMultilevel"/>
    <w:tmpl w:val="CF76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21"/>
  </w:num>
  <w:num w:numId="4">
    <w:abstractNumId w:val="26"/>
  </w:num>
  <w:num w:numId="5">
    <w:abstractNumId w:val="8"/>
  </w:num>
  <w:num w:numId="6">
    <w:abstractNumId w:val="3"/>
  </w:num>
  <w:num w:numId="7">
    <w:abstractNumId w:val="2"/>
  </w:num>
  <w:num w:numId="8">
    <w:abstractNumId w:val="23"/>
  </w:num>
  <w:num w:numId="9">
    <w:abstractNumId w:val="22"/>
  </w:num>
  <w:num w:numId="10">
    <w:abstractNumId w:val="6"/>
  </w:num>
  <w:num w:numId="11">
    <w:abstractNumId w:val="17"/>
  </w:num>
  <w:num w:numId="12">
    <w:abstractNumId w:val="18"/>
  </w:num>
  <w:num w:numId="13">
    <w:abstractNumId w:val="0"/>
  </w:num>
  <w:num w:numId="14">
    <w:abstractNumId w:val="12"/>
  </w:num>
  <w:num w:numId="15">
    <w:abstractNumId w:val="15"/>
  </w:num>
  <w:num w:numId="16">
    <w:abstractNumId w:val="4"/>
  </w:num>
  <w:num w:numId="17">
    <w:abstractNumId w:val="11"/>
  </w:num>
  <w:num w:numId="18">
    <w:abstractNumId w:val="24"/>
  </w:num>
  <w:num w:numId="19">
    <w:abstractNumId w:val="10"/>
  </w:num>
  <w:num w:numId="20">
    <w:abstractNumId w:val="25"/>
  </w:num>
  <w:num w:numId="21">
    <w:abstractNumId w:val="1"/>
  </w:num>
  <w:num w:numId="22">
    <w:abstractNumId w:val="5"/>
  </w:num>
  <w:num w:numId="23">
    <w:abstractNumId w:val="29"/>
  </w:num>
  <w:num w:numId="24">
    <w:abstractNumId w:val="16"/>
  </w:num>
  <w:num w:numId="25">
    <w:abstractNumId w:val="30"/>
  </w:num>
  <w:num w:numId="26">
    <w:abstractNumId w:val="14"/>
  </w:num>
  <w:num w:numId="27">
    <w:abstractNumId w:val="31"/>
  </w:num>
  <w:num w:numId="28">
    <w:abstractNumId w:val="19"/>
  </w:num>
  <w:num w:numId="29">
    <w:abstractNumId w:val="20"/>
  </w:num>
  <w:num w:numId="30">
    <w:abstractNumId w:val="9"/>
  </w:num>
  <w:num w:numId="31">
    <w:abstractNumId w:val="27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32938"/>
    <w:rsid w:val="00012BB7"/>
    <w:rsid w:val="000172DA"/>
    <w:rsid w:val="000661F0"/>
    <w:rsid w:val="000743FE"/>
    <w:rsid w:val="000950B2"/>
    <w:rsid w:val="000B1D7F"/>
    <w:rsid w:val="000B4961"/>
    <w:rsid w:val="000E729A"/>
    <w:rsid w:val="00115F3D"/>
    <w:rsid w:val="001326FE"/>
    <w:rsid w:val="0020497B"/>
    <w:rsid w:val="0020689E"/>
    <w:rsid w:val="00257AB0"/>
    <w:rsid w:val="002923EB"/>
    <w:rsid w:val="003000E1"/>
    <w:rsid w:val="00301FFF"/>
    <w:rsid w:val="003201DA"/>
    <w:rsid w:val="00390922"/>
    <w:rsid w:val="003B5E52"/>
    <w:rsid w:val="003D1E59"/>
    <w:rsid w:val="003D1E5A"/>
    <w:rsid w:val="00453BCC"/>
    <w:rsid w:val="004820D8"/>
    <w:rsid w:val="004F70EF"/>
    <w:rsid w:val="00502976"/>
    <w:rsid w:val="00580CE6"/>
    <w:rsid w:val="005C642A"/>
    <w:rsid w:val="005F0403"/>
    <w:rsid w:val="00604311"/>
    <w:rsid w:val="006454BE"/>
    <w:rsid w:val="0066553B"/>
    <w:rsid w:val="006872FF"/>
    <w:rsid w:val="006C4E98"/>
    <w:rsid w:val="006D3C4B"/>
    <w:rsid w:val="00735BC3"/>
    <w:rsid w:val="00745E29"/>
    <w:rsid w:val="008777F7"/>
    <w:rsid w:val="008C2FFE"/>
    <w:rsid w:val="008E036E"/>
    <w:rsid w:val="008E54C5"/>
    <w:rsid w:val="00932938"/>
    <w:rsid w:val="00934584"/>
    <w:rsid w:val="00951E33"/>
    <w:rsid w:val="009B5908"/>
    <w:rsid w:val="009D37DE"/>
    <w:rsid w:val="00A870FD"/>
    <w:rsid w:val="00AC447B"/>
    <w:rsid w:val="00AC5EBD"/>
    <w:rsid w:val="00AC6E75"/>
    <w:rsid w:val="00BE5B0A"/>
    <w:rsid w:val="00CB6A14"/>
    <w:rsid w:val="00E318DC"/>
    <w:rsid w:val="00E31E5D"/>
    <w:rsid w:val="00E63965"/>
    <w:rsid w:val="00E846A8"/>
    <w:rsid w:val="00ED036D"/>
    <w:rsid w:val="00ED1343"/>
    <w:rsid w:val="00FE48A4"/>
    <w:rsid w:val="00FF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12BB7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0743FE"/>
    <w:pPr>
      <w:widowControl w:val="0"/>
      <w:autoSpaceDE w:val="0"/>
      <w:autoSpaceDN w:val="0"/>
      <w:adjustRightInd w:val="0"/>
      <w:spacing w:after="0" w:line="444" w:lineRule="exact"/>
      <w:jc w:val="center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642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C642A"/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rsid w:val="005C642A"/>
  </w:style>
  <w:style w:type="character" w:styleId="Odwoaniedokomentarza">
    <w:name w:val="annotation reference"/>
    <w:basedOn w:val="Domylnaczcionkaakapitu"/>
    <w:uiPriority w:val="99"/>
    <w:semiHidden/>
    <w:unhideWhenUsed/>
    <w:rsid w:val="000B4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9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9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9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BB7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0743FE"/>
    <w:pPr>
      <w:widowControl w:val="0"/>
      <w:autoSpaceDE w:val="0"/>
      <w:autoSpaceDN w:val="0"/>
      <w:adjustRightInd w:val="0"/>
      <w:spacing w:after="0" w:line="444" w:lineRule="exact"/>
      <w:jc w:val="center"/>
    </w:pPr>
    <w:rPr>
      <w:rFonts w:ascii="Arial Unicode MS" w:eastAsia="Arial Unicode MS" w:hAnsi="Calibri" w:cs="Arial Unicode MS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70B7-21AA-413C-B00E-5E2CCC76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1864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ap4</cp:lastModifiedBy>
  <cp:revision>2</cp:revision>
  <cp:lastPrinted>2024-04-03T11:48:00Z</cp:lastPrinted>
  <dcterms:created xsi:type="dcterms:W3CDTF">2024-05-06T10:22:00Z</dcterms:created>
  <dcterms:modified xsi:type="dcterms:W3CDTF">2024-05-06T10:22:00Z</dcterms:modified>
</cp:coreProperties>
</file>