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9425" w14:textId="352E186F" w:rsidR="003F02B2" w:rsidRPr="00DE7C9D" w:rsidRDefault="007C379F" w:rsidP="00C51907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E7C9D">
        <w:rPr>
          <w:rFonts w:cstheme="minorHAnsi"/>
          <w:b/>
          <w:sz w:val="26"/>
          <w:szCs w:val="26"/>
        </w:rPr>
        <w:t>Kryt</w:t>
      </w:r>
      <w:r w:rsidR="00345D00" w:rsidRPr="00DE7C9D">
        <w:rPr>
          <w:rFonts w:cstheme="minorHAnsi"/>
          <w:b/>
          <w:sz w:val="26"/>
          <w:szCs w:val="26"/>
        </w:rPr>
        <w:t>eria równoważności</w:t>
      </w:r>
    </w:p>
    <w:p w14:paraId="4BC7C606" w14:textId="77777777" w:rsidR="00B92B78" w:rsidRPr="00B92B78" w:rsidRDefault="00B92B78" w:rsidP="00B92B78">
      <w:pPr>
        <w:keepNext/>
        <w:numPr>
          <w:ilvl w:val="0"/>
          <w:numId w:val="38"/>
        </w:numPr>
        <w:suppressAutoHyphens/>
        <w:spacing w:after="0" w:line="240" w:lineRule="auto"/>
        <w:ind w:left="284" w:hanging="284"/>
        <w:contextualSpacing/>
        <w:jc w:val="both"/>
        <w:outlineLvl w:val="1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sz w:val="20"/>
          <w:szCs w:val="20"/>
          <w:lang w:eastAsia="zh-CN"/>
        </w:rPr>
        <w:t>Wymagania dotyczące parametrów ulicznych opraw oświetleniowych.</w:t>
      </w:r>
    </w:p>
    <w:p w14:paraId="4A04B5A9" w14:textId="77777777" w:rsidR="00B92B78" w:rsidRPr="00B92B78" w:rsidRDefault="00B92B78" w:rsidP="00B92B78">
      <w:pPr>
        <w:keepNext/>
        <w:suppressAutoHyphens/>
        <w:spacing w:after="0" w:line="240" w:lineRule="auto"/>
        <w:ind w:left="567"/>
        <w:contextualSpacing/>
        <w:jc w:val="both"/>
        <w:outlineLvl w:val="1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31B9FA4C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zh-CN"/>
        </w:rPr>
        <w:t>Oprawy należy dobrać dla danych sytuacji oświetleniowych, przyjmując parametry drogowe oraz klasę oświetleniową zgodną z załączonymi obliczeniami oświetleniowymi. Oprawy oświetleniowe typu LED o charakterystyce ulicznej muszą mieć obudowy w kolorze ciemno szarym i charakteryzować się parametrami nie gorszymi niż</w:t>
      </w: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14:paraId="46C410A6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moc opraw nie może przekraczać mocy podanych dla poszczególnych sytuacji oświetleniowych,</w:t>
      </w:r>
    </w:p>
    <w:p w14:paraId="6ABF7E61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Hlk138420471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posiadać II klasę ochrony przeciwporażeniowej,</w:t>
      </w:r>
    </w:p>
    <w:bookmarkEnd w:id="0"/>
    <w:p w14:paraId="4F60336B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obudowy opraw muszą być wykonane jako ciśnieniowy odlew aluminiowy,</w:t>
      </w:r>
    </w:p>
    <w:p w14:paraId="38A16417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posiadać stopień ochrony przed wnikaniem pyłu i wody nie mniejszy niż IP66 potwierdzony certyfikatem ENEC,</w:t>
      </w:r>
    </w:p>
    <w:p w14:paraId="2289A67E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klosze opraw muszą być wykonane z hartowanego szkła,</w:t>
      </w:r>
    </w:p>
    <w:p w14:paraId="15C4E4FA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odporność opraw na udary musi być na poziomie nie mniejszym niż IK09, potwierdzona certyfikatem ENEC,</w:t>
      </w:r>
    </w:p>
    <w:p w14:paraId="3D90FCF3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być wyposażone w zewnętrzny radiator rozpraszający ciepło emitowane przez diody LED, którego konstrukcja umożliwi swobodne odprowadzanie wody i brudu osadzającego się na oprawie - dopuszcza się tylko rozwiązania z chłodzeniem pasywnym,</w:t>
      </w:r>
    </w:p>
    <w:p w14:paraId="7E44BD9B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uchwyt mocujący oprawy musi umożliwiać montaż oprawy na słupie lub wysięgniku o średnicy od 48mm do 60mm oraz regulację pochylenia oprawy w zakresie nie mniejszym niż od -10° do +10°, </w:t>
      </w:r>
    </w:p>
    <w:p w14:paraId="2E2AE084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wyposażone w panel LED złożony z diod muszą emitować światło o nominalnej temperaturze barwowej 4000K +/-250K oraz wskaźniku oddawania barw Ra nie mniejszym niż 70,</w:t>
      </w:r>
    </w:p>
    <w:p w14:paraId="3DF3EF83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oprawy muszą posiadać trwałość użytkową nie mniejszą niż 100 000 godzin pracy, przy zachowaniu strumienia świetlnego na poziomie nie mniejszym niż 90% strumienia nominalnego - L90, </w:t>
      </w:r>
    </w:p>
    <w:p w14:paraId="523839F9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być wyposażone w grupę soczewek kształtujących rozsył światła, w którym każda dioda na panelu LED posiada indywidualny element optyczny o takiej samej charakterystyce, w celu wyeliminowania możliwości zmiany rozsyłu światła w przypadku przepalenia się którejkolwiek z diod; w takiej sytuacji zmianie może ulec jedynie strumień świetlny emitowany przez oprawę, a nie jej rozsył światła (warunek zachowanie równomierności oświetlenia na całej powierzchni oświetlanej)</w:t>
      </w:r>
    </w:p>
    <w:p w14:paraId="5214E6F0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oprawy muszą być wyposażone w programowane zasilacze, wyposażone w interfejs D4i umożliwiające płynną regulację mocy opraw w zakresie od 20% do 100% mocy nominalnej z dokładnością do 1% oraz pozwalające na zaprogramowanie minimum 5 poziomów mocy opraw w pracy autonomicznej w dowolnych przedziałach czasowych z dokładnością do 1 minuty, </w:t>
      </w:r>
    </w:p>
    <w:p w14:paraId="06EC6B18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 zakresie regulacji mocy opraw od 50% do 100% ich mocy nominalnej, cos </w:t>
      </w:r>
      <w:r w:rsidRPr="00B92B7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φ</w:t>
      </w: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dla oprawy z modułem komunikacyjnym nie może być mniejszy niż 0,90 a współczynnik zawartości harmonicznych THD musi być mniejszy niż 25%,</w:t>
      </w:r>
    </w:p>
    <w:p w14:paraId="36D52C65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oprawy muszą posiadać dwa gniazda </w:t>
      </w:r>
      <w:proofErr w:type="spellStart"/>
      <w:r w:rsidRPr="00B92B7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Zhaga</w:t>
      </w:r>
      <w:proofErr w:type="spellEnd"/>
      <w:r w:rsidRPr="00B92B7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Book18</w:t>
      </w:r>
    </w:p>
    <w:p w14:paraId="2B14ECC5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oprawy z gniazdami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Zhaga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Book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18 muszą posiadać certyfikat </w:t>
      </w:r>
      <w:r w:rsidRPr="00B92B78">
        <w:rPr>
          <w:rFonts w:ascii="Calibri" w:eastAsia="Times New Roman" w:hAnsi="Calibri" w:cs="Calibri"/>
          <w:sz w:val="20"/>
          <w:szCs w:val="20"/>
          <w:lang w:eastAsia="zh-CN"/>
        </w:rPr>
        <w:t xml:space="preserve">ZD4i wydany przez konsorcjum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zh-CN"/>
        </w:rPr>
        <w:t>Zhaga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zh-CN"/>
        </w:rPr>
        <w:t>,</w:t>
      </w:r>
    </w:p>
    <w:p w14:paraId="5CCBFF61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zasilacze zainstalowane w oprawach muszą umożliwiać odczyt czasu pracy danej oprawy oraz jej zużycie energii elektrycznej,</w:t>
      </w:r>
    </w:p>
    <w:p w14:paraId="191126D3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być przystosowane do współpracy ze sterownikami umożliwiającymi obustronną komunikację z systemem sterowania oświetleniem</w:t>
      </w:r>
    </w:p>
    <w:p w14:paraId="420B266C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dostęp do komory elektrycznej oprawy musi być możliwy bez użycia narzędzi, nie dopuszcza się stosowania śrub z nakrętkami motylkowymi itp. wszelkie elementy służące do zamykania opraw winny być wykonane ze stali nierdzewnej lub materiału z którego wykonany jest korpus oprawy – aluminiowy odlew ciśnieniowy,</w:t>
      </w:r>
    </w:p>
    <w:p w14:paraId="40CDD8CC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zamawiający dopuszcza oprawy w których do zamknięcia/otwarcia komory elektrycznej używa się śrub ze stali nierdzewnej zlokalizowanych wyłącznie od dołu oprawy tak aby uniemożliwić gromadzenie się wody lub zanieczyszczeń</w:t>
      </w:r>
    </w:p>
    <w:p w14:paraId="3402E29A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zakres temperatury otoczenia pracy oprawy nie może być mniejszy niż od -30°C do +35°C, </w:t>
      </w:r>
    </w:p>
    <w:p w14:paraId="6DBBF546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zasilacze opraw muszą być wyposażone w czujniki termiczne zabezpieczające zasilacz przed przegrzaniem,</w:t>
      </w:r>
    </w:p>
    <w:p w14:paraId="5EBD7BA2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panele LED opraw muszą być wyposażone w kostki przyłączeniowe, które w razie awarii muszą umożliwiać ich szybką wymianę,</w:t>
      </w:r>
    </w:p>
    <w:p w14:paraId="263CE3C6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wszystkie elementy oprawy między innymi: zasilacze, moduły zabezpieczeń przeciwprzepięciowych, elementy pozwalające na komunikację oprawy z systemem zarządzania muszą być zintegrowane z oprawą, jednocześnie zamawiający nie wymaga, aby moduły sterowania pochodziły od tego samego producenta co oprawy,</w:t>
      </w:r>
    </w:p>
    <w:p w14:paraId="08FAE851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zh-CN"/>
        </w:rPr>
        <w:t>ochrona przed przepięciami musi być na poziomie minimum 6kV,</w:t>
      </w:r>
    </w:p>
    <w:p w14:paraId="1CAF268C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posiadać certyfikat CE,</w:t>
      </w:r>
    </w:p>
    <w:p w14:paraId="06668867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oprawy muszą posiadać certyfikat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ROHs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268B8C18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posiadać certyfikat ENEC oraz ENEC+ potwierdzone raportami badań przez akredytowane laboratorium,</w:t>
      </w:r>
    </w:p>
    <w:p w14:paraId="528A42CB" w14:textId="77777777" w:rsidR="00B92B78" w:rsidRPr="00B92B78" w:rsidRDefault="00B92B78" w:rsidP="00B92B78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wszystkie oprawy uliczne montowane w ramach przedmiotu umowy muszą pochodzić od jednego producenta z jednej rodziny/serii opraw, tzn. muszą być tego samego typu, dopuszcza się zróżnicowanie wielkości opraw wynikającą z ich różnej mocy.</w:t>
      </w:r>
    </w:p>
    <w:p w14:paraId="1D3149ED" w14:textId="77777777" w:rsidR="00B92B78" w:rsidRPr="00B92B78" w:rsidRDefault="00B92B78" w:rsidP="00B92B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6EDDD52" w14:textId="77777777" w:rsidR="00B92B78" w:rsidRPr="00B92B78" w:rsidRDefault="00B92B78" w:rsidP="00B92B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Przedstawiciel Zamawiającego będzie miał prawo przed przystąpieniem do montażu opraw oraz w dowolnym momencie realizacji przedmiotu umowy, do żądania przekazania przez Wykonawcę wybranych opraw w celu ich przebadania i potwierdzenia zgodności parametrów montowanych opraw z wymaganiami oraz deklaracjami producenta.</w:t>
      </w:r>
    </w:p>
    <w:p w14:paraId="6E504C8E" w14:textId="77777777" w:rsidR="00B92B78" w:rsidRPr="00B92B78" w:rsidRDefault="00B92B78" w:rsidP="00B92B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Po zamontowaniu opraw na żądanie Zamawiającego, Wykonawca zobowiązany jest do wykonania przy jego współudziale, w terminie z nim uzgodnionym, pomiarów prądów obciążenia poszczególnych obwodów oświetleniowych w układach zasilania objętych przedmiotem umowy.</w:t>
      </w:r>
    </w:p>
    <w:p w14:paraId="1995E584" w14:textId="77777777" w:rsidR="00B92B78" w:rsidRPr="00B92B78" w:rsidRDefault="00B92B78" w:rsidP="00B92B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9CC2E5"/>
          <w:sz w:val="20"/>
          <w:szCs w:val="20"/>
          <w:lang w:eastAsia="zh-CN"/>
        </w:rPr>
      </w:pPr>
    </w:p>
    <w:p w14:paraId="2692AB3B" w14:textId="77777777" w:rsidR="00B92B78" w:rsidRPr="00B92B78" w:rsidRDefault="00B92B78" w:rsidP="00B92B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trike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Parametry elektryczne opraw będą weryfikowane przez Zamawiającego w okresie minimum 5 lat od dnia dokonania odbioru technicznego wykonanych robót.</w:t>
      </w:r>
    </w:p>
    <w:p w14:paraId="63BFCBB3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9CC2E5"/>
          <w:sz w:val="20"/>
          <w:szCs w:val="20"/>
          <w:lang w:eastAsia="pl-PL"/>
        </w:rPr>
      </w:pPr>
    </w:p>
    <w:p w14:paraId="4FF686FD" w14:textId="77777777" w:rsidR="00B92B78" w:rsidRPr="00B92B78" w:rsidRDefault="00B92B78" w:rsidP="00B92B78">
      <w:pPr>
        <w:keepNext/>
        <w:numPr>
          <w:ilvl w:val="0"/>
          <w:numId w:val="38"/>
        </w:numPr>
        <w:suppressAutoHyphens/>
        <w:spacing w:after="0" w:line="240" w:lineRule="auto"/>
        <w:ind w:left="284" w:hanging="284"/>
        <w:contextualSpacing/>
        <w:jc w:val="both"/>
        <w:outlineLvl w:val="1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sz w:val="20"/>
          <w:szCs w:val="20"/>
          <w:lang w:eastAsia="zh-CN"/>
        </w:rPr>
        <w:t>Wymagania fotometryczne dla opraw oświetleniowych dla wszystkich lokalizacji przedmiotu zamówienia.</w:t>
      </w:r>
    </w:p>
    <w:p w14:paraId="3FA58681" w14:textId="77777777" w:rsidR="00B92B78" w:rsidRPr="00B92B78" w:rsidRDefault="00B92B78" w:rsidP="00B92B78">
      <w:pPr>
        <w:keepNext/>
        <w:keepLines/>
        <w:suppressAutoHyphens/>
        <w:spacing w:after="0" w:line="240" w:lineRule="auto"/>
        <w:ind w:left="709"/>
        <w:contextualSpacing/>
        <w:jc w:val="both"/>
        <w:outlineLvl w:val="2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4C25E099" w14:textId="77777777" w:rsidR="00B92B78" w:rsidRPr="00B92B78" w:rsidRDefault="00B92B78" w:rsidP="00B92B7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oprawy muszą posiadać optyki o charakterystyce zapewniającej spełnienie wymagań Normy PN-EN 13201:2016 dla poszczególnych sytuacji drogowych na danych ulicach określonych w </w:t>
      </w:r>
      <w:r w:rsidRPr="00B92B7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załączniku nr 3 </w:t>
      </w: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do opisu technicznego,</w:t>
      </w:r>
    </w:p>
    <w:p w14:paraId="64263056" w14:textId="77777777" w:rsidR="00B92B78" w:rsidRPr="00B92B78" w:rsidRDefault="00B92B78" w:rsidP="00B92B7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oprawy należy montować względem poziomu pod kątem wynikającym z poszczególnych obliczeń fotometrycznych wykonanych zgodnie z Polską Normą PN-EN 13201:2016 dla wszystkich sytuacji oświetleniowych zgodnie z </w:t>
      </w:r>
      <w:r w:rsidRPr="00B92B78">
        <w:rPr>
          <w:rFonts w:ascii="Calibri" w:eastAsia="Times New Roman" w:hAnsi="Calibri" w:cs="Calibri"/>
          <w:b/>
          <w:sz w:val="20"/>
          <w:szCs w:val="20"/>
          <w:lang w:eastAsia="pl-PL"/>
        </w:rPr>
        <w:t>załącznikiem nr 3</w:t>
      </w: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do OPZ.</w:t>
      </w:r>
    </w:p>
    <w:p w14:paraId="28193C85" w14:textId="77777777" w:rsidR="00B92B78" w:rsidRPr="00B92B78" w:rsidRDefault="00B92B78" w:rsidP="00B92B7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na potwierdzenie spełnienia warunku określonego w pkt. 1 Wykonawca zobowiązany jest złożyć wraz z ofertą w ramach przedmiotowych środków dowodowych obliczenia o których mowa w rozdz. III ust 3 pkt 2 SWZ.   </w:t>
      </w:r>
    </w:p>
    <w:p w14:paraId="6B3375A8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9CC2E5"/>
          <w:sz w:val="20"/>
          <w:szCs w:val="20"/>
          <w:lang w:eastAsia="pl-PL"/>
        </w:rPr>
      </w:pPr>
    </w:p>
    <w:p w14:paraId="3035A8D7" w14:textId="77777777" w:rsidR="00B92B78" w:rsidRPr="00B92B78" w:rsidRDefault="00B92B78" w:rsidP="00B92B78">
      <w:pPr>
        <w:keepNext/>
        <w:numPr>
          <w:ilvl w:val="0"/>
          <w:numId w:val="38"/>
        </w:numPr>
        <w:suppressAutoHyphens/>
        <w:spacing w:after="0" w:line="240" w:lineRule="auto"/>
        <w:ind w:left="284" w:hanging="284"/>
        <w:contextualSpacing/>
        <w:jc w:val="both"/>
        <w:outlineLvl w:val="1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sz w:val="20"/>
          <w:szCs w:val="20"/>
          <w:lang w:eastAsia="zh-CN"/>
        </w:rPr>
        <w:t>Wymagania dotyczące systemu zdalnego zarządzania oprawami zaimplementowanego do każdej oprawy LED – warstwa sprzętowa</w:t>
      </w:r>
    </w:p>
    <w:p w14:paraId="159B0EDC" w14:textId="77777777" w:rsidR="00B92B78" w:rsidRPr="00B92B78" w:rsidRDefault="00B92B78" w:rsidP="00B92B78">
      <w:pPr>
        <w:keepNext/>
        <w:suppressAutoHyphens/>
        <w:spacing w:after="0" w:line="240" w:lineRule="auto"/>
        <w:ind w:left="284"/>
        <w:contextualSpacing/>
        <w:jc w:val="both"/>
        <w:outlineLvl w:val="1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</w:p>
    <w:p w14:paraId="7895BDB9" w14:textId="77777777" w:rsidR="00B92B78" w:rsidRPr="00B92B78" w:rsidRDefault="00B92B78" w:rsidP="00B92B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Oferowane przez Wykonawcę oprawy typu LED muszą posiadać zaimplementowany wewnątrz oprawy system zdalnego zarządzania ich parametrami (z wyjątkiem przypadku opisanego dla opraw stylizowanych).</w:t>
      </w:r>
    </w:p>
    <w:p w14:paraId="239C5E11" w14:textId="77777777" w:rsidR="00B92B78" w:rsidRPr="00B92B78" w:rsidRDefault="00B92B78" w:rsidP="00B92B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System zdalnego zarządzania musi być systemem otwartym. </w:t>
      </w:r>
    </w:p>
    <w:p w14:paraId="40D16F64" w14:textId="77777777" w:rsidR="00B92B78" w:rsidRPr="00B92B78" w:rsidRDefault="00B92B78" w:rsidP="00B92B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B92B7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  <w:t xml:space="preserve">Oferowany system zarządzania musi być systemem funkcjonującym na terenie Unii Europejskiej w którym zaimplementowane jest co najmniej 15 tys. opraw oświetleniowych LED </w:t>
      </w:r>
      <w:r w:rsidRPr="00B92B78">
        <w:rPr>
          <w:rFonts w:ascii="Times New Roman" w:eastAsia="Times New Roman" w:hAnsi="Times New Roman" w:cs="Calibri"/>
          <w:b/>
          <w:bCs/>
          <w:color w:val="000000"/>
          <w:sz w:val="20"/>
          <w:szCs w:val="20"/>
          <w:lang w:eastAsia="zh-CN"/>
        </w:rPr>
        <w:t>(w różnych lokalizacjach)</w:t>
      </w:r>
      <w:r w:rsidRPr="00B92B7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zh-CN"/>
        </w:rPr>
        <w:t xml:space="preserve"> </w:t>
      </w:r>
      <w:r w:rsidRPr="00B92B7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  <w:t>z  możliwością zdalnego zarządzania. Powyższe musi wynikać z informacji przedłożonych w  ramach przedmiotowych środków dowodowych dotyczących systemu.</w:t>
      </w:r>
    </w:p>
    <w:p w14:paraId="3DAB3887" w14:textId="77777777" w:rsidR="00B92B78" w:rsidRPr="00B92B78" w:rsidRDefault="00B92B78" w:rsidP="00B92B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Wymagana jest możliwość realizacji przez system nadrzędny minimum funkcji ręcznego sterowania oprawą, zmiany profilu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mocowego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oprawy, o</w:t>
      </w:r>
      <w:r w:rsidRPr="00B92B78">
        <w:rPr>
          <w:rFonts w:ascii="Calibri" w:eastAsia="Times New Roman" w:hAnsi="Calibri" w:cs="Calibri"/>
          <w:color w:val="000000"/>
          <w:sz w:val="20"/>
          <w:szCs w:val="20"/>
        </w:rPr>
        <w:t>dczyt danych rejestrowanych przez sterownik (prąd, napięcie, moc, czas włączenia/wyłączenia oprawy)</w:t>
      </w:r>
    </w:p>
    <w:p w14:paraId="6CA46DC7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Poza tym system zdalnego zarządzania oprawami musi umożliwiać:</w:t>
      </w:r>
    </w:p>
    <w:p w14:paraId="7B146A38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zdalny nadzór przez sieć internetową z poziomu przeglądarki internetowej – bez konieczności instalowania dodatkowego oprogramowania,</w:t>
      </w:r>
    </w:p>
    <w:p w14:paraId="593BDB28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załączenie i wyłączenie poszczególnych, wybranych (pojedynczych) opraw w dowolnym czasie,</w:t>
      </w:r>
    </w:p>
    <w:p w14:paraId="68536E43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ustawienie poziomu mocy i czasu redukcji mocy dla poszczególnych opraw i definiowalnych grup opraw w zakresach i z dokładnością nie mniejszą niż określone w wymaganiach dla opraw,</w:t>
      </w:r>
    </w:p>
    <w:p w14:paraId="63B9ED49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monitorowanie parametrów elektrycznych poszczególnych opraw,</w:t>
      </w:r>
    </w:p>
    <w:p w14:paraId="6ED0E767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wykrywanie i raportowanie uszkodzeń poszczególnych opraw w sposób zdalny,</w:t>
      </w:r>
    </w:p>
    <w:p w14:paraId="5F4A4B1C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pomiar energii elektrycznej zużywanej przez poszczególne oprawy i definiowalne grupy opraw,</w:t>
      </w:r>
    </w:p>
    <w:p w14:paraId="40305234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system sterowania umożliwia integrację z systemami nadrzędnymi, za pośrednictwem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interface’u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API, mogącymi w oparciu o dane z innych systemów pomiarowych zarządzać zdalnie oprawami.</w:t>
      </w:r>
    </w:p>
    <w:p w14:paraId="18CE7759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ewentualne koszty funkcjonowania zaimplementowanego systemu zdalnego zarządzania w oprawach oraz koszty korzystania z warstwy informatycznej systemu winny być wliczone w cenę oprawy LED bez dodatkowych opłat przez okres minimum 10 lat</w:t>
      </w:r>
    </w:p>
    <w:p w14:paraId="43C55EBC" w14:textId="77777777" w:rsidR="00B92B78" w:rsidRPr="00B92B78" w:rsidRDefault="00B92B78" w:rsidP="00B92B78">
      <w:pPr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system musi opierać się na komunikacji bezprzewodowej, gwarantującej niezakłóconą pracę całości systemu. System sterowania oświetleniem musi być w stanie pracować zarówno w trybie autonomicznym (załączać oświetlenie po zachodzie słońca i wyłączać przed wschodem słońca – pod warunkiem podanego napięcia zasilającego oprawy) jak również w obecności zewnętrznym urządzeń sterujących np. zegarów astronomicznych.</w:t>
      </w:r>
    </w:p>
    <w:p w14:paraId="05D01E21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9CC2E5"/>
          <w:sz w:val="20"/>
          <w:szCs w:val="20"/>
          <w:lang w:eastAsia="pl-PL"/>
        </w:rPr>
      </w:pPr>
    </w:p>
    <w:p w14:paraId="1C208493" w14:textId="77777777" w:rsidR="00B92B78" w:rsidRPr="00B92B78" w:rsidRDefault="00B92B78" w:rsidP="00B92B78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b/>
          <w:sz w:val="20"/>
          <w:szCs w:val="20"/>
          <w:lang w:eastAsia="pl-PL"/>
        </w:rPr>
        <w:t>Wymagania dotyczące warstwy informatycznej zaimplementowanego w oprawach zdalnego systemu zarządzania oświetleniem</w:t>
      </w:r>
    </w:p>
    <w:p w14:paraId="268AB1CD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1D3DA5E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Platforma informatyczna – aplikacja internetowa (strona internetowa WWW) zlokalizowana w chmurze internetowej, służąca do zarządzania oświetleniem. </w:t>
      </w:r>
    </w:p>
    <w:p w14:paraId="276D1A46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Wymagana funkcjonalność warstwy informatycznej:</w:t>
      </w:r>
    </w:p>
    <w:p w14:paraId="1F95A5E8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polski język interfejsu,</w:t>
      </w:r>
    </w:p>
    <w:p w14:paraId="4B0A6AC8" w14:textId="77777777" w:rsid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bezpośrednia komunikacja modułów komunikacyjnych w oprawie z serwerami systemu, z pominięciem dodatkowych elementów pośredniczących w przesyłaniu sygnału (tj. komunikacja pomiędzy modułem komunikacyjnym montowanym w oprawie na gnieździe </w:t>
      </w:r>
      <w:proofErr w:type="spellStart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Zhaga</w:t>
      </w:r>
      <w:proofErr w:type="spellEnd"/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 poprzez sieć GSM bezpośrednio z systemem zarządzania „w chmurze”),</w:t>
      </w:r>
    </w:p>
    <w:p w14:paraId="69AF48A8" w14:textId="77777777" w:rsidR="00B92B78" w:rsidRPr="00B92B78" w:rsidRDefault="00B92B78" w:rsidP="00B27E2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zmawiający dopuszcza system sterowania opierający się na topologii siatki (typu MESH) gdzie poza modułami komunikacyjnymi wyposażonymi w karty SIM występują również moduły MESH  pod warunkiem zachowania pełnej funkcjonalności systemu zarzadzania oraz opraw</w:t>
      </w:r>
    </w:p>
    <w:p w14:paraId="0483323F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graficzna prezentacja pracy poszczególnych elementów systemu na mapie przestrzennej zgodnie z ich współrzędnymi geograficznymi,</w:t>
      </w:r>
    </w:p>
    <w:p w14:paraId="382B4CDD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tworzenia dowolnych grup punktów świetlnych w formie „drzewa”(np.: z podziałem na właścicieli, gminy, ulice, układy zasilania, osiedla, nazwy inwestycji itp.),</w:t>
      </w:r>
    </w:p>
    <w:p w14:paraId="70309A0A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monitorowanie i podgląd mocy poszczególnych opraw,</w:t>
      </w:r>
    </w:p>
    <w:p w14:paraId="13927715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regulacji mocy opraw w przedziale i z dokładnością przewidzianą w wymaganiach dla opraw,</w:t>
      </w:r>
    </w:p>
    <w:p w14:paraId="74EF276F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pomiar zużytej energii przez poszczególne opraw jak również przez definiowalne grupy opraw,</w:t>
      </w:r>
    </w:p>
    <w:p w14:paraId="15C8C01E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odczytu zużytej energii przez pojedyncze punkty świetlne, grupy punktów świetlnych jak i przez całą instalację w określonych przedziałach czasu,</w:t>
      </w:r>
    </w:p>
    <w:p w14:paraId="517EFCDD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podgląd historycznych czasów załączania i wyłączania poszczególnych opraw,</w:t>
      </w:r>
    </w:p>
    <w:p w14:paraId="0FB78C72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wysyłanie wybranych przez użytkownika informacji o awariach i innych zdarzeniach alarmowych mailem na wskazane adresy pocztowe użytkowników,</w:t>
      </w:r>
    </w:p>
    <w:p w14:paraId="0F93A2F2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dodawania załączników w postaci plików do poszczególnych opraw,</w:t>
      </w:r>
    </w:p>
    <w:p w14:paraId="2DDED3DD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eksportu danych i raportów do plików XLS lub XLSX lub CSV,</w:t>
      </w:r>
    </w:p>
    <w:p w14:paraId="587296BB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definiowania w systemie własnych typów opraw,</w:t>
      </w:r>
    </w:p>
    <w:p w14:paraId="3F0D6EC8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definiowania dowolnej ilości kalendarzy czasów załączania i wyłączania, przerw nocnych, oraz powtarzających się w ciągu roku wyjątków (n.: święta) dla poszczególnych opraw oraz definiowalnych grup opraw,</w:t>
      </w:r>
    </w:p>
    <w:p w14:paraId="015FC940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automatyczne pozycjonowanie opraw na mapie wg modułu GPS umieszczonego w module zdalnego zarządzania,</w:t>
      </w:r>
    </w:p>
    <w:p w14:paraId="52B84084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ręcznej zmiany pozycjonowania poszczególnych opraw,</w:t>
      </w:r>
    </w:p>
    <w:p w14:paraId="018FDE80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określanie przedziałów czasowych występowania redukcji mocy z dokładnością przewidziana w wymaganiach dla opraw, </w:t>
      </w:r>
    </w:p>
    <w:p w14:paraId="07578B93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przypisania każdemu punktowi świetlnemu, grupie punktów świetlnych, czy obszarowi indywidualnego kalendarza pracy,</w:t>
      </w:r>
    </w:p>
    <w:p w14:paraId="44924D49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odczytywania nr seryjnych opraw (jeśli oprawy posiadają takie numery),</w:t>
      </w:r>
    </w:p>
    <w:p w14:paraId="3BABC86B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filtrowania danych w systemie poprzez filtry definiowane przez użytkownika,</w:t>
      </w:r>
    </w:p>
    <w:p w14:paraId="48347967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dodania minimum 150 użytkowników systemu bez ograniczenia ilości jednoczesnych logowań,</w:t>
      </w:r>
    </w:p>
    <w:p w14:paraId="202237AA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możliwość nadawania poszczególnym użytkownikom poziomów uprawnień,</w:t>
      </w:r>
    </w:p>
    <w:p w14:paraId="5BBE4707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bezpieczeństwo transmisji danych poprzez zabezpieczenie interakcji użytkowników z  platformą za pomocą połączenia szyfrowanego,</w:t>
      </w:r>
    </w:p>
    <w:p w14:paraId="2DB7C251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platforma informatyczna ma być utrzymywana i wspierana przez dostawcę w okresie co najmniej 10 lat od uruchomienia instalacji. </w:t>
      </w:r>
    </w:p>
    <w:p w14:paraId="7DA6710B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gromadzone na platformie dane muszą być własnością Zamawiającego, a jej dostawca winien zapewnić ich przechowywanie począwszy od dnia od ich powstania do dnia rezygnacji korzystania z platformy przez Zamawiającego. </w:t>
      </w:r>
    </w:p>
    <w:p w14:paraId="754BA81B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gromadzone dane muszą być regularnie zachowywane w kopiach zapasowych w celu ich odtworzenia w przypadku awarii serwera głównego platformy.</w:t>
      </w:r>
    </w:p>
    <w:p w14:paraId="727D1069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platforma informatyczna musi być aktualizowana na bieżąco przez dostawcę platformy do powszechnie dostępnych przeglądarek internetowych</w:t>
      </w:r>
    </w:p>
    <w:p w14:paraId="42EB8F0B" w14:textId="77777777" w:rsidR="00B92B78" w:rsidRPr="00B92B78" w:rsidRDefault="00B92B78" w:rsidP="00B92B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dane w systemie muszą być zabezpieczone przed dostępem osób nieuprawnionych</w:t>
      </w:r>
    </w:p>
    <w:p w14:paraId="61DB7F6C" w14:textId="77777777" w:rsidR="00B92B78" w:rsidRPr="00B92B78" w:rsidRDefault="00B92B78" w:rsidP="00B92B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B437B0" w14:textId="77777777" w:rsidR="00B92B78" w:rsidRPr="00B92B78" w:rsidRDefault="00B92B78" w:rsidP="00B92B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>W przypadku upływu gwarantowanego czasu dostępu do danych (10 lat), oprawy oświetleniowe automatycznie pozostaną w trybie redukcji mocy przypisanej bezpośrednio przed upływem ww. czasu.</w:t>
      </w:r>
    </w:p>
    <w:p w14:paraId="68C93287" w14:textId="77777777" w:rsidR="00B92B78" w:rsidRP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9CC2E5"/>
          <w:sz w:val="20"/>
          <w:szCs w:val="20"/>
          <w:lang w:eastAsia="pl-PL"/>
        </w:rPr>
      </w:pPr>
    </w:p>
    <w:p w14:paraId="09A44BD9" w14:textId="77777777" w:rsidR="00B92B78" w:rsidRDefault="00B92B78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2B78">
        <w:rPr>
          <w:rFonts w:ascii="Calibri" w:eastAsia="Times New Roman" w:hAnsi="Calibri" w:cs="Calibri"/>
          <w:sz w:val="20"/>
          <w:szCs w:val="20"/>
          <w:lang w:eastAsia="pl-PL"/>
        </w:rPr>
        <w:t xml:space="preserve">Po stronie Wykonawcy leży obowiązek wprowadzenia do systemu, atrybutów poszczególnych opraw oświetleniowych w szczególności parametry techniczne opraw. </w:t>
      </w:r>
    </w:p>
    <w:p w14:paraId="476E5FAF" w14:textId="77777777" w:rsidR="00C1543A" w:rsidRDefault="00C1543A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93F79EC" w14:textId="77777777" w:rsidR="00C1543A" w:rsidRPr="00B92B78" w:rsidRDefault="00C1543A" w:rsidP="00B92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09CF72C" w14:textId="77777777" w:rsidR="00C848A9" w:rsidRPr="00FC2358" w:rsidRDefault="00C848A9" w:rsidP="00FC2358">
      <w:pPr>
        <w:suppressAutoHyphens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7FFA9936" w14:textId="77777777" w:rsidR="00962053" w:rsidRPr="00C1543A" w:rsidRDefault="00962053" w:rsidP="00C1543A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1543A">
        <w:rPr>
          <w:rFonts w:ascii="Calibri" w:eastAsia="Times New Roman" w:hAnsi="Calibri" w:cs="Calibri"/>
          <w:b/>
          <w:sz w:val="20"/>
          <w:szCs w:val="20"/>
          <w:lang w:eastAsia="pl-PL"/>
        </w:rPr>
        <w:t>Wymagania dotyczące przewodów zasilających oprawy</w:t>
      </w:r>
    </w:p>
    <w:p w14:paraId="47FD47A5" w14:textId="77777777" w:rsidR="00DE130E" w:rsidRPr="007B630B" w:rsidRDefault="00DE130E" w:rsidP="00C1543A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/>
        </w:rPr>
      </w:pPr>
    </w:p>
    <w:p w14:paraId="36E7EFAE" w14:textId="02670138" w:rsidR="007A4067" w:rsidRPr="00DE7C9D" w:rsidRDefault="00962053" w:rsidP="00284B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lang w:eastAsia="pl-PL"/>
        </w:rPr>
      </w:pPr>
      <w:r w:rsidRPr="00DE7C9D">
        <w:rPr>
          <w:rFonts w:cstheme="minorHAnsi"/>
          <w:lang w:eastAsia="pl-PL"/>
        </w:rPr>
        <w:t>Oprawy należy zasilić przewod</w:t>
      </w:r>
      <w:r w:rsidR="00DE7C9D" w:rsidRPr="00DE7C9D">
        <w:rPr>
          <w:rFonts w:cstheme="minorHAnsi"/>
          <w:lang w:eastAsia="pl-PL"/>
        </w:rPr>
        <w:t>a</w:t>
      </w:r>
      <w:r w:rsidRPr="00DE7C9D">
        <w:rPr>
          <w:rFonts w:cstheme="minorHAnsi"/>
          <w:lang w:eastAsia="pl-PL"/>
        </w:rPr>
        <w:t>m</w:t>
      </w:r>
      <w:r w:rsidR="00DE7C9D" w:rsidRPr="00DE7C9D">
        <w:rPr>
          <w:rFonts w:cstheme="minorHAnsi"/>
          <w:lang w:eastAsia="pl-PL"/>
        </w:rPr>
        <w:t>i</w:t>
      </w:r>
      <w:r w:rsidRPr="00DE7C9D">
        <w:rPr>
          <w:rFonts w:cstheme="minorHAnsi"/>
          <w:lang w:eastAsia="pl-PL"/>
        </w:rPr>
        <w:t xml:space="preserve"> typu Y</w:t>
      </w:r>
      <w:r w:rsidR="00AF766F">
        <w:rPr>
          <w:rFonts w:cstheme="minorHAnsi"/>
          <w:lang w:eastAsia="pl-PL"/>
        </w:rPr>
        <w:t>K</w:t>
      </w:r>
      <w:r w:rsidRPr="00DE7C9D">
        <w:rPr>
          <w:rFonts w:cstheme="minorHAnsi"/>
          <w:lang w:eastAsia="pl-PL"/>
        </w:rPr>
        <w:t>Y2x2,5mm</w:t>
      </w:r>
      <w:r w:rsidRPr="00DE7C9D">
        <w:rPr>
          <w:rFonts w:cstheme="minorHAnsi"/>
          <w:vertAlign w:val="superscript"/>
          <w:lang w:eastAsia="pl-PL"/>
        </w:rPr>
        <w:t>2</w:t>
      </w:r>
      <w:r w:rsidRPr="00DE7C9D">
        <w:rPr>
          <w:rFonts w:cstheme="minorHAnsi"/>
          <w:lang w:eastAsia="pl-PL"/>
        </w:rPr>
        <w:t> 450/750V.</w:t>
      </w:r>
    </w:p>
    <w:p w14:paraId="71D46F45" w14:textId="77777777" w:rsidR="0041386D" w:rsidRDefault="0041386D" w:rsidP="00284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</w:p>
    <w:p w14:paraId="2EFC23E6" w14:textId="5B142465" w:rsidR="0041386D" w:rsidRPr="00DE130E" w:rsidRDefault="0041386D" w:rsidP="00C1543A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lang w:eastAsia="pl-PL"/>
        </w:rPr>
      </w:pPr>
      <w:bookmarkStart w:id="1" w:name="_Hlk83020683"/>
      <w:r w:rsidRPr="00C1543A">
        <w:rPr>
          <w:rFonts w:ascii="Calibri" w:eastAsia="Times New Roman" w:hAnsi="Calibri" w:cs="Calibri"/>
          <w:b/>
          <w:sz w:val="20"/>
          <w:szCs w:val="20"/>
          <w:lang w:eastAsia="pl-PL"/>
        </w:rPr>
        <w:t>Wymagania</w:t>
      </w:r>
      <w:r w:rsidRPr="007B630B">
        <w:rPr>
          <w:rFonts w:cstheme="minorHAnsi"/>
          <w:b/>
        </w:rPr>
        <w:t xml:space="preserve"> dotyczące słupów oświetleniowych o wysokości </w:t>
      </w:r>
      <w:r w:rsidR="006B791B">
        <w:rPr>
          <w:rFonts w:cstheme="minorHAnsi"/>
          <w:b/>
        </w:rPr>
        <w:t>zgodnej z dokumentacją</w:t>
      </w:r>
    </w:p>
    <w:p w14:paraId="20E530D2" w14:textId="77777777" w:rsidR="00DE130E" w:rsidRPr="007B630B" w:rsidRDefault="00DE130E" w:rsidP="00DE130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lang w:eastAsia="pl-PL"/>
        </w:rPr>
      </w:pPr>
    </w:p>
    <w:bookmarkEnd w:id="1"/>
    <w:p w14:paraId="22CF0C78" w14:textId="7D08E5A4" w:rsidR="002301B0" w:rsidRDefault="006B791B" w:rsidP="00DE130E">
      <w:pPr>
        <w:autoSpaceDE w:val="0"/>
        <w:autoSpaceDN w:val="0"/>
        <w:adjustRightInd w:val="0"/>
        <w:ind w:left="284"/>
        <w:jc w:val="both"/>
        <w:rPr>
          <w:lang w:eastAsia="pl-PL"/>
        </w:rPr>
      </w:pPr>
      <w:r>
        <w:rPr>
          <w:lang w:eastAsia="pl-PL"/>
        </w:rPr>
        <w:t>Dla dokumentacji Czermin n</w:t>
      </w:r>
      <w:r w:rsidR="0041386D">
        <w:rPr>
          <w:lang w:eastAsia="pl-PL"/>
        </w:rPr>
        <w:t xml:space="preserve">ależy zastosować słupy </w:t>
      </w:r>
      <w:r>
        <w:rPr>
          <w:lang w:eastAsia="pl-PL"/>
        </w:rPr>
        <w:t>aluminiowe dla pozostałych dokumentacji słupy stalowe</w:t>
      </w:r>
      <w:r w:rsidR="0041386D">
        <w:rPr>
          <w:lang w:eastAsia="pl-PL"/>
        </w:rPr>
        <w:t xml:space="preserve"> wersja </w:t>
      </w:r>
      <w:r w:rsidR="00C376B0">
        <w:rPr>
          <w:lang w:eastAsia="pl-PL"/>
        </w:rPr>
        <w:t>do wkop</w:t>
      </w:r>
      <w:r w:rsidR="009F26AA">
        <w:rPr>
          <w:lang w:eastAsia="pl-PL"/>
        </w:rPr>
        <w:t>u</w:t>
      </w:r>
      <w:r w:rsidR="0041386D">
        <w:rPr>
          <w:lang w:eastAsia="pl-PL"/>
        </w:rPr>
        <w:t xml:space="preserve"> o przekroju kołowym, zbieżnym (stożkowe)</w:t>
      </w:r>
      <w:r w:rsidR="008679A6">
        <w:rPr>
          <w:lang w:eastAsia="pl-PL"/>
        </w:rPr>
        <w:t xml:space="preserve"> </w:t>
      </w:r>
      <w:r w:rsidR="00C806EE">
        <w:rPr>
          <w:lang w:eastAsia="pl-PL"/>
        </w:rPr>
        <w:t>z wysięgnikiem</w:t>
      </w:r>
      <w:r w:rsidR="00F02499">
        <w:rPr>
          <w:lang w:eastAsia="pl-PL"/>
        </w:rPr>
        <w:t xml:space="preserve"> łukowym</w:t>
      </w:r>
      <w:r w:rsidR="00C806EE">
        <w:rPr>
          <w:lang w:eastAsia="pl-PL"/>
        </w:rPr>
        <w:t xml:space="preserve"> o długości </w:t>
      </w:r>
      <w:r w:rsidR="00F779F2">
        <w:rPr>
          <w:lang w:eastAsia="pl-PL"/>
        </w:rPr>
        <w:t>zgodnej z dokumentacją</w:t>
      </w:r>
      <w:r w:rsidR="004F5741">
        <w:rPr>
          <w:lang w:eastAsia="pl-PL"/>
        </w:rPr>
        <w:t xml:space="preserve"> </w:t>
      </w:r>
      <w:r w:rsidR="0041386D">
        <w:rPr>
          <w:lang w:eastAsia="pl-PL"/>
        </w:rPr>
        <w:t xml:space="preserve">zabezpieczone przed warunkami atmosferycznymi poprzez </w:t>
      </w:r>
      <w:r w:rsidR="004F066B">
        <w:rPr>
          <w:lang w:eastAsia="pl-PL"/>
        </w:rPr>
        <w:t>ocynkowanie</w:t>
      </w:r>
      <w:r w:rsidR="0041386D">
        <w:rPr>
          <w:lang w:eastAsia="pl-PL"/>
        </w:rPr>
        <w:t xml:space="preserve"> na kolor </w:t>
      </w:r>
      <w:r w:rsidR="00F02499">
        <w:rPr>
          <w:lang w:eastAsia="pl-PL"/>
        </w:rPr>
        <w:t>szary</w:t>
      </w:r>
      <w:r w:rsidR="0041386D">
        <w:rPr>
          <w:lang w:eastAsia="pl-PL"/>
        </w:rPr>
        <w:t xml:space="preserve">  oraz zabezpieczone w dolnej części słupa</w:t>
      </w:r>
      <w:r w:rsidR="004F066B">
        <w:rPr>
          <w:lang w:eastAsia="pl-PL"/>
        </w:rPr>
        <w:t xml:space="preserve"> ( do wysokości wnęki</w:t>
      </w:r>
      <w:r w:rsidR="00A34F7E">
        <w:rPr>
          <w:lang w:eastAsia="pl-PL"/>
        </w:rPr>
        <w:t xml:space="preserve"> kablowej)</w:t>
      </w:r>
      <w:r w:rsidR="0041386D">
        <w:rPr>
          <w:lang w:eastAsia="pl-PL"/>
        </w:rPr>
        <w:t xml:space="preserve"> przed solą i amoniakiem poprzez warstwę elastomeru w kolorze</w:t>
      </w:r>
      <w:r>
        <w:rPr>
          <w:lang w:eastAsia="pl-PL"/>
        </w:rPr>
        <w:t xml:space="preserve"> słupa</w:t>
      </w:r>
      <w:r w:rsidR="0041386D">
        <w:rPr>
          <w:lang w:eastAsia="pl-PL"/>
        </w:rPr>
        <w:t xml:space="preserve"> </w:t>
      </w:r>
      <w:r w:rsidR="00F779F2">
        <w:rPr>
          <w:lang w:eastAsia="pl-PL"/>
        </w:rPr>
        <w:t>czarnym</w:t>
      </w:r>
      <w:r w:rsidR="0041386D">
        <w:rPr>
          <w:lang w:eastAsia="pl-PL"/>
        </w:rPr>
        <w:t xml:space="preserve">. </w:t>
      </w:r>
    </w:p>
    <w:p w14:paraId="2D61927E" w14:textId="3C46AE01" w:rsidR="00284B53" w:rsidRPr="008679A6" w:rsidRDefault="00D41803" w:rsidP="008679A6">
      <w:pPr>
        <w:pStyle w:val="Akapitzlist"/>
        <w:ind w:left="284" w:hanging="142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41386D">
        <w:rPr>
          <w:rFonts w:cstheme="minorHAnsi"/>
        </w:rPr>
        <w:t xml:space="preserve">Na słupach należy umieścić tabliczki informacyjne o wymiarach 12x7cm w kolorze żółtym z czarną ramką oraz napisami w kolorze czarnym (opis „stacja, nr </w:t>
      </w:r>
      <w:proofErr w:type="spellStart"/>
      <w:r w:rsidRPr="0041386D">
        <w:rPr>
          <w:rFonts w:cstheme="minorHAnsi"/>
        </w:rPr>
        <w:t>obw</w:t>
      </w:r>
      <w:proofErr w:type="spellEnd"/>
      <w:r w:rsidRPr="0041386D">
        <w:rPr>
          <w:rFonts w:cstheme="minorHAnsi"/>
        </w:rPr>
        <w:t>.,</w:t>
      </w:r>
      <w:r w:rsidRPr="00D41803">
        <w:rPr>
          <w:rFonts w:cstheme="minorHAnsi"/>
        </w:rPr>
        <w:t xml:space="preserve"> </w:t>
      </w:r>
      <w:r w:rsidRPr="0041386D">
        <w:rPr>
          <w:rFonts w:cstheme="minorHAnsi"/>
        </w:rPr>
        <w:t>nr słupa”)</w:t>
      </w:r>
    </w:p>
    <w:p w14:paraId="6A82935A" w14:textId="77777777" w:rsidR="00284B53" w:rsidRPr="00284B53" w:rsidRDefault="00284B53" w:rsidP="00284B53">
      <w:pPr>
        <w:pStyle w:val="Akapitzlist"/>
        <w:ind w:left="284" w:hanging="142"/>
        <w:jc w:val="both"/>
        <w:rPr>
          <w:rFonts w:cstheme="minorHAnsi"/>
        </w:rPr>
      </w:pPr>
    </w:p>
    <w:p w14:paraId="5D3F28E7" w14:textId="455387D0" w:rsidR="0041386D" w:rsidRPr="00DE130E" w:rsidRDefault="0041386D" w:rsidP="00C1543A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b/>
          <w:bCs/>
          <w:lang w:eastAsia="pl-PL"/>
        </w:rPr>
      </w:pPr>
      <w:r w:rsidRPr="007B630B">
        <w:rPr>
          <w:rFonts w:cstheme="minorHAnsi"/>
          <w:b/>
          <w:bCs/>
        </w:rPr>
        <w:t>Wymagania dotyczące złącza oświetleniowego</w:t>
      </w:r>
    </w:p>
    <w:p w14:paraId="1865C407" w14:textId="77777777" w:rsidR="00DE130E" w:rsidRPr="007B630B" w:rsidRDefault="00DE130E" w:rsidP="00DE130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b/>
          <w:bCs/>
          <w:lang w:eastAsia="pl-PL"/>
        </w:rPr>
      </w:pPr>
    </w:p>
    <w:p w14:paraId="5B1111AA" w14:textId="655E2630" w:rsidR="0041386D" w:rsidRPr="0041386D" w:rsidRDefault="00D41803" w:rsidP="00D41803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>1</w:t>
      </w:r>
      <w:r w:rsidR="003E45BA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41386D" w:rsidRPr="0041386D">
        <w:rPr>
          <w:rFonts w:cstheme="minorHAnsi"/>
        </w:rPr>
        <w:t>Złącze oświetleniowe winno być wyposażone zgodnie ze schematem zawartym w dokumentacji</w:t>
      </w:r>
    </w:p>
    <w:p w14:paraId="38DF883E" w14:textId="181A4028" w:rsidR="0041386D" w:rsidRPr="0041386D" w:rsidRDefault="00D41803" w:rsidP="00D41803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>2</w:t>
      </w:r>
      <w:r w:rsidR="003E45BA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41386D" w:rsidRPr="0041386D">
        <w:rPr>
          <w:rFonts w:cstheme="minorHAnsi"/>
        </w:rPr>
        <w:t>Obudowa złącza z tworzywa termoutwardzalnego w drugiej klasie izolacji</w:t>
      </w:r>
    </w:p>
    <w:p w14:paraId="503B3120" w14:textId="4D5D893C" w:rsidR="00D41803" w:rsidRDefault="00D41803" w:rsidP="00D41803">
      <w:pPr>
        <w:pStyle w:val="Akapitzlist"/>
        <w:ind w:left="567" w:hanging="283"/>
        <w:jc w:val="both"/>
        <w:rPr>
          <w:rFonts w:cstheme="minorHAnsi"/>
          <w:b/>
          <w:bCs/>
        </w:rPr>
      </w:pPr>
      <w:r>
        <w:rPr>
          <w:rFonts w:cstheme="minorHAnsi"/>
        </w:rPr>
        <w:t>3</w:t>
      </w:r>
      <w:r w:rsidR="004E7648">
        <w:rPr>
          <w:rFonts w:cstheme="minorHAnsi"/>
        </w:rPr>
        <w:t xml:space="preserve">. </w:t>
      </w:r>
      <w:r w:rsidR="0041386D" w:rsidRPr="0041386D">
        <w:rPr>
          <w:rFonts w:cstheme="minorHAnsi"/>
        </w:rPr>
        <w:t xml:space="preserve">Na złączu oświetleniowym należy zamontować tabliczkę informacyjną w kolorze żółtym z czarną ramką oraz napisami w kolorze czarnym. Wymiary tabliczki około 12x10cm (szer. x wys.). Zakup tabliczki leży po stronie wykonawcy. </w:t>
      </w:r>
      <w:r w:rsidR="0041386D" w:rsidRPr="00D41803">
        <w:rPr>
          <w:rFonts w:cstheme="minorHAnsi"/>
          <w:b/>
          <w:bCs/>
        </w:rPr>
        <w:t>Uwaga: na tabliczce należy umieścić nr stacji oraz nr PZ.</w:t>
      </w:r>
    </w:p>
    <w:p w14:paraId="2EB97100" w14:textId="7F8F66CB" w:rsidR="0041386D" w:rsidRPr="00D41803" w:rsidRDefault="00D41803" w:rsidP="00D41803">
      <w:pPr>
        <w:pStyle w:val="Akapitzlist"/>
        <w:ind w:left="567" w:hanging="283"/>
        <w:jc w:val="both"/>
        <w:rPr>
          <w:rFonts w:cstheme="minorHAnsi"/>
          <w:b/>
          <w:bCs/>
        </w:rPr>
      </w:pPr>
      <w:r w:rsidRPr="00D41803">
        <w:rPr>
          <w:rFonts w:cstheme="minorHAnsi"/>
        </w:rPr>
        <w:t>4</w:t>
      </w:r>
      <w:r w:rsidR="004E7648">
        <w:rPr>
          <w:rFonts w:cstheme="minorHAnsi"/>
        </w:rPr>
        <w:t xml:space="preserve">. </w:t>
      </w:r>
      <w:r w:rsidRPr="00D41803">
        <w:rPr>
          <w:rFonts w:cstheme="minorHAnsi"/>
        </w:rPr>
        <w:t xml:space="preserve"> </w:t>
      </w:r>
      <w:r w:rsidR="0041386D" w:rsidRPr="00D41803">
        <w:rPr>
          <w:rFonts w:cstheme="minorHAnsi"/>
        </w:rPr>
        <w:t xml:space="preserve">Złącze oświetleniowe winno posiadać certyfikat zgodności wydany producentowi </w:t>
      </w:r>
    </w:p>
    <w:p w14:paraId="1B30C726" w14:textId="77777777" w:rsidR="0041386D" w:rsidRPr="0041386D" w:rsidRDefault="0041386D" w:rsidP="00D41803">
      <w:pPr>
        <w:pStyle w:val="Akapitzlist"/>
        <w:ind w:left="567"/>
        <w:jc w:val="both"/>
        <w:rPr>
          <w:rFonts w:cstheme="minorHAnsi"/>
        </w:rPr>
      </w:pPr>
      <w:r w:rsidRPr="0041386D">
        <w:rPr>
          <w:rFonts w:cstheme="minorHAnsi"/>
        </w:rPr>
        <w:t>lub jego upoważnionemu przedstawicielowi przez jednostkę certyfikującą posiadającą odpowiedni zakres akredytacji wydanej przez Polskie Centrum Akredytacji potwierdzający, że szafka oświetlenia ulicznego spełnia wymagania norm:</w:t>
      </w:r>
    </w:p>
    <w:p w14:paraId="3954AE7C" w14:textId="77777777" w:rsidR="0041386D" w:rsidRPr="0041386D" w:rsidRDefault="0041386D" w:rsidP="00D41803">
      <w:pPr>
        <w:pStyle w:val="Akapitzlist"/>
        <w:ind w:left="567"/>
        <w:jc w:val="both"/>
        <w:rPr>
          <w:rFonts w:cstheme="minorHAnsi"/>
        </w:rPr>
      </w:pPr>
      <w:r w:rsidRPr="0041386D">
        <w:rPr>
          <w:rFonts w:cstheme="minorHAnsi"/>
        </w:rPr>
        <w:t xml:space="preserve"> - PN-EN 62208 Puste obudowy do rozdzielnic i sterownic niskonapięciowych. Wymagania ogólne.</w:t>
      </w:r>
    </w:p>
    <w:p w14:paraId="00B68EF0" w14:textId="77777777" w:rsidR="0041386D" w:rsidRPr="0041386D" w:rsidRDefault="0041386D" w:rsidP="00D41803">
      <w:pPr>
        <w:pStyle w:val="Akapitzlist"/>
        <w:ind w:left="567"/>
        <w:jc w:val="both"/>
        <w:rPr>
          <w:rFonts w:cstheme="minorHAnsi"/>
        </w:rPr>
      </w:pPr>
      <w:r w:rsidRPr="0041386D">
        <w:rPr>
          <w:rFonts w:cstheme="minorHAnsi"/>
        </w:rPr>
        <w:t>- PN-EN 61439-1:2011 Rozdzielnice i sterownice niskonapięciowe - Część 1 : Postanowienia ogólne.</w:t>
      </w:r>
    </w:p>
    <w:p w14:paraId="76963007" w14:textId="77777777" w:rsidR="0041386D" w:rsidRPr="0041386D" w:rsidRDefault="0041386D" w:rsidP="00D41803">
      <w:pPr>
        <w:pStyle w:val="Akapitzlist"/>
        <w:ind w:left="567"/>
        <w:jc w:val="both"/>
        <w:rPr>
          <w:rFonts w:cstheme="minorHAnsi"/>
        </w:rPr>
      </w:pPr>
      <w:r w:rsidRPr="0041386D">
        <w:rPr>
          <w:rFonts w:cstheme="minorHAnsi"/>
        </w:rPr>
        <w:t>- PN-EN 61439-5:2011 Rozdzielnice i sterownice niskonapięciowe - Część 5 : Zestawy do dystrybucji mocy w sieciach publicznych oraz zgodnie z dyrektywą niskonapięciową LVD 2014/35/2014 deklarację zgodności ( wystawioną przez producenta lub upoważnionego dystrybutora) z w/w normami.</w:t>
      </w:r>
    </w:p>
    <w:p w14:paraId="11472157" w14:textId="477D7150" w:rsidR="00D41803" w:rsidRDefault="00D41803" w:rsidP="00D41803">
      <w:pPr>
        <w:pStyle w:val="Akapitzlist"/>
        <w:ind w:left="567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="004E7648">
        <w:rPr>
          <w:rFonts w:cstheme="minorHAnsi"/>
        </w:rPr>
        <w:t xml:space="preserve">. </w:t>
      </w:r>
      <w:r w:rsidR="0041386D" w:rsidRPr="0041386D">
        <w:rPr>
          <w:rFonts w:cstheme="minorHAnsi"/>
        </w:rPr>
        <w:tab/>
        <w:t xml:space="preserve">Złącze oświetleniowe winno posiadać zegar astronomiczny wyposażony w odbiornik GPS wraz z wbudowaną anteną zewnętrzną. Zmiany parametrów pracy sterownika  i jego programowanie winno być możliwe przy pomocy </w:t>
      </w:r>
      <w:proofErr w:type="spellStart"/>
      <w:r w:rsidR="0041386D" w:rsidRPr="0041386D">
        <w:rPr>
          <w:rFonts w:cstheme="minorHAnsi"/>
        </w:rPr>
        <w:t>smartfona</w:t>
      </w:r>
      <w:proofErr w:type="spellEnd"/>
      <w:r w:rsidR="0041386D" w:rsidRPr="0041386D">
        <w:rPr>
          <w:rFonts w:cstheme="minorHAnsi"/>
        </w:rPr>
        <w:t xml:space="preserve"> dzięki bezprzewodowej łączności Bluetooth za pośrednictwem darmowej aplikacji ogólnodostępnej. Sterownik winien posiadać możliwość zaprogramowania przerw nocnych, wgrywania oraz tworzenia własnych tabeli astronomicznych oraz blokowania dostępu przy pomocy kodu PIN.</w:t>
      </w:r>
      <w:r>
        <w:rPr>
          <w:rFonts w:cstheme="minorHAnsi"/>
        </w:rPr>
        <w:t xml:space="preserve"> </w:t>
      </w:r>
    </w:p>
    <w:p w14:paraId="73D2F782" w14:textId="77777777" w:rsidR="0041386D" w:rsidRPr="00DE7C9D" w:rsidRDefault="0041386D" w:rsidP="00D4180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eastAsia="pl-PL"/>
        </w:rPr>
      </w:pPr>
    </w:p>
    <w:sectPr w:rsidR="0041386D" w:rsidRPr="00DE7C9D" w:rsidSect="00B5033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81DF" w14:textId="77777777" w:rsidR="00B50337" w:rsidRDefault="00B50337" w:rsidP="004F0AAF">
      <w:pPr>
        <w:spacing w:after="0" w:line="240" w:lineRule="auto"/>
      </w:pPr>
      <w:r>
        <w:separator/>
      </w:r>
    </w:p>
  </w:endnote>
  <w:endnote w:type="continuationSeparator" w:id="0">
    <w:p w14:paraId="33DBFD60" w14:textId="77777777" w:rsidR="00B50337" w:rsidRDefault="00B50337" w:rsidP="004F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9B7F" w14:textId="77777777" w:rsidR="00B50337" w:rsidRDefault="00B50337" w:rsidP="004F0AAF">
      <w:pPr>
        <w:spacing w:after="0" w:line="240" w:lineRule="auto"/>
      </w:pPr>
      <w:r>
        <w:separator/>
      </w:r>
    </w:p>
  </w:footnote>
  <w:footnote w:type="continuationSeparator" w:id="0">
    <w:p w14:paraId="5D321406" w14:textId="77777777" w:rsidR="00B50337" w:rsidRDefault="00B50337" w:rsidP="004F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75"/>
    <w:multiLevelType w:val="hybridMultilevel"/>
    <w:tmpl w:val="7BD64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2556"/>
    <w:multiLevelType w:val="hybridMultilevel"/>
    <w:tmpl w:val="0CA4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999"/>
    <w:multiLevelType w:val="hybridMultilevel"/>
    <w:tmpl w:val="10225706"/>
    <w:lvl w:ilvl="0" w:tplc="3A845324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059FC"/>
    <w:multiLevelType w:val="hybridMultilevel"/>
    <w:tmpl w:val="A76E939E"/>
    <w:lvl w:ilvl="0" w:tplc="CB98122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4272"/>
    <w:multiLevelType w:val="hybridMultilevel"/>
    <w:tmpl w:val="BEBE3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25D92"/>
    <w:multiLevelType w:val="hybridMultilevel"/>
    <w:tmpl w:val="4FAE5148"/>
    <w:lvl w:ilvl="0" w:tplc="101E942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58D"/>
    <w:multiLevelType w:val="hybridMultilevel"/>
    <w:tmpl w:val="9A1477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0F3601"/>
    <w:multiLevelType w:val="hybridMultilevel"/>
    <w:tmpl w:val="042A2700"/>
    <w:lvl w:ilvl="0" w:tplc="B44EAE1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4806"/>
    <w:multiLevelType w:val="hybridMultilevel"/>
    <w:tmpl w:val="98322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A6B42"/>
    <w:multiLevelType w:val="hybridMultilevel"/>
    <w:tmpl w:val="641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07B7"/>
    <w:multiLevelType w:val="hybridMultilevel"/>
    <w:tmpl w:val="615C9B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B0650"/>
    <w:multiLevelType w:val="hybridMultilevel"/>
    <w:tmpl w:val="98322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30D"/>
    <w:multiLevelType w:val="hybridMultilevel"/>
    <w:tmpl w:val="CA86FBCA"/>
    <w:lvl w:ilvl="0" w:tplc="A540FE1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5C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0A4402"/>
    <w:multiLevelType w:val="hybridMultilevel"/>
    <w:tmpl w:val="79E493A8"/>
    <w:lvl w:ilvl="0" w:tplc="1A823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A6D7B"/>
    <w:multiLevelType w:val="hybridMultilevel"/>
    <w:tmpl w:val="8F620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53EC"/>
    <w:multiLevelType w:val="hybridMultilevel"/>
    <w:tmpl w:val="69A8F040"/>
    <w:lvl w:ilvl="0" w:tplc="AEE2B58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309"/>
    <w:multiLevelType w:val="hybridMultilevel"/>
    <w:tmpl w:val="EE98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14355"/>
    <w:multiLevelType w:val="hybridMultilevel"/>
    <w:tmpl w:val="B04840A6"/>
    <w:lvl w:ilvl="0" w:tplc="6FF0AFDE">
      <w:start w:val="1"/>
      <w:numFmt w:val="bullet"/>
      <w:lvlText w:val="•"/>
      <w:lvlJc w:val="left"/>
      <w:pPr>
        <w:ind w:left="108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871B0"/>
    <w:multiLevelType w:val="hybridMultilevel"/>
    <w:tmpl w:val="6BBA1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9741B"/>
    <w:multiLevelType w:val="hybridMultilevel"/>
    <w:tmpl w:val="A950E2BA"/>
    <w:lvl w:ilvl="0" w:tplc="A14099A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030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8E4121"/>
    <w:multiLevelType w:val="hybridMultilevel"/>
    <w:tmpl w:val="B0B6E3DE"/>
    <w:lvl w:ilvl="0" w:tplc="F26809D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65D5F"/>
    <w:multiLevelType w:val="hybridMultilevel"/>
    <w:tmpl w:val="CEC28ADA"/>
    <w:lvl w:ilvl="0" w:tplc="5E8A73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8055F"/>
    <w:multiLevelType w:val="hybridMultilevel"/>
    <w:tmpl w:val="595A51A4"/>
    <w:lvl w:ilvl="0" w:tplc="4802CD5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3B6C"/>
    <w:multiLevelType w:val="hybridMultilevel"/>
    <w:tmpl w:val="C89A5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A96305"/>
    <w:multiLevelType w:val="hybridMultilevel"/>
    <w:tmpl w:val="48B00E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95FA9"/>
    <w:multiLevelType w:val="hybridMultilevel"/>
    <w:tmpl w:val="562C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931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2F75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6D7B35"/>
    <w:multiLevelType w:val="multilevel"/>
    <w:tmpl w:val="27D6C7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A03EE5"/>
    <w:multiLevelType w:val="hybridMultilevel"/>
    <w:tmpl w:val="38C89C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C56C3"/>
    <w:multiLevelType w:val="hybridMultilevel"/>
    <w:tmpl w:val="4372B93C"/>
    <w:lvl w:ilvl="0" w:tplc="E9FE3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D6C3C"/>
    <w:multiLevelType w:val="hybridMultilevel"/>
    <w:tmpl w:val="9B78CC24"/>
    <w:lvl w:ilvl="0" w:tplc="211C7BC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66C0F"/>
    <w:multiLevelType w:val="hybridMultilevel"/>
    <w:tmpl w:val="90FEF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3383"/>
    <w:multiLevelType w:val="hybridMultilevel"/>
    <w:tmpl w:val="AA506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401067">
    <w:abstractNumId w:val="27"/>
  </w:num>
  <w:num w:numId="2" w16cid:durableId="1999186505">
    <w:abstractNumId w:val="35"/>
  </w:num>
  <w:num w:numId="3" w16cid:durableId="1311790651">
    <w:abstractNumId w:val="5"/>
  </w:num>
  <w:num w:numId="4" w16cid:durableId="51588879">
    <w:abstractNumId w:val="2"/>
  </w:num>
  <w:num w:numId="5" w16cid:durableId="1785803595">
    <w:abstractNumId w:val="34"/>
  </w:num>
  <w:num w:numId="6" w16cid:durableId="1127819917">
    <w:abstractNumId w:val="8"/>
  </w:num>
  <w:num w:numId="7" w16cid:durableId="1267345795">
    <w:abstractNumId w:val="19"/>
  </w:num>
  <w:num w:numId="8" w16cid:durableId="244844527">
    <w:abstractNumId w:val="18"/>
  </w:num>
  <w:num w:numId="9" w16cid:durableId="1070494264">
    <w:abstractNumId w:val="1"/>
  </w:num>
  <w:num w:numId="10" w16cid:durableId="1020859223">
    <w:abstractNumId w:val="6"/>
  </w:num>
  <w:num w:numId="11" w16cid:durableId="950938182">
    <w:abstractNumId w:val="17"/>
  </w:num>
  <w:num w:numId="12" w16cid:durableId="982655570">
    <w:abstractNumId w:val="11"/>
  </w:num>
  <w:num w:numId="13" w16cid:durableId="146477481">
    <w:abstractNumId w:val="25"/>
  </w:num>
  <w:num w:numId="14" w16cid:durableId="321857881">
    <w:abstractNumId w:val="4"/>
  </w:num>
  <w:num w:numId="15" w16cid:durableId="1929653348">
    <w:abstractNumId w:val="20"/>
  </w:num>
  <w:num w:numId="16" w16cid:durableId="1069695666">
    <w:abstractNumId w:val="26"/>
  </w:num>
  <w:num w:numId="17" w16cid:durableId="731076255">
    <w:abstractNumId w:val="14"/>
  </w:num>
  <w:num w:numId="18" w16cid:durableId="1742873137">
    <w:abstractNumId w:val="15"/>
  </w:num>
  <w:num w:numId="19" w16cid:durableId="431822947">
    <w:abstractNumId w:val="9"/>
  </w:num>
  <w:num w:numId="20" w16cid:durableId="795560356">
    <w:abstractNumId w:val="16"/>
  </w:num>
  <w:num w:numId="21" w16cid:durableId="1926183167">
    <w:abstractNumId w:val="7"/>
  </w:num>
  <w:num w:numId="22" w16cid:durableId="1869948356">
    <w:abstractNumId w:val="31"/>
  </w:num>
  <w:num w:numId="23" w16cid:durableId="276645233">
    <w:abstractNumId w:val="3"/>
  </w:num>
  <w:num w:numId="24" w16cid:durableId="78329614">
    <w:abstractNumId w:val="22"/>
  </w:num>
  <w:num w:numId="25" w16cid:durableId="1625036580">
    <w:abstractNumId w:val="10"/>
  </w:num>
  <w:num w:numId="26" w16cid:durableId="442765728">
    <w:abstractNumId w:val="24"/>
  </w:num>
  <w:num w:numId="27" w16cid:durableId="1281767119">
    <w:abstractNumId w:val="12"/>
  </w:num>
  <w:num w:numId="28" w16cid:durableId="1173303469">
    <w:abstractNumId w:val="1"/>
  </w:num>
  <w:num w:numId="29" w16cid:durableId="1772050484">
    <w:abstractNumId w:val="17"/>
  </w:num>
  <w:num w:numId="30" w16cid:durableId="766117905">
    <w:abstractNumId w:val="13"/>
  </w:num>
  <w:num w:numId="31" w16cid:durableId="515122582">
    <w:abstractNumId w:val="29"/>
  </w:num>
  <w:num w:numId="32" w16cid:durableId="1721131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629262">
    <w:abstractNumId w:val="28"/>
  </w:num>
  <w:num w:numId="34" w16cid:durableId="696589618">
    <w:abstractNumId w:val="21"/>
  </w:num>
  <w:num w:numId="35" w16cid:durableId="1060831678">
    <w:abstractNumId w:val="0"/>
  </w:num>
  <w:num w:numId="36" w16cid:durableId="97995656">
    <w:abstractNumId w:val="32"/>
  </w:num>
  <w:num w:numId="37" w16cid:durableId="1930700305">
    <w:abstractNumId w:val="23"/>
  </w:num>
  <w:num w:numId="38" w16cid:durableId="16405005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9F"/>
    <w:rsid w:val="00006934"/>
    <w:rsid w:val="00013F7D"/>
    <w:rsid w:val="00016661"/>
    <w:rsid w:val="00032784"/>
    <w:rsid w:val="00041803"/>
    <w:rsid w:val="00043D7C"/>
    <w:rsid w:val="000B323A"/>
    <w:rsid w:val="0010585D"/>
    <w:rsid w:val="00110837"/>
    <w:rsid w:val="001312B3"/>
    <w:rsid w:val="00143685"/>
    <w:rsid w:val="00167506"/>
    <w:rsid w:val="00190DE0"/>
    <w:rsid w:val="0020174C"/>
    <w:rsid w:val="002301B0"/>
    <w:rsid w:val="00232640"/>
    <w:rsid w:val="00233840"/>
    <w:rsid w:val="00277136"/>
    <w:rsid w:val="00284B53"/>
    <w:rsid w:val="0029361D"/>
    <w:rsid w:val="00294FBB"/>
    <w:rsid w:val="002A5014"/>
    <w:rsid w:val="002B100F"/>
    <w:rsid w:val="00307383"/>
    <w:rsid w:val="0033162F"/>
    <w:rsid w:val="00345D00"/>
    <w:rsid w:val="00376EB0"/>
    <w:rsid w:val="003817F1"/>
    <w:rsid w:val="003E45BA"/>
    <w:rsid w:val="003F02B2"/>
    <w:rsid w:val="00411620"/>
    <w:rsid w:val="0041386D"/>
    <w:rsid w:val="004145FD"/>
    <w:rsid w:val="00432663"/>
    <w:rsid w:val="00464026"/>
    <w:rsid w:val="00471A12"/>
    <w:rsid w:val="00492CED"/>
    <w:rsid w:val="004B09A9"/>
    <w:rsid w:val="004B6AE0"/>
    <w:rsid w:val="004C2EA5"/>
    <w:rsid w:val="004D58DA"/>
    <w:rsid w:val="004E7648"/>
    <w:rsid w:val="004F066B"/>
    <w:rsid w:val="004F0AAF"/>
    <w:rsid w:val="004F2320"/>
    <w:rsid w:val="004F5741"/>
    <w:rsid w:val="00512D17"/>
    <w:rsid w:val="00514CE9"/>
    <w:rsid w:val="00547447"/>
    <w:rsid w:val="00586979"/>
    <w:rsid w:val="005916DF"/>
    <w:rsid w:val="00595342"/>
    <w:rsid w:val="006112F1"/>
    <w:rsid w:val="0062560A"/>
    <w:rsid w:val="006275EC"/>
    <w:rsid w:val="00640940"/>
    <w:rsid w:val="0066550C"/>
    <w:rsid w:val="00686D3D"/>
    <w:rsid w:val="006B791B"/>
    <w:rsid w:val="006C17AB"/>
    <w:rsid w:val="006D0284"/>
    <w:rsid w:val="006F307B"/>
    <w:rsid w:val="00757A99"/>
    <w:rsid w:val="00764AD9"/>
    <w:rsid w:val="007A3120"/>
    <w:rsid w:val="007A4067"/>
    <w:rsid w:val="007B630B"/>
    <w:rsid w:val="007B743E"/>
    <w:rsid w:val="007C379F"/>
    <w:rsid w:val="007D1D24"/>
    <w:rsid w:val="00802E52"/>
    <w:rsid w:val="008053C2"/>
    <w:rsid w:val="00866812"/>
    <w:rsid w:val="008679A6"/>
    <w:rsid w:val="00880CCC"/>
    <w:rsid w:val="008B01D5"/>
    <w:rsid w:val="008D3DB3"/>
    <w:rsid w:val="008E188E"/>
    <w:rsid w:val="008E3EA0"/>
    <w:rsid w:val="00912E01"/>
    <w:rsid w:val="00913D0D"/>
    <w:rsid w:val="00962053"/>
    <w:rsid w:val="0096764F"/>
    <w:rsid w:val="00991266"/>
    <w:rsid w:val="009F26AA"/>
    <w:rsid w:val="00A21309"/>
    <w:rsid w:val="00A34F7E"/>
    <w:rsid w:val="00A521D5"/>
    <w:rsid w:val="00A81A3D"/>
    <w:rsid w:val="00AC0A81"/>
    <w:rsid w:val="00AC1C38"/>
    <w:rsid w:val="00AE5281"/>
    <w:rsid w:val="00AF6ACB"/>
    <w:rsid w:val="00AF766F"/>
    <w:rsid w:val="00B27E20"/>
    <w:rsid w:val="00B317E3"/>
    <w:rsid w:val="00B50337"/>
    <w:rsid w:val="00B642A2"/>
    <w:rsid w:val="00B92B78"/>
    <w:rsid w:val="00B940C6"/>
    <w:rsid w:val="00BB5DDF"/>
    <w:rsid w:val="00C1543A"/>
    <w:rsid w:val="00C376B0"/>
    <w:rsid w:val="00C51907"/>
    <w:rsid w:val="00C70D7B"/>
    <w:rsid w:val="00C806EE"/>
    <w:rsid w:val="00C848A9"/>
    <w:rsid w:val="00CC3EA4"/>
    <w:rsid w:val="00D2028D"/>
    <w:rsid w:val="00D41803"/>
    <w:rsid w:val="00D428CF"/>
    <w:rsid w:val="00D804D4"/>
    <w:rsid w:val="00D879CF"/>
    <w:rsid w:val="00DE130E"/>
    <w:rsid w:val="00DE7C9D"/>
    <w:rsid w:val="00DF300F"/>
    <w:rsid w:val="00DF3ECB"/>
    <w:rsid w:val="00E005E9"/>
    <w:rsid w:val="00E74D21"/>
    <w:rsid w:val="00E81870"/>
    <w:rsid w:val="00EC736D"/>
    <w:rsid w:val="00F02499"/>
    <w:rsid w:val="00F04B71"/>
    <w:rsid w:val="00F21959"/>
    <w:rsid w:val="00F513D6"/>
    <w:rsid w:val="00F779F2"/>
    <w:rsid w:val="00FC0099"/>
    <w:rsid w:val="00FC2358"/>
    <w:rsid w:val="00FC67D3"/>
    <w:rsid w:val="00FF040F"/>
    <w:rsid w:val="00FF5D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7BDA"/>
  <w15:docId w15:val="{14F04B2B-1C47-4A5B-9EBB-A5427DAA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2B2"/>
  </w:style>
  <w:style w:type="paragraph" w:styleId="Nagwek1">
    <w:name w:val="heading 1"/>
    <w:basedOn w:val="Normalny"/>
    <w:next w:val="Normalny"/>
    <w:link w:val="Nagwek1Znak"/>
    <w:uiPriority w:val="9"/>
    <w:qFormat/>
    <w:rsid w:val="00FF7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37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379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C379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62053"/>
  </w:style>
  <w:style w:type="paragraph" w:styleId="Nagwek">
    <w:name w:val="header"/>
    <w:basedOn w:val="Normalny"/>
    <w:link w:val="NagwekZnak"/>
    <w:uiPriority w:val="99"/>
    <w:unhideWhenUsed/>
    <w:rsid w:val="004F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AF"/>
  </w:style>
  <w:style w:type="paragraph" w:styleId="Stopka">
    <w:name w:val="footer"/>
    <w:basedOn w:val="Normalny"/>
    <w:link w:val="StopkaZnak"/>
    <w:uiPriority w:val="99"/>
    <w:unhideWhenUsed/>
    <w:rsid w:val="004F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AF"/>
  </w:style>
  <w:style w:type="character" w:customStyle="1" w:styleId="Nagwek1Znak">
    <w:name w:val="Nagłówek 1 Znak"/>
    <w:basedOn w:val="Domylnaczcionkaakapitu"/>
    <w:link w:val="Nagwek1"/>
    <w:uiPriority w:val="9"/>
    <w:rsid w:val="00FF7E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EEC"/>
    <w:rPr>
      <w:sz w:val="20"/>
      <w:szCs w:val="20"/>
    </w:rPr>
  </w:style>
  <w:style w:type="character" w:customStyle="1" w:styleId="p-heading-01">
    <w:name w:val="p-heading-01"/>
    <w:basedOn w:val="Domylnaczcionkaakapitu"/>
    <w:rsid w:val="00FF7EEC"/>
  </w:style>
  <w:style w:type="paragraph" w:styleId="NormalnyWeb">
    <w:name w:val="Normal (Web)"/>
    <w:basedOn w:val="Normalny"/>
    <w:uiPriority w:val="99"/>
    <w:semiHidden/>
    <w:unhideWhenUsed/>
    <w:rsid w:val="00FF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-body-copy-01">
    <w:name w:val="p-body-copy-01"/>
    <w:basedOn w:val="Domylnaczcionkaakapitu"/>
    <w:rsid w:val="00FF7EEC"/>
  </w:style>
  <w:style w:type="character" w:styleId="Hipercze">
    <w:name w:val="Hyperlink"/>
    <w:basedOn w:val="Domylnaczcionkaakapitu"/>
    <w:uiPriority w:val="99"/>
    <w:semiHidden/>
    <w:unhideWhenUsed/>
    <w:rsid w:val="00FF7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A1FA-2860-41B7-86E2-E16F69C9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2198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Rafał Bednarek</cp:lastModifiedBy>
  <cp:revision>47</cp:revision>
  <cp:lastPrinted>2020-09-04T09:17:00Z</cp:lastPrinted>
  <dcterms:created xsi:type="dcterms:W3CDTF">2021-09-06T07:49:00Z</dcterms:created>
  <dcterms:modified xsi:type="dcterms:W3CDTF">2024-01-10T11:08:00Z</dcterms:modified>
</cp:coreProperties>
</file>