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052814BE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A409B2">
        <w:rPr>
          <w:rFonts w:ascii="Times New Roman" w:eastAsia="Times New Roman" w:hAnsi="Times New Roman" w:cs="Times New Roman"/>
          <w:b/>
          <w:lang w:eastAsia="pl-PL"/>
        </w:rPr>
        <w:t>C</w:t>
      </w:r>
    </w:p>
    <w:p w14:paraId="762A6799" w14:textId="1A490FA0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.0</w:t>
      </w:r>
      <w:r w:rsidR="007A7938">
        <w:rPr>
          <w:rFonts w:ascii="Times New Roman" w:eastAsia="Times New Roman" w:hAnsi="Times New Roman" w:cs="Times New Roman"/>
          <w:b/>
          <w:lang w:eastAsia="pl-PL"/>
        </w:rPr>
        <w:t>6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7123CD47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7A7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409B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2262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6C897A40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A409B2">
        <w:rPr>
          <w:rFonts w:ascii="Times New Roman" w:hAnsi="Times New Roman" w:cs="Times New Roman"/>
          <w:b/>
          <w:bCs/>
          <w:sz w:val="24"/>
          <w:szCs w:val="24"/>
        </w:rPr>
        <w:t>środków dezynfekcyjnych</w:t>
      </w:r>
    </w:p>
    <w:p w14:paraId="11B1A028" w14:textId="2884D603" w:rsid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Zaopatrzenie działu farmacji Wojewódzkiej Stacji Pogotowia Ratunkowego w Szczecinie</w:t>
      </w:r>
    </w:p>
    <w:tbl>
      <w:tblPr>
        <w:tblStyle w:val="Tabela-Siatka3"/>
        <w:tblW w:w="14265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1417"/>
        <w:gridCol w:w="945"/>
        <w:gridCol w:w="1417"/>
        <w:gridCol w:w="992"/>
        <w:gridCol w:w="1560"/>
        <w:gridCol w:w="1843"/>
      </w:tblGrid>
      <w:tr w:rsidR="008D1552" w:rsidRPr="007B1A9C" w14:paraId="36425EDA" w14:textId="6901BCBD" w:rsidTr="00626F7D">
        <w:trPr>
          <w:trHeight w:val="144"/>
        </w:trPr>
        <w:tc>
          <w:tcPr>
            <w:tcW w:w="562" w:type="dxa"/>
            <w:vAlign w:val="center"/>
          </w:tcPr>
          <w:p w14:paraId="63993CB3" w14:textId="77777777" w:rsidR="008D1552" w:rsidRPr="007B1A9C" w:rsidRDefault="008D1552" w:rsidP="00425D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B1A9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14:paraId="08BA9305" w14:textId="77777777" w:rsidR="008D1552" w:rsidRPr="007B1A9C" w:rsidRDefault="008D1552" w:rsidP="00425D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B1A9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709" w:type="dxa"/>
            <w:vAlign w:val="center"/>
          </w:tcPr>
          <w:p w14:paraId="78A6E12F" w14:textId="77777777" w:rsidR="008D1552" w:rsidRPr="007B1A9C" w:rsidRDefault="008D1552" w:rsidP="00425D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B1A9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JM</w:t>
            </w:r>
          </w:p>
        </w:tc>
        <w:tc>
          <w:tcPr>
            <w:tcW w:w="1417" w:type="dxa"/>
          </w:tcPr>
          <w:p w14:paraId="7900E36A" w14:textId="0CC411D4" w:rsidR="008D1552" w:rsidRPr="007B1A9C" w:rsidRDefault="008D1552" w:rsidP="00425D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</w:t>
            </w:r>
          </w:p>
        </w:tc>
        <w:tc>
          <w:tcPr>
            <w:tcW w:w="945" w:type="dxa"/>
            <w:vAlign w:val="center"/>
          </w:tcPr>
          <w:p w14:paraId="3519B505" w14:textId="581D598A" w:rsidR="008D1552" w:rsidRPr="007B1A9C" w:rsidRDefault="008D1552" w:rsidP="00425D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B1A9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vAlign w:val="center"/>
          </w:tcPr>
          <w:p w14:paraId="075F2B2E" w14:textId="5AC39395" w:rsidR="008D1552" w:rsidRPr="007B1A9C" w:rsidRDefault="008D1552" w:rsidP="00A409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0E52A8E2" w14:textId="359137F1" w:rsidR="008D1552" w:rsidRDefault="008D1552" w:rsidP="00A409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(%)</w:t>
            </w:r>
          </w:p>
        </w:tc>
        <w:tc>
          <w:tcPr>
            <w:tcW w:w="1560" w:type="dxa"/>
            <w:vAlign w:val="center"/>
          </w:tcPr>
          <w:p w14:paraId="17F94103" w14:textId="2002A98E" w:rsidR="008D1552" w:rsidRDefault="008D1552" w:rsidP="00A409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843" w:type="dxa"/>
            <w:vAlign w:val="center"/>
          </w:tcPr>
          <w:p w14:paraId="02B27FC5" w14:textId="1B7D77E5" w:rsidR="008D1552" w:rsidRDefault="008D1552" w:rsidP="008D1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Producent/ </w:t>
            </w:r>
            <w:r w:rsidR="00082E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katalogowy</w:t>
            </w:r>
          </w:p>
        </w:tc>
      </w:tr>
      <w:tr w:rsidR="008D1552" w:rsidRPr="007B1A9C" w14:paraId="6FEBE54B" w14:textId="14DC6BA1" w:rsidTr="00626F7D">
        <w:trPr>
          <w:trHeight w:val="144"/>
        </w:trPr>
        <w:tc>
          <w:tcPr>
            <w:tcW w:w="562" w:type="dxa"/>
            <w:vAlign w:val="center"/>
          </w:tcPr>
          <w:p w14:paraId="2B3DA976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14:paraId="779AECA7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Preparat alkoholowy przeznaczony do szybkiej dezynfekcji małych powierzchni i miejsc trudno dostępnych, gotowy do użycia. Nie zawierający aldehydów, QAV i pochodnych biguanidyny. Zawierający min. 3 substancje aktywne. Spektrum działania: B (łącznie z MRSA i Tbc), F,  V (Rota, Adeno, HIV, HBV, HCV) – do 1 min. przebadany dodatkowo zgodnie z normą EN 16615:2015– butelka od 750 ml. do 1200 ml. </w:t>
            </w:r>
          </w:p>
        </w:tc>
        <w:tc>
          <w:tcPr>
            <w:tcW w:w="709" w:type="dxa"/>
            <w:vAlign w:val="center"/>
          </w:tcPr>
          <w:p w14:paraId="0D75CC3D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litry</w:t>
            </w:r>
          </w:p>
        </w:tc>
        <w:tc>
          <w:tcPr>
            <w:tcW w:w="1417" w:type="dxa"/>
          </w:tcPr>
          <w:p w14:paraId="411473FA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7B290684" w14:textId="32214302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1500</w:t>
            </w:r>
          </w:p>
        </w:tc>
        <w:tc>
          <w:tcPr>
            <w:tcW w:w="1417" w:type="dxa"/>
          </w:tcPr>
          <w:p w14:paraId="7E227C9C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01B831FC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3AEAB014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6719C8C5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297728C5" w14:textId="633810C5" w:rsidTr="00626F7D">
        <w:trPr>
          <w:trHeight w:val="144"/>
        </w:trPr>
        <w:tc>
          <w:tcPr>
            <w:tcW w:w="562" w:type="dxa"/>
            <w:vAlign w:val="center"/>
          </w:tcPr>
          <w:p w14:paraId="47C86B73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20" w:type="dxa"/>
            <w:vAlign w:val="center"/>
          </w:tcPr>
          <w:p w14:paraId="6ECF08B2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Gotowy do użycia preparat do dezynfekcji i mycia powierzchni medycznych znajdujących się w karetce pogotowia i gabinecie zabiegowym. Preparat na bazie H2O2, bez zawartości alkoholu, chloru. Spektrum działania:</w:t>
            </w:r>
            <w:r w:rsidRPr="007B1A9C">
              <w:rPr>
                <w:rFonts w:ascii="Calibri" w:eastAsia="Calibri" w:hAnsi="Calibri" w:cs="Times New Roman"/>
              </w:rPr>
              <w:t xml:space="preserve"> </w:t>
            </w: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zgodnie z EN 16615 B, F (Candidia albicans), F, Tbc, S (Cl. Difficile R 027), V zgodnie z RKI i EN 14476 (HBV, HCV, HIV, Adeno, Polyoma SV40, Noro, Polio). Butelka od 750 ml. do 1200 ml.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14:paraId="178D806A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litry</w:t>
            </w:r>
          </w:p>
        </w:tc>
        <w:tc>
          <w:tcPr>
            <w:tcW w:w="1417" w:type="dxa"/>
          </w:tcPr>
          <w:p w14:paraId="70993EB7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2A841DC7" w14:textId="48B205E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417" w:type="dxa"/>
          </w:tcPr>
          <w:p w14:paraId="6138F40D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5E8ACF58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202303A6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78E84249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60EFFDEB" w14:textId="0143D9DE" w:rsidTr="00626F7D">
        <w:trPr>
          <w:trHeight w:val="144"/>
        </w:trPr>
        <w:tc>
          <w:tcPr>
            <w:tcW w:w="562" w:type="dxa"/>
            <w:vAlign w:val="center"/>
          </w:tcPr>
          <w:p w14:paraId="5B63E05C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20" w:type="dxa"/>
            <w:vAlign w:val="center"/>
          </w:tcPr>
          <w:p w14:paraId="21A31E9D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Gotowy do użycia preparat do dezynfekcji i mycia powierzchni medycznych znajdujących się w karetce </w:t>
            </w: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pogotowia i gabinecie zabiegowym. Preparat na bazie H2O2, bez zawartości alkoholu, chloru. Spektrum działania: zgodnie z EN 16615 B, F (Candidia albicans), F, Tbc, S (Cl. Difficile R 027), V zgodnie z RKI i EN 14476 (HBV, HCV, HIV, Adeno, Polyoma SV40, Noro, Polio)Opakowanie 5L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14:paraId="09DA23D0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litry</w:t>
            </w:r>
          </w:p>
        </w:tc>
        <w:tc>
          <w:tcPr>
            <w:tcW w:w="1417" w:type="dxa"/>
          </w:tcPr>
          <w:p w14:paraId="42C879D8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109C8D93" w14:textId="4207DD7A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417" w:type="dxa"/>
          </w:tcPr>
          <w:p w14:paraId="1493FD37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7A954289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5D156F4D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2309CA21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0A5567D0" w14:textId="499C1B79" w:rsidTr="00626F7D">
        <w:trPr>
          <w:trHeight w:val="2902"/>
        </w:trPr>
        <w:tc>
          <w:tcPr>
            <w:tcW w:w="562" w:type="dxa"/>
            <w:vAlign w:val="center"/>
          </w:tcPr>
          <w:p w14:paraId="71ECFF14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820" w:type="dxa"/>
            <w:vAlign w:val="center"/>
          </w:tcPr>
          <w:p w14:paraId="2C0292E2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Chusteczki gotowe do użycia do dezynfekcji i mycia powierzchni medycznych znajdujących się w karetce pogotowia i gabinecie zabiegowym. Preparat na bazie H2O2 bez zawartości alkoholu, chloru. Chusteczka o wymiarze minimalnym 20x20cm i gramaturze minimalnej 50g/m2. Spektrum działania: zgodnie z EN 16615 B, F, Tbc, V zgodnie z RKI V (osłonkowe w tym: HBV, HCV, HIV), Adeno, Polyoma SV40, Rotawirus, Polio i Noro. Opakowanie od 80 do 120 szt.</w:t>
            </w:r>
          </w:p>
        </w:tc>
        <w:tc>
          <w:tcPr>
            <w:tcW w:w="709" w:type="dxa"/>
            <w:vAlign w:val="center"/>
          </w:tcPr>
          <w:p w14:paraId="79C9C23D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</w:tcPr>
          <w:p w14:paraId="6ACE07A2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4C2D8BB4" w14:textId="1FF73C39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200000</w:t>
            </w:r>
          </w:p>
        </w:tc>
        <w:tc>
          <w:tcPr>
            <w:tcW w:w="1417" w:type="dxa"/>
          </w:tcPr>
          <w:p w14:paraId="3980776E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0187669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4E277CB7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04D6BAE1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68E1BA4B" w14:textId="3CCBF14D" w:rsidTr="00626F7D">
        <w:trPr>
          <w:trHeight w:val="2060"/>
        </w:trPr>
        <w:tc>
          <w:tcPr>
            <w:tcW w:w="562" w:type="dxa"/>
            <w:vAlign w:val="center"/>
          </w:tcPr>
          <w:p w14:paraId="097C4DDD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820" w:type="dxa"/>
            <w:vAlign w:val="center"/>
          </w:tcPr>
          <w:p w14:paraId="00C3CCB7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Preparat w postaci koncentratu w płynie do mycia i dezynfekcji narzędzi lekarskich oraz endoskopów. Nie zawierający aldehydów, chloru, QAV, zw. utleniających i pochodnych fenolowych. Pozytywna opinia firmy Olympus Optical. Spektrum: B,F,Tbc,V (HBV, HIV, Vaccinia,BVDV) – 15 min. Opakowanie od 1,5 l do 2,5 l. </w:t>
            </w:r>
          </w:p>
        </w:tc>
        <w:tc>
          <w:tcPr>
            <w:tcW w:w="709" w:type="dxa"/>
            <w:vAlign w:val="center"/>
          </w:tcPr>
          <w:p w14:paraId="72912925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litry</w:t>
            </w:r>
          </w:p>
        </w:tc>
        <w:tc>
          <w:tcPr>
            <w:tcW w:w="1417" w:type="dxa"/>
          </w:tcPr>
          <w:p w14:paraId="2DD62E7F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45E47823" w14:textId="7D07C324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417" w:type="dxa"/>
          </w:tcPr>
          <w:p w14:paraId="1255A63F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7E3F0524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78943D83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76F4ED36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0666AA4F" w14:textId="2D3D3372" w:rsidTr="00626F7D">
        <w:trPr>
          <w:trHeight w:val="1864"/>
        </w:trPr>
        <w:tc>
          <w:tcPr>
            <w:tcW w:w="562" w:type="dxa"/>
            <w:vAlign w:val="center"/>
          </w:tcPr>
          <w:p w14:paraId="36B4B872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820" w:type="dxa"/>
            <w:vAlign w:val="center"/>
          </w:tcPr>
          <w:p w14:paraId="4E14C827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Preparat do higienicznej i chirurgicznej dezynfekcji rąk na bazie etanolu (min. 89%), bez zawartości jodu, chlorheksydyny, izopropanolu, fenolu i jego pochodnych. Preparat bezbarwny. Higieniczna dezynfekcja rąk zgodnie z normą EN 1500 w ciągu 20s. Spełniający  normy: EN 1500, EN 12791, EN 13727, EN 13624, EN 14476, EN14348 oraz RKI; spektrum działania: B – 15s., F – 15s., Tbc – 20s., V (wszystkie wirusy osłonione łącznie z HBV, HCV, </w:t>
            </w: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HIV), Rota, Noro (mysi), Adeno, Polio). Opakowanie od 750 ml. do 1200 ml. </w:t>
            </w:r>
          </w:p>
        </w:tc>
        <w:tc>
          <w:tcPr>
            <w:tcW w:w="709" w:type="dxa"/>
            <w:vAlign w:val="center"/>
          </w:tcPr>
          <w:p w14:paraId="0E4F58BD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litry</w:t>
            </w:r>
          </w:p>
        </w:tc>
        <w:tc>
          <w:tcPr>
            <w:tcW w:w="1417" w:type="dxa"/>
          </w:tcPr>
          <w:p w14:paraId="1CA9CD65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150BF29A" w14:textId="0CC27FB4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417" w:type="dxa"/>
          </w:tcPr>
          <w:p w14:paraId="39DA6276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097DC189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6E2AA18F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1FEB5596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5A2EB1E0" w14:textId="223F25AC" w:rsidTr="00626F7D">
        <w:trPr>
          <w:trHeight w:val="3112"/>
        </w:trPr>
        <w:tc>
          <w:tcPr>
            <w:tcW w:w="562" w:type="dxa"/>
            <w:vAlign w:val="center"/>
          </w:tcPr>
          <w:p w14:paraId="2BA03A32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820" w:type="dxa"/>
            <w:vAlign w:val="center"/>
          </w:tcPr>
          <w:p w14:paraId="3CE54B0F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Preparat do higienicznej i chirurgicznej dezynfekcji rąk na bazie etanolu (min. 89%), bez zawartości jodu, chlorheksydyny, izopropanolu, fenolu i jego pochodnych. Preparat bezbarwny. Higieniczna dezynfekcja rąk zgodnie z normą EN 1500 w ciągu 20s. Spełniający  normy: EN 1500, EN 12791, EN 13727, EN 13624, EN 14476, EN14348 oraz RKI; spektrum działania: B – 15s., F – 15s., Tbc – 20s., V (wszystkie wirusy osłonione łącznie z HBV, HCV, HIV), Rota, Noro (mysi), Adeno, Polio).  Opakowanie od 400 ml. do 500 ml. </w:t>
            </w:r>
          </w:p>
        </w:tc>
        <w:tc>
          <w:tcPr>
            <w:tcW w:w="709" w:type="dxa"/>
            <w:vAlign w:val="center"/>
          </w:tcPr>
          <w:p w14:paraId="437D4F72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litry</w:t>
            </w:r>
          </w:p>
        </w:tc>
        <w:tc>
          <w:tcPr>
            <w:tcW w:w="1417" w:type="dxa"/>
          </w:tcPr>
          <w:p w14:paraId="6B2E01C9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395DAFD1" w14:textId="39396D9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417" w:type="dxa"/>
          </w:tcPr>
          <w:p w14:paraId="41E44F90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EF35CC2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299A305D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6B950A94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0F45CED3" w14:textId="4FC3BA76" w:rsidTr="00626F7D">
        <w:trPr>
          <w:trHeight w:val="3097"/>
        </w:trPr>
        <w:tc>
          <w:tcPr>
            <w:tcW w:w="562" w:type="dxa"/>
            <w:vAlign w:val="center"/>
          </w:tcPr>
          <w:p w14:paraId="4C6ACD1E" w14:textId="77777777" w:rsidR="008D1552" w:rsidRPr="007B1A9C" w:rsidRDefault="008D1552" w:rsidP="00425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820" w:type="dxa"/>
            <w:vAlign w:val="center"/>
          </w:tcPr>
          <w:p w14:paraId="384BE392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>Preparat do higienicznej i chirurgicznej dezynfekcji rąk na bazie etanolu (min. 89%), bez zawartości jodu, chlorheksydyny, izopropanolu, fenolu i jego pochodnych. Preparat bezbarwny. Higieniczna dezynfekcja rąk zgodnie z normą EN 1500 w ciągu 20s. Spełniający  normy: EN 1500, EN 12791, EN 13727, EN 13624, EN 14476, EN14348 oraz RKI; spektrum działania: B – 15s., F – 15s., Tbc – 20s., V (wszystkie wirusy osłonione łącznie z HBV, HCV, HIV), Rota, Noro (mysi), Adeno, Polio).</w:t>
            </w:r>
          </w:p>
          <w:p w14:paraId="5266328D" w14:textId="77777777" w:rsidR="008D1552" w:rsidRPr="007B1A9C" w:rsidRDefault="008D1552" w:rsidP="00425D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1A9C">
              <w:rPr>
                <w:rFonts w:ascii="Times New Roman" w:eastAsia="Times New Roman" w:hAnsi="Times New Roman" w:cs="Times New Roman"/>
                <w:lang w:eastAsia="pl-PL"/>
              </w:rPr>
              <w:t xml:space="preserve">Opakowanie od 50 ml. do 120 ml. </w:t>
            </w:r>
          </w:p>
        </w:tc>
        <w:tc>
          <w:tcPr>
            <w:tcW w:w="709" w:type="dxa"/>
            <w:vAlign w:val="center"/>
          </w:tcPr>
          <w:p w14:paraId="35AE353F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sztuki</w:t>
            </w:r>
          </w:p>
        </w:tc>
        <w:tc>
          <w:tcPr>
            <w:tcW w:w="1417" w:type="dxa"/>
          </w:tcPr>
          <w:p w14:paraId="399D91D7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773D8C8C" w14:textId="5F07643E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2E3">
              <w:rPr>
                <w:rFonts w:ascii="Times New Roman" w:eastAsia="Times New Roman" w:hAnsi="Times New Roman" w:cs="Times New Roman"/>
                <w:lang w:eastAsia="pl-PL"/>
              </w:rPr>
              <w:t>4000</w:t>
            </w:r>
          </w:p>
        </w:tc>
        <w:tc>
          <w:tcPr>
            <w:tcW w:w="1417" w:type="dxa"/>
          </w:tcPr>
          <w:p w14:paraId="50F04AA5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5D49D962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3A332375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D533E2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552" w:rsidRPr="007B1A9C" w14:paraId="097AC6B3" w14:textId="683437F8" w:rsidTr="00626F7D">
        <w:trPr>
          <w:trHeight w:val="286"/>
        </w:trPr>
        <w:tc>
          <w:tcPr>
            <w:tcW w:w="7508" w:type="dxa"/>
            <w:gridSpan w:val="4"/>
            <w:tcBorders>
              <w:left w:val="nil"/>
              <w:bottom w:val="nil"/>
            </w:tcBorders>
            <w:vAlign w:val="center"/>
          </w:tcPr>
          <w:p w14:paraId="19059120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5" w:type="dxa"/>
            <w:vAlign w:val="center"/>
          </w:tcPr>
          <w:p w14:paraId="059D3399" w14:textId="17A7E5A5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1417" w:type="dxa"/>
          </w:tcPr>
          <w:p w14:paraId="7AD1262E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shd w:val="clear" w:color="auto" w:fill="0D0D0D" w:themeFill="text1" w:themeFillTint="F2"/>
          </w:tcPr>
          <w:p w14:paraId="44B2BC5B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17F0BC76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36542140" w14:textId="77777777" w:rsidR="008D1552" w:rsidRPr="002E32E3" w:rsidRDefault="008D1552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D945E2" w14:textId="77777777" w:rsidR="00341EE3" w:rsidRPr="00341EE3" w:rsidRDefault="00341EE3" w:rsidP="00341EE3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517F124" w14:textId="77777777" w:rsidR="00341EE3" w:rsidRPr="007A7938" w:rsidRDefault="00341EE3">
      <w:pPr>
        <w:rPr>
          <w:rFonts w:ascii="Times New Roman" w:hAnsi="Times New Roman" w:cs="Times New Roman"/>
        </w:rPr>
      </w:pPr>
    </w:p>
    <w:sectPr w:rsidR="00341EE3" w:rsidRPr="007A793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082E04"/>
    <w:rsid w:val="001244A1"/>
    <w:rsid w:val="002D7BFE"/>
    <w:rsid w:val="00341EE3"/>
    <w:rsid w:val="00374EEC"/>
    <w:rsid w:val="00413A26"/>
    <w:rsid w:val="00475E49"/>
    <w:rsid w:val="005F6F2C"/>
    <w:rsid w:val="00626F7D"/>
    <w:rsid w:val="007A7938"/>
    <w:rsid w:val="007F2C03"/>
    <w:rsid w:val="008D1552"/>
    <w:rsid w:val="00922622"/>
    <w:rsid w:val="009E5320"/>
    <w:rsid w:val="00A409B2"/>
    <w:rsid w:val="00A93DEA"/>
    <w:rsid w:val="00AC2CAA"/>
    <w:rsid w:val="00AF4CBD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  <w:style w:type="table" w:customStyle="1" w:styleId="Tabela-Siatka2">
    <w:name w:val="Tabela - Siatka2"/>
    <w:basedOn w:val="Standardowy"/>
    <w:next w:val="Tabela-Siatka"/>
    <w:uiPriority w:val="39"/>
    <w:rsid w:val="0092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5</cp:revision>
  <dcterms:created xsi:type="dcterms:W3CDTF">2024-07-02T06:21:00Z</dcterms:created>
  <dcterms:modified xsi:type="dcterms:W3CDTF">2024-07-04T09:19:00Z</dcterms:modified>
</cp:coreProperties>
</file>