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4CD0DCDC"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DA7A8A">
        <w:rPr>
          <w:rFonts w:ascii="Times New Roman" w:hAnsi="Times New Roman" w:cs="Times New Roman"/>
          <w:b/>
          <w:bCs/>
          <w:i w:val="0"/>
          <w:iCs w:val="0"/>
          <w:sz w:val="22"/>
          <w:szCs w:val="22"/>
        </w:rPr>
        <w:t>4</w:t>
      </w:r>
      <w:r w:rsidR="00C24DCF" w:rsidRPr="00C24DCF">
        <w:rPr>
          <w:rFonts w:ascii="Times New Roman" w:hAnsi="Times New Roman" w:cs="Times New Roman"/>
          <w:b/>
          <w:bCs/>
          <w:i w:val="0"/>
          <w:iCs w:val="0"/>
          <w:sz w:val="22"/>
          <w:szCs w:val="22"/>
        </w:rPr>
        <w:t xml:space="preserve"> </w:t>
      </w:r>
      <w:r w:rsidRPr="00C24DCF">
        <w:rPr>
          <w:rFonts w:ascii="Times New Roman" w:hAnsi="Times New Roman" w:cs="Times New Roman"/>
          <w:b/>
          <w:bCs/>
          <w:i w:val="0"/>
          <w:iCs w:val="0"/>
          <w:sz w:val="22"/>
          <w:szCs w:val="22"/>
        </w:rPr>
        <w:t>do SWZ</w:t>
      </w:r>
    </w:p>
    <w:p w14:paraId="6431B252" w14:textId="61EB2687"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w:t>
      </w:r>
      <w:r w:rsidR="00DA7A8A">
        <w:rPr>
          <w:b/>
          <w:color w:val="000000"/>
          <w:sz w:val="22"/>
          <w:szCs w:val="22"/>
        </w:rPr>
        <w:t>1</w:t>
      </w:r>
      <w:r w:rsidR="003D5E0C" w:rsidRPr="00C24DCF">
        <w:rPr>
          <w:b/>
          <w:color w:val="000000"/>
          <w:sz w:val="22"/>
          <w:szCs w:val="22"/>
        </w:rPr>
        <w:t>.202</w:t>
      </w:r>
      <w:r w:rsidR="00DA7A8A">
        <w:rPr>
          <w:b/>
          <w:color w:val="000000"/>
          <w:sz w:val="22"/>
          <w:szCs w:val="22"/>
        </w:rPr>
        <w:t>4</w:t>
      </w:r>
      <w:r w:rsidR="003D5E0C" w:rsidRPr="00C24DCF">
        <w:rPr>
          <w:b/>
          <w:color w:val="000000"/>
          <w:sz w:val="22"/>
          <w:szCs w:val="22"/>
        </w:rPr>
        <w:t>.BM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22F7EE86"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w:t>
      </w:r>
      <w:r w:rsidR="00DA7A8A">
        <w:rPr>
          <w:b/>
          <w:color w:val="000000"/>
          <w:sz w:val="22"/>
          <w:szCs w:val="22"/>
        </w:rPr>
        <w:t>1</w:t>
      </w:r>
      <w:r w:rsidRPr="00C24DCF">
        <w:rPr>
          <w:b/>
          <w:color w:val="000000"/>
          <w:sz w:val="22"/>
          <w:szCs w:val="22"/>
        </w:rPr>
        <w:t>.202</w:t>
      </w:r>
      <w:r w:rsidR="00DA7A8A">
        <w:rPr>
          <w:b/>
          <w:color w:val="000000"/>
          <w:sz w:val="22"/>
          <w:szCs w:val="22"/>
        </w:rPr>
        <w:t>4</w:t>
      </w:r>
      <w:r w:rsidRPr="00C24DCF">
        <w:rPr>
          <w:b/>
          <w:color w:val="000000"/>
          <w:sz w:val="22"/>
          <w:szCs w:val="22"/>
        </w:rPr>
        <w:t>.BM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00DA7A8A">
        <w:rPr>
          <w:b/>
          <w:bCs/>
          <w:sz w:val="22"/>
          <w:szCs w:val="22"/>
        </w:rPr>
        <w:t>2.</w:t>
      </w:r>
      <w:r w:rsidR="00865F7E" w:rsidRPr="00865F7E">
        <w:rPr>
          <w:b/>
          <w:bCs/>
          <w:sz w:val="22"/>
          <w:szCs w:val="22"/>
        </w:rPr>
        <w:t>”</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0A615B43"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916438">
        <w:rPr>
          <w:bCs/>
          <w:sz w:val="22"/>
          <w:szCs w:val="22"/>
        </w:rPr>
        <w:t xml:space="preserve">w okresie od 20 do </w:t>
      </w:r>
      <w:r w:rsidR="00DA7A8A">
        <w:rPr>
          <w:bCs/>
          <w:sz w:val="22"/>
          <w:szCs w:val="22"/>
        </w:rPr>
        <w:t xml:space="preserve">30 </w:t>
      </w:r>
      <w:r w:rsidR="001E096A">
        <w:rPr>
          <w:bCs/>
          <w:sz w:val="22"/>
          <w:szCs w:val="22"/>
        </w:rPr>
        <w:t>czerwca 2024 r.</w:t>
      </w:r>
      <w:r w:rsidR="00883F38">
        <w:rPr>
          <w:bCs/>
          <w:sz w:val="22"/>
          <w:szCs w:val="22"/>
        </w:rPr>
        <w:t>/w okresie od 20 czerwca do 15 lipca 2024 r.</w:t>
      </w:r>
      <w:r w:rsidR="00883F38">
        <w:rPr>
          <w:rStyle w:val="Odwoanieprzypisudolnego"/>
          <w:bCs/>
          <w:sz w:val="22"/>
          <w:szCs w:val="22"/>
        </w:rPr>
        <w:footnoteReference w:id="3"/>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6539002" w14:textId="6C289614" w:rsidR="00C52C17" w:rsidRDefault="001E096A" w:rsidP="00C52C17">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pojazdu. Termin szkolenia zostanie ustalony między Stronami po odbiorze pojazdu, jednakże szkolenie winno się odbyć maksymalnie w ciągu 10 dni</w:t>
      </w:r>
      <w:r w:rsidR="00C52C17">
        <w:rPr>
          <w:sz w:val="22"/>
          <w:szCs w:val="22"/>
          <w:lang w:eastAsia="x-none"/>
        </w:rPr>
        <w:t xml:space="preserve"> </w:t>
      </w:r>
      <w:r w:rsidR="0057223B">
        <w:rPr>
          <w:sz w:val="22"/>
          <w:szCs w:val="22"/>
          <w:lang w:eastAsia="x-none"/>
        </w:rPr>
        <w:t>liczonych</w:t>
      </w:r>
      <w:r w:rsidR="00C52C17">
        <w:rPr>
          <w:sz w:val="22"/>
          <w:szCs w:val="22"/>
          <w:lang w:eastAsia="x-none"/>
        </w:rPr>
        <w:t xml:space="preserve"> </w:t>
      </w:r>
      <w:r w:rsidR="00705BBA" w:rsidRPr="00F8274B">
        <w:rPr>
          <w:sz w:val="22"/>
          <w:szCs w:val="22"/>
          <w:lang w:eastAsia="x-none"/>
        </w:rPr>
        <w:t>od odbioru pojazdu w siedzibie Zamawiającego.</w:t>
      </w:r>
    </w:p>
    <w:p w14:paraId="176DE8E4" w14:textId="00BCCEBB" w:rsidR="00C52C17" w:rsidRPr="00921B7B" w:rsidRDefault="00C52C17" w:rsidP="00C52C17">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rFonts w:eastAsia="Calibri"/>
          <w:sz w:val="22"/>
          <w:szCs w:val="22"/>
        </w:rPr>
        <w:t xml:space="preserve">Wykonawca w ramach zamówienia zobowiązuje się do pokrycia kosztów związanych z ubezpieczeniem pojazdu na 12 miesięcy. Zamawiający oczekuje, że Wykonawca wybierze i opłaci (poprzez np. dokonanie bezpośredniej zapłaty przez Wykonawcę lub zwrócenie Zamawiającemu kosztów związanych z zakupem pakietu ubezpieczeń) dla Zamawiającego pakiet ubezpieczenia na 12 miesięcy (AC+OC+NW). Wykonawca zobowiązany jest przedstawić Zamawiającemu do akceptacji propozycję ubezpieczenia. </w:t>
      </w:r>
    </w:p>
    <w:p w14:paraId="6429883D" w14:textId="08D077D5" w:rsidR="00921B7B" w:rsidRPr="00921B7B" w:rsidRDefault="00921B7B" w:rsidP="00921B7B">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sz w:val="22"/>
          <w:szCs w:val="22"/>
          <w:lang w:eastAsia="ar-SA"/>
        </w:rPr>
        <w:t xml:space="preserve">Wykonawca dostarczy </w:t>
      </w:r>
      <w:r>
        <w:rPr>
          <w:sz w:val="22"/>
          <w:szCs w:val="22"/>
          <w:lang w:eastAsia="ar-SA"/>
        </w:rPr>
        <w:t xml:space="preserve">w terminie wskazanym w § 3 </w:t>
      </w:r>
      <w:r w:rsidRPr="00921B7B">
        <w:rPr>
          <w:sz w:val="22"/>
          <w:szCs w:val="22"/>
          <w:lang w:eastAsia="ar-SA"/>
        </w:rPr>
        <w:t>wszystkie konieczne i niezbędne dokumenty</w:t>
      </w:r>
      <w:r>
        <w:rPr>
          <w:sz w:val="22"/>
          <w:szCs w:val="22"/>
          <w:lang w:eastAsia="ar-SA"/>
        </w:rPr>
        <w:t>, ponad te wskazane w ust. 4, które</w:t>
      </w:r>
      <w:r w:rsidRPr="00921B7B">
        <w:rPr>
          <w:sz w:val="22"/>
          <w:szCs w:val="22"/>
          <w:lang w:eastAsia="ar-SA"/>
        </w:rPr>
        <w:t xml:space="preserve"> umożliwiają rejestrację pojazdu (komplet dokumentów).</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B2DCF13"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 xml:space="preserve">ubezpieczenia OC, AC, NNW pojazdu na okres </w:t>
      </w:r>
      <w:r w:rsidR="00C52C17">
        <w:rPr>
          <w:color w:val="000000"/>
          <w:sz w:val="22"/>
          <w:szCs w:val="22"/>
          <w:lang w:eastAsia="pl-PL"/>
        </w:rPr>
        <w:t>12</w:t>
      </w:r>
      <w:r w:rsidR="005B704A">
        <w:rPr>
          <w:color w:val="000000"/>
          <w:sz w:val="22"/>
          <w:szCs w:val="22"/>
          <w:lang w:eastAsia="pl-PL"/>
        </w:rPr>
        <w:t xml:space="preserve">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lastRenderedPageBreak/>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1E389415"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w:t>
      </w:r>
      <w:r w:rsidR="00916438">
        <w:rPr>
          <w:sz w:val="22"/>
          <w:szCs w:val="22"/>
          <w:lang w:eastAsia="pl-PL"/>
        </w:rPr>
        <w:t>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1AF379E4" w14:textId="2922DD3B"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zł brutto</w:t>
      </w:r>
      <w:r w:rsidR="00D03DBA">
        <w:rPr>
          <w:color w:val="000000" w:themeColor="text1"/>
          <w:sz w:val="22"/>
          <w:szCs w:val="22"/>
          <w:lang w:eastAsia="pl-PL"/>
        </w:rPr>
        <w:t>, odpowiadającej wartości wkładu własnego, która równa się 6,25% wynagrodzenia wskazanego w §5 ust. 1.</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7A2F4AE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916438">
        <w:rPr>
          <w:color w:val="000000"/>
          <w:sz w:val="22"/>
          <w:szCs w:val="22"/>
          <w:lang w:eastAsia="pl-PL"/>
        </w:rPr>
        <w:t>.</w:t>
      </w:r>
    </w:p>
    <w:p w14:paraId="32B1DAF9" w14:textId="28DD7DF1"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916438">
        <w:rPr>
          <w:color w:val="000000"/>
          <w:sz w:val="22"/>
          <w:szCs w:val="22"/>
          <w:lang w:eastAsia="pl-PL"/>
        </w:rPr>
        <w:t>5</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4"/>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lastRenderedPageBreak/>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7B959E86"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916438">
        <w:rPr>
          <w:sz w:val="22"/>
          <w:szCs w:val="22"/>
          <w:lang w:eastAsia="pl-PL"/>
        </w:rPr>
        <w:br/>
      </w:r>
      <w:r w:rsidRPr="00D00882">
        <w:rPr>
          <w:sz w:val="22"/>
          <w:szCs w:val="22"/>
          <w:lang w:eastAsia="pl-PL"/>
        </w:rPr>
        <w:t>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5"/>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lastRenderedPageBreak/>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w:t>
      </w:r>
      <w:r w:rsidRPr="00C24DCF">
        <w:rPr>
          <w:sz w:val="22"/>
          <w:szCs w:val="22"/>
          <w:lang w:eastAsia="pl-PL"/>
        </w:rPr>
        <w:lastRenderedPageBreak/>
        <w:t>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lastRenderedPageBreak/>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BD6A" w14:textId="77777777" w:rsidR="0029242F" w:rsidRDefault="0029242F">
      <w:r>
        <w:separator/>
      </w:r>
    </w:p>
  </w:endnote>
  <w:endnote w:type="continuationSeparator" w:id="0">
    <w:p w14:paraId="074E1936" w14:textId="77777777" w:rsidR="0029242F" w:rsidRDefault="0029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B569" w14:textId="77777777" w:rsidR="0029242F" w:rsidRDefault="0029242F">
      <w:r>
        <w:separator/>
      </w:r>
    </w:p>
  </w:footnote>
  <w:footnote w:type="continuationSeparator" w:id="0">
    <w:p w14:paraId="518237CF" w14:textId="77777777" w:rsidR="0029242F" w:rsidRDefault="0029242F">
      <w:r>
        <w:continuationSeparator/>
      </w:r>
    </w:p>
  </w:footnote>
  <w:footnote w:id="1">
    <w:p w14:paraId="1A144F88" w14:textId="7682D7CA"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w:t>
      </w:r>
      <w:bookmarkStart w:id="1" w:name="_Hlk118295999"/>
      <w:r w:rsidR="00865F7E" w:rsidRPr="00865F7E">
        <w:rPr>
          <w:rFonts w:eastAsia="Calibri"/>
          <w:sz w:val="20"/>
          <w:szCs w:val="20"/>
        </w:rPr>
        <w:t xml:space="preserve"> Część </w:t>
      </w:r>
      <w:r w:rsidR="00DA7A8A">
        <w:rPr>
          <w:rFonts w:eastAsia="Calibri"/>
          <w:sz w:val="20"/>
          <w:szCs w:val="20"/>
        </w:rPr>
        <w:t>1</w:t>
      </w:r>
      <w:r w:rsidR="00865F7E" w:rsidRPr="00865F7E">
        <w:rPr>
          <w:rFonts w:eastAsia="Calibri"/>
          <w:sz w:val="20"/>
          <w:szCs w:val="20"/>
        </w:rPr>
        <w:t xml:space="preserve">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 Część </w:t>
      </w:r>
      <w:r w:rsidR="00DA7A8A">
        <w:rPr>
          <w:rFonts w:eastAsia="Calibri"/>
          <w:sz w:val="20"/>
          <w:szCs w:val="20"/>
        </w:rPr>
        <w:t>2</w:t>
      </w:r>
      <w:r w:rsidR="00865F7E" w:rsidRPr="00865F7E">
        <w:rPr>
          <w:rFonts w:eastAsia="Calibri"/>
          <w:sz w:val="20"/>
          <w:szCs w:val="20"/>
        </w:rPr>
        <w:t xml:space="preserve"> -  Dostawa ciągnika rolniczego</w:t>
      </w:r>
      <w:bookmarkEnd w:id="1"/>
      <w:r w:rsidR="00865F7E" w:rsidRPr="00865F7E">
        <w:rPr>
          <w:rFonts w:eastAsia="Calibri"/>
          <w:sz w:val="20"/>
          <w:szCs w:val="20"/>
        </w:rPr>
        <w:t xml:space="preserve">, Część </w:t>
      </w:r>
      <w:r w:rsidR="00DA7A8A">
        <w:rPr>
          <w:rFonts w:eastAsia="Calibri"/>
          <w:sz w:val="20"/>
          <w:szCs w:val="20"/>
        </w:rPr>
        <w:t>3</w:t>
      </w:r>
      <w:r w:rsidR="00865F7E" w:rsidRPr="00865F7E">
        <w:rPr>
          <w:rFonts w:eastAsia="Calibri"/>
          <w:sz w:val="20"/>
          <w:szCs w:val="20"/>
        </w:rPr>
        <w:t xml:space="preserve">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53F6D37C" w14:textId="123253F0" w:rsidR="00883F38" w:rsidRDefault="00883F38" w:rsidP="00883F38">
      <w:pPr>
        <w:pStyle w:val="Tekstprzypisudolnego"/>
        <w:jc w:val="both"/>
      </w:pPr>
      <w:r>
        <w:rPr>
          <w:rStyle w:val="Odwoanieprzypisudolnego"/>
        </w:rPr>
        <w:footnoteRef/>
      </w:r>
      <w:r>
        <w:t xml:space="preserve"> Niepotrzebne usunąć w zależności od Części </w:t>
      </w:r>
      <w:proofErr w:type="spellStart"/>
      <w:proofErr w:type="gramStart"/>
      <w:r>
        <w:t>postępowania.Termin</w:t>
      </w:r>
      <w:proofErr w:type="spellEnd"/>
      <w:proofErr w:type="gramEnd"/>
      <w:r>
        <w:t xml:space="preserve"> dostawy przedmiotu zamówienia w okresie od 20 czerwca do 15 lipca 2024 r. dotyczy tylko Części 1.</w:t>
      </w:r>
    </w:p>
  </w:footnote>
  <w:footnote w:id="4">
    <w:p w14:paraId="2F55DF78" w14:textId="77777777" w:rsidR="00D00882" w:rsidRDefault="00D00882" w:rsidP="00D00882">
      <w:pPr>
        <w:pStyle w:val="Tekstprzypisudolnego"/>
      </w:pPr>
      <w:r>
        <w:rPr>
          <w:rStyle w:val="Odwoanieprzypisudolnego"/>
        </w:rPr>
        <w:footnoteRef/>
      </w:r>
      <w:r>
        <w:t>Wpisać zgodnie z ofertą</w:t>
      </w:r>
    </w:p>
  </w:footnote>
  <w:footnote w:id="5">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242F"/>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47079"/>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2950"/>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6111"/>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10FA"/>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83F3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16438"/>
    <w:rsid w:val="009201A6"/>
    <w:rsid w:val="00921B7B"/>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74EA9"/>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17"/>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3DBA"/>
    <w:rsid w:val="00D1327A"/>
    <w:rsid w:val="00D16870"/>
    <w:rsid w:val="00D212F3"/>
    <w:rsid w:val="00D24EFB"/>
    <w:rsid w:val="00D25780"/>
    <w:rsid w:val="00D26B15"/>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A7A8A"/>
    <w:rsid w:val="00DB15B3"/>
    <w:rsid w:val="00DB268E"/>
    <w:rsid w:val="00DC19F5"/>
    <w:rsid w:val="00DC1BCC"/>
    <w:rsid w:val="00DC2554"/>
    <w:rsid w:val="00DC3217"/>
    <w:rsid w:val="00DC480D"/>
    <w:rsid w:val="00DD0105"/>
    <w:rsid w:val="00DD432C"/>
    <w:rsid w:val="00DD4E54"/>
    <w:rsid w:val="00DE039D"/>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3457</Words>
  <Characters>20747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3</cp:revision>
  <dcterms:created xsi:type="dcterms:W3CDTF">2024-01-29T09:05:00Z</dcterms:created>
  <dcterms:modified xsi:type="dcterms:W3CDTF">2024-01-29T09:07:00Z</dcterms:modified>
</cp:coreProperties>
</file>