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>
          <w:rFonts w:cs="Arial"/>
          <w:kern w:val="2"/>
        </w:rPr>
        <w:t xml:space="preserve">Numer sprawy: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ZPA.271.13.2021</w:t>
      </w:r>
      <w:r>
        <w:rPr>
          <w:rFonts w:cs="Arial"/>
          <w:kern w:val="2"/>
        </w:rPr>
        <w:t xml:space="preserve">                                                    Włodawa  dnia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16.07.2021 r.</w:t>
      </w:r>
    </w:p>
    <w:p>
      <w:pPr>
        <w:pStyle w:val="Normal"/>
        <w:bidi w:val="0"/>
        <w:jc w:val="both"/>
        <w:rPr>
          <w:rFonts w:cs="Arial"/>
          <w:kern w:val="2"/>
        </w:rPr>
      </w:pPr>
      <w:r>
        <w:rPr>
          <w:rFonts w:cs="Arial"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Times New Roman" w:ascii="Times New Roman" w:hAnsi="Times New Roman"/>
          <w:b/>
          <w:bCs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Cambria" w:hAnsi="Cambria"/>
          <w:b/>
          <w:bCs/>
          <w:kern w:val="2"/>
          <w:sz w:val="24"/>
          <w:szCs w:val="24"/>
          <w:lang w:val="pl-PL"/>
        </w:rPr>
        <w:t>INFORMACJA O WYBORZE NAJKORZYSTNIEJSZEJ OFERTY</w:t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" w:hAnsi="Arial" w:cs="Arial Narrow"/>
          <w:kern w:val="2"/>
          <w:sz w:val="20"/>
          <w:szCs w:val="20"/>
          <w:lang w:val="pl-PL"/>
        </w:rPr>
      </w:pPr>
      <w:r>
        <w:rPr>
          <w:rFonts w:cs="Arial Narrow" w:ascii="Arial" w:hAnsi="Arial"/>
          <w:kern w:val="2"/>
          <w:sz w:val="20"/>
          <w:szCs w:val="20"/>
          <w:lang w:val="pl-PL"/>
        </w:rPr>
      </w:r>
    </w:p>
    <w:p>
      <w:pPr>
        <w:pStyle w:val="Tretekstu"/>
        <w:bidi w:val="0"/>
        <w:spacing w:before="0" w:after="0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i w:val="false"/>
          <w:iCs w:val="false"/>
          <w:kern w:val="2"/>
          <w:sz w:val="22"/>
          <w:szCs w:val="22"/>
          <w:lang w:val="pl-PL"/>
        </w:rPr>
        <w:t xml:space="preserve">Dotyczy postępowania o udzielenie zamówienia publicznego w trybie podstawowym zgodnie z art. 275 pkt.1 ustawy Pzp, pn.: </w:t>
      </w:r>
    </w:p>
    <w:p>
      <w:pPr>
        <w:pStyle w:val="Normal"/>
        <w:bidi w:val="0"/>
        <w:spacing w:before="0" w:after="0"/>
        <w:jc w:val="center"/>
        <w:rPr>
          <w:rFonts w:ascii="Arial" w:hAnsi="Arial" w:cs="Arial Narrow"/>
          <w:b/>
          <w:b/>
          <w:sz w:val="20"/>
          <w:szCs w:val="20"/>
          <w:lang w:val="pl-PL"/>
        </w:rPr>
      </w:pPr>
      <w:r>
        <w:rPr>
          <w:rFonts w:cs="Arial Narrow" w:ascii="Arial" w:hAnsi="Arial"/>
          <w:b/>
          <w:sz w:val="20"/>
          <w:szCs w:val="20"/>
          <w:lang w:val="pl-PL"/>
        </w:rPr>
      </w:r>
      <w:bookmarkStart w:id="0" w:name="OLE_LINK90"/>
      <w:bookmarkStart w:id="1" w:name="OLE_LINK56"/>
      <w:bookmarkStart w:id="2" w:name="OLE_LINK19"/>
      <w:bookmarkStart w:id="3" w:name="OLE_LINK18"/>
      <w:bookmarkStart w:id="4" w:name="OLE_LINK17"/>
      <w:bookmarkStart w:id="5" w:name="OLE_LINK90"/>
      <w:bookmarkStart w:id="6" w:name="OLE_LINK56"/>
      <w:bookmarkStart w:id="7" w:name="OLE_LINK19"/>
      <w:bookmarkStart w:id="8" w:name="OLE_LINK18"/>
      <w:bookmarkStart w:id="9" w:name="OLE_LINK17"/>
      <w:bookmarkEnd w:id="5"/>
      <w:bookmarkEnd w:id="6"/>
      <w:bookmarkEnd w:id="7"/>
      <w:bookmarkEnd w:id="8"/>
      <w:bookmarkEnd w:id="9"/>
    </w:p>
    <w:p>
      <w:pPr>
        <w:pStyle w:val="Normal"/>
        <w:widowControl/>
        <w:bidi w:val="0"/>
        <w:spacing w:lineRule="auto" w:line="24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Arial" w:ascii="Cambria" w:hAnsi="Cambria"/>
          <w:b/>
          <w:bCs/>
          <w:i/>
          <w:iCs/>
          <w:caps w:val="false"/>
          <w:smallCaps w:val="false"/>
          <w:color w:val="000000"/>
          <w:spacing w:val="0"/>
          <w:kern w:val="2"/>
          <w:sz w:val="26"/>
          <w:szCs w:val="26"/>
          <w:lang w:val="pl-PL"/>
        </w:rPr>
        <w:t>„</w:t>
      </w:r>
      <w:r>
        <w:rPr>
          <w:rFonts w:eastAsia="Times New Roman" w:cs="Arial" w:ascii="Cambria" w:hAnsi="Cambria"/>
          <w:b/>
          <w:bCs/>
          <w:i/>
          <w:iCs/>
          <w:caps w:val="false"/>
          <w:smallCaps w:val="false"/>
          <w:color w:val="000000"/>
          <w:spacing w:val="0"/>
          <w:kern w:val="0"/>
          <w:sz w:val="26"/>
          <w:szCs w:val="26"/>
          <w:lang w:val="pl-PL" w:eastAsia="pl-PL" w:bidi="ar-SA"/>
        </w:rPr>
        <w:t>Modernizacja budynku Warsztatu Terapii Zajęciowej we Włodawie – przystosowanie warunków do przepisów p.poż</w:t>
      </w:r>
      <w:r>
        <w:rPr>
          <w:rFonts w:cs="Arial" w:ascii="Cambria" w:hAnsi="Cambria"/>
          <w:b/>
          <w:bCs/>
          <w:i/>
          <w:iCs/>
          <w:caps w:val="false"/>
          <w:smallCaps w:val="false"/>
          <w:color w:val="000000"/>
          <w:spacing w:val="0"/>
          <w:kern w:val="2"/>
          <w:sz w:val="26"/>
          <w:szCs w:val="26"/>
          <w:lang w:val="pl-PL"/>
        </w:rPr>
        <w:t>”.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Cambria" w:hAnsi="Cambria"/>
          <w:b w:val="false"/>
          <w:bCs w:val="false"/>
          <w:kern w:val="2"/>
          <w:sz w:val="24"/>
          <w:szCs w:val="24"/>
          <w:lang w:val="pl-PL"/>
        </w:rPr>
        <w:tab/>
        <w:t xml:space="preserve">Działając na podstawie art. 253 ust. 1 ustawy </w:t>
      </w:r>
      <w:r>
        <w:rPr>
          <w:rStyle w:val="Mocnowyrniony"/>
          <w:rFonts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 xml:space="preserve">z dnia 11 września 2019 r. Prawo zamówień publicznych (Dz. U. z 2019 r. poz. 2019 z późn. zm.) </w:t>
      </w:r>
      <w:r>
        <w:rPr>
          <w:rFonts w:eastAsia="Tahoma" w:cs="Tahoma" w:ascii="Cambria" w:hAnsi="Cambria"/>
          <w:color w:val="auto"/>
          <w:kern w:val="2"/>
          <w:sz w:val="24"/>
          <w:szCs w:val="24"/>
          <w:lang w:val="pl-PL" w:eastAsia="zxx" w:bidi="zxx"/>
        </w:rPr>
        <w:t>Zamawiający informuje, że w przedmiotowym postępowaniu prowadzonym przez Gminę Miejską Włodawa, Al. J. Piłsudskiego 41, 22-200 Włodawa,  postanowił co następuje: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lang w:val="pl-PL" w:eastAsia="zxx" w:bidi="zxx"/>
        </w:rPr>
        <w:t xml:space="preserve">1. </w:t>
      </w:r>
      <w:r>
        <w:rPr>
          <w:rFonts w:eastAsia="Tahoma" w:cs="Tahoma" w:ascii="Cambria" w:hAnsi="Cambria"/>
          <w:color w:val="auto"/>
          <w:kern w:val="2"/>
          <w:sz w:val="24"/>
          <w:szCs w:val="24"/>
          <w:lang w:val="pl-PL" w:eastAsia="zxx" w:bidi="zxx"/>
        </w:rPr>
        <w:t>Wybrać do realizacji zamówienia o</w:t>
      </w:r>
      <w:r>
        <w:rPr>
          <w:rFonts w:eastAsia="Tahoma" w:cs="Tahoma"/>
          <w:color w:val="auto"/>
          <w:kern w:val="2"/>
          <w:sz w:val="22"/>
          <w:szCs w:val="22"/>
          <w:lang w:val="pl-PL" w:eastAsia="zxx" w:bidi="zxx"/>
        </w:rPr>
        <w:t>fertę nr 2 złożoną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b/>
          <w:b/>
          <w:bCs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Gminny Zakład Obsługi Spółka z o. o. w Dorohusku, Okopy Kolonia 49, 22-175 Dorohusk.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Liberation Serif" w:hAnsi="Liberation Serif" w:eastAsia="Tahoma" w:cs="Times New Roman"/>
          <w:b/>
          <w:b/>
          <w:bCs/>
          <w:i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color w:val="auto"/>
          <w:kern w:val="2"/>
          <w:sz w:val="24"/>
          <w:szCs w:val="24"/>
          <w:u w:val="single"/>
          <w:lang w:val="pl-PL" w:eastAsia="zxx" w:bidi="zxx"/>
        </w:rPr>
        <w:t>Uzasadnienie wyboru: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Podstawą prawną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dokonanego wyboru są kryteria oceny ofert określone w rozdziale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 xml:space="preserve">17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SWZ zgodnie z art. 247 ustawy Prawo zamówień publicznych. Oferta wybranego wykonawcy nie podlega odrzuceniu na podstawie art. 226 ust. 1 ustawy Pzp.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Uzasadnienie faktyczne: </w:t>
      </w:r>
      <w:bookmarkStart w:id="10" w:name="__DdeLink__1156_3080936100"/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10"/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2. Oferty podlegające ocenie 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złożone w postępowaniu 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WZURiB Sp. z o. o., ul. Chełmska 94, 22-200 Włodawa. 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11" w:name="__DdeLink__3471_620719433"/>
      <w:bookmarkEnd w:id="11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93,42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53,42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2 -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>Gminny Zakład Obsługi Spółka z o. o. w Dorohusku, Okopy Kolonia 49, 22-175 Dorohusk.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12" w:name="__DdeLink__3471_6207194331"/>
      <w:bookmarkEnd w:id="12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100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60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eastAsia="Calibri" w:cs="Arial" w:asciiTheme="majorHAnsi" w:hAnsiTheme="majorHAnsi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LibreOffice/7.0.0.3$Windows_X86_64 LibreOffice_project/8061b3e9204bef6b321a21033174034a5e2ea88e</Application>
  <Pages>1</Pages>
  <Words>282</Words>
  <Characters>1613</Characters>
  <CharactersWithSpaces>1937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2021-07-14T11:35:39Z</dcterms:created>
  <dc:creator/>
  <dc:description/>
  <dc:language>pl-PL</dc:language>
  <cp:lastModifiedBy/>
  <dcterms:modified xsi:type="dcterms:W3CDTF">2021-07-16T09:44:18Z</dcterms:modified>
  <cp:revision>3</cp:revision>
  <dc:subject/>
  <dc:title/>
</cp:coreProperties>
</file>