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92179" w14:textId="77777777" w:rsidR="0098529A" w:rsidRPr="00050E40" w:rsidRDefault="0098529A" w:rsidP="00E44FB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>BEZPIECZEŃSTWO I OZNAKOWANIE ROBÓT</w:t>
      </w:r>
    </w:p>
    <w:p w14:paraId="6DD62826" w14:textId="77777777" w:rsidR="0098529A" w:rsidRPr="00050E40" w:rsidRDefault="0098529A" w:rsidP="00E44FB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Wykonawca na czas robót dokona oznakowania i zabezpieczenia miejsca robót, zgodnie z zatwierdzonym tymczasowym projektem organizacji ruchu.</w:t>
      </w:r>
      <w:r w:rsidRPr="00050E40">
        <w:rPr>
          <w:rFonts w:ascii="Times New Roman" w:hAnsi="Times New Roman" w:cs="Times New Roman"/>
          <w:sz w:val="24"/>
          <w:szCs w:val="24"/>
        </w:rPr>
        <w:t xml:space="preserve"> Będzie prowadził stałą kontrolę wykonanego oznakowania a organizacja ruchu będzie obejmować faktycznie zajmowaną strefę robót. Zobowiązuje się wykonawcę do przywrócenia kompletnego oznakowania stałej organizacji ruchu równocześnie </w:t>
      </w:r>
      <w:r w:rsidRPr="00050E40">
        <w:rPr>
          <w:rFonts w:ascii="Times New Roman" w:hAnsi="Times New Roman" w:cs="Times New Roman"/>
          <w:sz w:val="24"/>
          <w:szCs w:val="24"/>
        </w:rPr>
        <w:br/>
        <w:t>z likwidacją oznakowania na czas robót.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 Niedopuszczalne jest montowanie elementów uszkodzonych, które w tym przypadku należy wymienić na nowe.</w:t>
      </w:r>
    </w:p>
    <w:p w14:paraId="4BCF2A1F" w14:textId="77777777" w:rsidR="0098529A" w:rsidRPr="00050E40" w:rsidRDefault="0098529A" w:rsidP="00E44FB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 stan chodników, pasów zieleni, jezdni sąsiednich i ulic dojazdowych do placu budowy odpowiada Wykonawca. Obowiązany jest on do zapewnienia bezpieczeństwa ruchu, oczyszczania ulic, po których porusza się jego sprzęt, naprawy ewentualnych zniszczeń (utrzymania ich w stanie pozwalającym na korzystanie innym użytkownikom)  powstałych podczas realizacji robót i transportu związanego</w:t>
      </w:r>
      <w:r w:rsidR="007B0010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budową.</w:t>
      </w:r>
    </w:p>
    <w:p w14:paraId="658FCBE3" w14:textId="77777777" w:rsidR="0098529A" w:rsidRPr="00050E40" w:rsidRDefault="0098529A" w:rsidP="00E44FB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OGÓLNE WARUNKI ODTWORZENIA DRÓG </w:t>
      </w:r>
    </w:p>
    <w:p w14:paraId="588DC17E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hAnsi="Times New Roman" w:cs="Times New Roman"/>
          <w:sz w:val="24"/>
          <w:szCs w:val="24"/>
        </w:rPr>
        <w:t>Wykonawca odpowiada za odtworzenie nawierzchni po wykonanych robotach. Nawierzchnie pasa drogowego (jezdnie, chodniki, pobocza) sąsiadujące z robotami nie mogą być w gorszym stanie niż przed przystąpieniem do robót.</w:t>
      </w:r>
    </w:p>
    <w:p w14:paraId="5144EC8B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pasie drogowym w miejscu prowadzonego wykopu występują grunty spoiste to należy wymienić grunt pod nawierzchnią na całej głębokości wykopu poniżej konstrukcji nawierzchni drogi na grunt niespoisty (piaski, pospółki).</w:t>
      </w:r>
    </w:p>
    <w:p w14:paraId="5C336E4E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wykopy spowodują rozluźnienie gruntu lub doprowadzą do równoziarnistości nawierzchni i nie będzie można jej zagęścić Wykonawca ma obowiązek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doziarnić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 rodzimy i zapewnić prawidłowe zagęszczenie drogi.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wykonane gruntami spoistymi, które powodowałyby nieprzepuszczalność nawierzchni.</w:t>
      </w:r>
    </w:p>
    <w:p w14:paraId="3C1B900F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robót odtworzeniowych nawierzchni należy wykonać badanie zagęszczenia gruntu.</w:t>
      </w:r>
    </w:p>
    <w:p w14:paraId="0872749B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pozytywnych badań wyklucza możliwość przystąpienia do naprawy lub wykonania nawierzchni. Wymagany wskaźnik zagęszczenia gruntu w </w:t>
      </w:r>
      <w:r w:rsidR="009F074B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pasie </w:t>
      </w:r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jezdni </w:t>
      </w:r>
      <w:proofErr w:type="spellStart"/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>=0,95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wszystkich punktach badania i na wszystkich głębokościach do rzędnej </w:t>
      </w:r>
      <w:r w:rsid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smartTag w:uri="urn:schemas-microsoft-com:office:smarttags" w:element="metricconverter">
        <w:smartTagPr>
          <w:attr w:name="ProductID" w:val="20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przewodu.</w:t>
      </w:r>
    </w:p>
    <w:p w14:paraId="29F01A07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odnośnie zagęszczenia gruntu zarządca drogi zastrzega sobie prawo dokonania badań uzupełniających, których koszt ponosi wykonawca robót, jeśli badania te wykażą nieprawidłowe zagęszczenie gruntu.</w:t>
      </w:r>
    </w:p>
    <w:p w14:paraId="7B234F76" w14:textId="77777777" w:rsidR="00DD42A1" w:rsidRPr="00E44FBD" w:rsidRDefault="00DD42A1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robót odtworzeniowych i naprawczych</w:t>
      </w:r>
      <w:r w:rsidR="00072315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zarządca drogi nie dopuszcza stosowania kruszyw wapiennych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AC68AB" w14:textId="77777777" w:rsidR="00E44FBD" w:rsidRPr="00393BE5" w:rsidRDefault="00E44FBD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braku chodników przy nawierzchni asfaltowej, po zakończeniu prac Wykonawca ma obowiązek wykonania poboczy oraz uporządkować teren (uprzątnąć i wyrównać). </w:t>
      </w:r>
    </w:p>
    <w:p w14:paraId="353812E8" w14:textId="77777777" w:rsidR="0098529A" w:rsidRPr="00050E40" w:rsidRDefault="0098529A" w:rsidP="00E44FB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ODTWORZENIE WARSTW KONSTRUKCYJNYCH </w:t>
      </w:r>
      <w:r w:rsid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PODBUDOWY DRÓG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</w:t>
      </w:r>
      <w:r w:rsidR="005B5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NAWIRZCHNI 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JEZDNI</w:t>
      </w:r>
      <w:r w:rsidR="00124264" w:rsidRP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BITUMICZNYCH</w:t>
      </w:r>
    </w:p>
    <w:p w14:paraId="433A1D41" w14:textId="77777777" w:rsidR="0098529A" w:rsidRPr="00E44FBD" w:rsidRDefault="009F074B" w:rsidP="00E44FB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>Odtworzenie</w:t>
      </w:r>
      <w:r w:rsidR="0098529A"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warstw konstrukcyjnych dróg o nawierzchni bitumicznej 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obejmuje: </w:t>
      </w:r>
    </w:p>
    <w:p w14:paraId="278131B0" w14:textId="77777777" w:rsidR="0098529A" w:rsidRPr="00050E40" w:rsidRDefault="00393BE5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podbudowę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z kruszywa łamanego</w:t>
      </w:r>
      <w:r w:rsidR="005B5ADB">
        <w:rPr>
          <w:rFonts w:ascii="Times New Roman" w:hAnsi="Times New Roman" w:cs="Times New Roman"/>
          <w:sz w:val="24"/>
          <w:szCs w:val="24"/>
          <w:lang w:eastAsia="pl-PL"/>
        </w:rPr>
        <w:t xml:space="preserve"> - tłucznia kamiennego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: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warstwa dolna o grubości 15 cm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frakcji 31,5 – 63 mm, zaklinowana kruszywem ła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manym </w:t>
      </w:r>
      <w:r w:rsidR="005B5ADB">
        <w:rPr>
          <w:rFonts w:ascii="Times New Roman" w:hAnsi="Times New Roman" w:cs="Times New Roman"/>
          <w:sz w:val="24"/>
          <w:szCs w:val="24"/>
          <w:lang w:eastAsia="pl-PL"/>
        </w:rPr>
        <w:t xml:space="preserve">– tłuczniem kamiennym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o grubości warstwy 10 cm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frakcji 4-31,5 mm, co da łączną grubość podbudowy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nie mniej niż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25 cm;</w:t>
      </w:r>
    </w:p>
    <w:p w14:paraId="225BF612" w14:textId="77777777" w:rsidR="0098529A" w:rsidRPr="00050E40" w:rsidRDefault="0098529A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skropienie podbudowy emulsją asfaltową (krotność x 2);</w:t>
      </w:r>
    </w:p>
    <w:p w14:paraId="3CFBCECE" w14:textId="77777777" w:rsidR="0098529A" w:rsidRPr="00050E40" w:rsidRDefault="009F074B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nawierzchnię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z mieszanek mineralno- bitumicznych asfaltowych: warstwa wiążąca</w:t>
      </w:r>
      <w:r w:rsidR="006D007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(AC11W) min. 5 cm 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(≥125 kg/m</w:t>
      </w:r>
      <w:r w:rsidRPr="00050E4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) i warstwa ścieralna (AC11S)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min. 4 cm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(≥100 kg/m</w:t>
      </w:r>
      <w:r w:rsidRPr="00050E4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. Nawierzchnia ma być wykonana </w:t>
      </w:r>
      <w:r w:rsidR="00C03C39">
        <w:rPr>
          <w:rFonts w:ascii="Times New Roman" w:hAnsi="Times New Roman" w:cs="Times New Roman"/>
          <w:sz w:val="24"/>
          <w:szCs w:val="24"/>
          <w:lang w:eastAsia="pl-PL"/>
        </w:rPr>
        <w:t>o parametrach jak dla ruchu KR 3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7F945F2" w14:textId="102193AE" w:rsidR="00920577" w:rsidRPr="00920577" w:rsidRDefault="00920577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naprawy cząstkowe 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>min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 xml:space="preserve"> 25% szero</w:t>
      </w:r>
      <w:r>
        <w:rPr>
          <w:rFonts w:ascii="Times New Roman" w:hAnsi="Times New Roman" w:cs="Times New Roman"/>
          <w:color w:val="FF0000"/>
          <w:sz w:val="24"/>
          <w:szCs w:val="24"/>
        </w:rPr>
        <w:t>ko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>ści pasa drogowego na całej długości wykopu, pobocze odtworzyć tłuczniem min 15 cm grubości i 75 cm szerokości.</w:t>
      </w:r>
    </w:p>
    <w:p w14:paraId="71CFF844" w14:textId="77777777" w:rsidR="0098529A" w:rsidRPr="00E44FBD" w:rsidRDefault="0098529A" w:rsidP="00E44FB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>Nawierzchnię bitumiczną należy układać ro</w:t>
      </w:r>
      <w:r w:rsidR="00387C0B" w:rsidRPr="00E44FBD">
        <w:rPr>
          <w:rFonts w:ascii="Times New Roman" w:eastAsia="Times New Roman" w:hAnsi="Times New Roman"/>
          <w:sz w:val="24"/>
          <w:szCs w:val="24"/>
          <w:lang w:eastAsia="pl-PL"/>
        </w:rPr>
        <w:t>zkładarką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do mas bitumicznych, jednolicie na całej szerokości jezdni. Jeśli fragmenty do naprawy nie pozwalają na zastosowanie ro</w:t>
      </w:r>
      <w:r w:rsidR="00387C0B" w:rsidRPr="00E44FBD">
        <w:rPr>
          <w:rFonts w:ascii="Times New Roman" w:eastAsia="Times New Roman" w:hAnsi="Times New Roman"/>
          <w:sz w:val="24"/>
          <w:szCs w:val="24"/>
          <w:lang w:eastAsia="pl-PL"/>
        </w:rPr>
        <w:t>zkładarki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ją układać ręcznie, przy czym jakość i równość nawierzchni nie może odbiegać się od nawierzchni rozkładanej mechanicznie.</w:t>
      </w:r>
    </w:p>
    <w:p w14:paraId="52744CE0" w14:textId="3B688E6B" w:rsidR="0098529A" w:rsidRPr="00050E40" w:rsidRDefault="0098529A" w:rsidP="00E44FB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krawężnik przy odtwarzanej nawierzchni jest przewrócony lub zapadnięty należy go wyregulować do właściwego poziomu i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zaspoinować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przystąpieniem do robót nawierzchniowych. Jeżeli krawężnik przy odtwarzanej nawierzchni jest pęknięty należy go wymienić na nowy. Światło krawężnika powinno wynosić 8-</w:t>
      </w:r>
      <w:smartTag w:uri="urn:schemas-microsoft-com:office:smarttags" w:element="metricconverter">
        <w:smartTagPr>
          <w:attr w:name="ProductID" w:val="16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tym, że musi być ono dostosowane do warunków rzeczywistych aktualnie panujących w </w:t>
      </w:r>
      <w:r w:rsidR="00387C0B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dopasowane do chodników, wjazdów bramowych i przyległych terenów zieleni. </w:t>
      </w:r>
      <w:r w:rsidR="0092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miejscach przejść dla pieszych światło krawężnika nie może być większe niż </w:t>
      </w:r>
      <w:smartTag w:uri="urn:schemas-microsoft-com:office:smarttags" w:element="metricconverter">
        <w:smartTagPr>
          <w:attr w:name="ProductID" w:val="2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B61719" w14:textId="77777777" w:rsidR="0098529A" w:rsidRDefault="0098529A" w:rsidP="00E44FB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odtworzenie nawierzchni występuje na krawędzi jezdni, przy której brak jest krawężnika poszczególne warstwy konstrukcji nawierzchni należy poszerzyć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 sposób:</w:t>
      </w:r>
      <w:r w:rsidR="00050E40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podbudowa ma być szersza od nawierzchni o tyle ile wynosi grubość układanej nawierzchni.</w:t>
      </w:r>
    </w:p>
    <w:p w14:paraId="2EA0FF3D" w14:textId="77777777" w:rsidR="0098529A" w:rsidRDefault="0098529A" w:rsidP="009D1EE0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Połączenie nawierzchni istniejącej z nowo układaną oraz z krawężnikiem należy </w:t>
      </w:r>
      <w:r w:rsidRPr="009D1EE0">
        <w:rPr>
          <w:rFonts w:ascii="Times New Roman" w:hAnsi="Times New Roman" w:cs="Times New Roman"/>
          <w:sz w:val="24"/>
          <w:szCs w:val="24"/>
        </w:rPr>
        <w:t>uszczelnić bitumiczną taśmą dylatacyjną</w:t>
      </w:r>
      <w:r w:rsidRPr="009D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układania nawierzchni dwukrotnie. Pierwszy raz bezpośrednio po wykonaniu nawierzchni, a w ramach gwarancji po raz drugi przed zakończeniem okresu gwarancyjnego – Zarządca drogi może zażądać kolejnych uszczelnień połączenia nawierzchni, jeśli zaistnieje taka konieczność.</w:t>
      </w:r>
    </w:p>
    <w:p w14:paraId="716C82E0" w14:textId="77777777" w:rsidR="00BF75C8" w:rsidRPr="00393BE5" w:rsidRDefault="00BF75C8" w:rsidP="00BF75C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Pobocze</w:t>
      </w:r>
      <w:r w:rsidRPr="00BF75C8">
        <w:rPr>
          <w:rFonts w:ascii="Times New Roman" w:hAnsi="Times New Roman" w:cs="Times New Roman"/>
          <w:sz w:val="24"/>
          <w:szCs w:val="24"/>
          <w:lang w:eastAsia="pl-PL"/>
        </w:rPr>
        <w:t xml:space="preserve"> z kruszyw łamanych fr. 0-31,5 mm o grubości warstwy po zagęszczeniu 10 cm na szerokości 0,5 m</w:t>
      </w:r>
      <w:r w:rsidRPr="00BF75C8">
        <w:rPr>
          <w:rFonts w:ascii="Times New Roman" w:hAnsi="Times New Roman"/>
          <w:sz w:val="24"/>
          <w:szCs w:val="24"/>
          <w:lang w:eastAsia="pl-PL"/>
        </w:rPr>
        <w:t>.</w:t>
      </w:r>
    </w:p>
    <w:p w14:paraId="6AE5C2A9" w14:textId="77777777" w:rsidR="00393BE5" w:rsidRDefault="00393BE5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ADD5" w14:textId="77777777" w:rsidR="007864BC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E6F29" w14:textId="77777777" w:rsidR="007864BC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B6D3C" w14:textId="77777777" w:rsidR="007864BC" w:rsidRPr="00BF75C8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5BA8" w14:textId="77777777" w:rsidR="0098529A" w:rsidRPr="00050E40" w:rsidRDefault="0098529A" w:rsidP="005B5AD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/>
          <w:b/>
          <w:sz w:val="24"/>
          <w:szCs w:val="24"/>
          <w:lang w:eastAsia="pl-PL"/>
        </w:rPr>
        <w:t>OTWORZENIE DRÓG TŁUCZNIOWO - GRUNTOWYCH</w:t>
      </w:r>
    </w:p>
    <w:p w14:paraId="63FB1319" w14:textId="77777777" w:rsidR="0098529A" w:rsidRPr="00050E40" w:rsidRDefault="0098529A" w:rsidP="00393BE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Roboty prowadzone w nawierzchni drogi gminnej utwardzonej kruszywem lub 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br/>
        <w:t>nawierzchni drogi gruntowej, nieutwardzonej żadnym kruszywem – w zakresie robót musi się znaleźć wykonanie nawierzchni tłuczniowej dwuwarstwowej:</w:t>
      </w:r>
    </w:p>
    <w:p w14:paraId="32188278" w14:textId="77777777" w:rsidR="0098529A" w:rsidRDefault="009A2B95" w:rsidP="00BF75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arstwa dolna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przekruszu</w:t>
      </w:r>
      <w:proofErr w:type="spellEnd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 betonowego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frakcji 31,5-63 mm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- grubości warstwy po zagęszczeniu mechanicznym 20 cm;</w:t>
      </w:r>
    </w:p>
    <w:p w14:paraId="71520E02" w14:textId="77777777" w:rsidR="00387C0B" w:rsidRPr="00FC4742" w:rsidRDefault="009A2B95" w:rsidP="00FC474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arstwa górna z </w:t>
      </w:r>
      <w:proofErr w:type="spellStart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przekruszu</w:t>
      </w:r>
      <w:proofErr w:type="spellEnd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 betonowego 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frakcji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>-31,5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 mm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ułożona na 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szerokości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wykopu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 o łukowym przekroju poprzecznym oraz o rzędnej niwelety równej niwelecie drogi, jaka była przed przystąpieniem do r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>obót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- grubości warstwy po zagęszczeniu mechanicznym 10 cm;</w:t>
      </w:r>
    </w:p>
    <w:p w14:paraId="73F04973" w14:textId="77777777" w:rsidR="0098529A" w:rsidRPr="009A2B95" w:rsidRDefault="0098529A" w:rsidP="00BF75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75C8">
        <w:rPr>
          <w:rFonts w:ascii="Times New Roman" w:hAnsi="Times New Roman"/>
          <w:sz w:val="24"/>
          <w:szCs w:val="24"/>
          <w:lang w:eastAsia="pl-PL"/>
        </w:rPr>
        <w:t>Zamawiający może zażądać korekty niwelety w celu zmiany spływy wód opadowych lub w celu usprawnienia obsługi komunikacyjnej pos</w:t>
      </w:r>
      <w:r w:rsidR="009A2B95">
        <w:rPr>
          <w:rFonts w:ascii="Times New Roman" w:hAnsi="Times New Roman"/>
          <w:sz w:val="24"/>
          <w:szCs w:val="24"/>
          <w:lang w:eastAsia="pl-PL"/>
        </w:rPr>
        <w:t>esji położonych przy tej drodze,</w:t>
      </w:r>
    </w:p>
    <w:p w14:paraId="643EC22D" w14:textId="77777777" w:rsidR="003564FF" w:rsidRPr="00FC4742" w:rsidRDefault="009A2B95" w:rsidP="00FC474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72315" w:rsidRPr="009A2B95">
        <w:rPr>
          <w:rFonts w:ascii="Times New Roman" w:hAnsi="Times New Roman"/>
          <w:sz w:val="24"/>
          <w:szCs w:val="24"/>
          <w:lang w:eastAsia="pl-PL"/>
        </w:rPr>
        <w:t xml:space="preserve">race przy warstwie górnej z kruszywa obejmują również uporządkowanie </w:t>
      </w:r>
      <w:r w:rsidR="00393BE5">
        <w:rPr>
          <w:rFonts w:ascii="Times New Roman" w:hAnsi="Times New Roman"/>
          <w:sz w:val="24"/>
          <w:szCs w:val="24"/>
          <w:lang w:eastAsia="pl-PL"/>
        </w:rPr>
        <w:br/>
      </w:r>
      <w:r w:rsidR="00072315" w:rsidRPr="009A2B95">
        <w:rPr>
          <w:rFonts w:ascii="Times New Roman" w:hAnsi="Times New Roman"/>
          <w:sz w:val="24"/>
          <w:szCs w:val="24"/>
          <w:lang w:eastAsia="pl-PL"/>
        </w:rPr>
        <w:t>i zagęszczenie poboczy.</w:t>
      </w:r>
    </w:p>
    <w:p w14:paraId="56AC2CDC" w14:textId="77777777" w:rsidR="0098529A" w:rsidRPr="00050E40" w:rsidRDefault="0098529A" w:rsidP="00393BE5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ODTWORZENIE WARSTW KONSTRUKCYJNYCH POZOSTAŁYCH ELEMENTÓW DROGI </w:t>
      </w:r>
    </w:p>
    <w:p w14:paraId="2641DF12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Na zjazdach bramowych odtworzenie nawierzchni należy wykonać z materiału, </w:t>
      </w:r>
      <w:r w:rsidR="00693AA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z jakiego był on pierwotnie wykonany. Podbudowa na wjeździe bramowym musi mieć grubość min. </w:t>
      </w:r>
      <w:smartTag w:uri="urn:schemas-microsoft-com:office:smarttags" w:element="metricconverter">
        <w:smartTagPr>
          <w:attr w:name="ProductID" w:val="15 cm"/>
        </w:smartTagPr>
        <w:r w:rsidRPr="00050E40">
          <w:rPr>
            <w:rFonts w:ascii="Times New Roman" w:hAnsi="Times New Roman" w:cs="Times New Roman"/>
            <w:sz w:val="24"/>
            <w:szCs w:val="24"/>
            <w:lang w:eastAsia="pl-PL"/>
          </w:rPr>
          <w:t>15 cm</w:t>
        </w:r>
      </w:smartTag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i może być wykonywana zarówno z betonu jak i tłucznia k</w:t>
      </w:r>
      <w:r w:rsidR="00E161DD" w:rsidRPr="00050E40">
        <w:rPr>
          <w:rFonts w:ascii="Times New Roman" w:hAnsi="Times New Roman" w:cs="Times New Roman"/>
          <w:sz w:val="24"/>
          <w:szCs w:val="24"/>
          <w:lang w:eastAsia="pl-PL"/>
        </w:rPr>
        <w:t>amiennego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. Pozostałe zjazdy należy przywrócić do stanu nie gorszego niż pierwotny.</w:t>
      </w:r>
    </w:p>
    <w:p w14:paraId="481785A3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konstrukcji zjazdów do posesji o nawierzchni z kostki brukowej, 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w zakresie robót odtworzeniowych </w:t>
      </w:r>
      <w:r w:rsidR="00E161DD" w:rsidRPr="00050E40">
        <w:rPr>
          <w:rFonts w:ascii="Times New Roman" w:eastAsia="Calibri" w:hAnsi="Times New Roman" w:cs="Times New Roman"/>
          <w:sz w:val="24"/>
          <w:szCs w:val="24"/>
        </w:rPr>
        <w:t>należy przewidzieć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 wykonanie: </w:t>
      </w:r>
    </w:p>
    <w:p w14:paraId="496E9EB9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podbudowy z tłucznia kamiennego o grubości warstwy 30 cm po zagęszczeniu,</w:t>
      </w:r>
    </w:p>
    <w:p w14:paraId="33CBF740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po wykonaniu podbudowy należy oczyszczoną kostkę układać na podsypce cementowo – piaskowej (1:3) o min. grubości warstwy 10 cm,</w:t>
      </w:r>
    </w:p>
    <w:p w14:paraId="32D91623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color w:val="000000"/>
          <w:sz w:val="24"/>
          <w:szCs w:val="24"/>
        </w:rPr>
        <w:t>odtworzenie nawierzchni musi być zgodne z istniejącym wzorem oraz kolorystyką, jak również grubością istniejącej kostki,</w:t>
      </w:r>
    </w:p>
    <w:p w14:paraId="4D3305EB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color w:val="000000"/>
          <w:sz w:val="24"/>
          <w:szCs w:val="24"/>
        </w:rPr>
        <w:t>niedopuszczalnym jest zabudowywanie materiału uszkodzonego, uszkodzone elementy należy wymienić na nowe odpowiadające wzorem i grubością istniejącym,</w:t>
      </w:r>
    </w:p>
    <w:p w14:paraId="3976F3F8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przed zasypaniem spoin nawierzchnię należy zagęścić płytą wibracyjną,</w:t>
      </w:r>
    </w:p>
    <w:p w14:paraId="237A44A4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spoiny należy zasypać piaskiem lub grysem, który należy wmiatać ręcznie do momentu napełnienia szczelin, </w:t>
      </w:r>
    </w:p>
    <w:p w14:paraId="24A80F5D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odtworzoną nawierzchnię należy pielęgnować (posypywać piaskiem, grysem, uzupełniać brakujące spoiny itd.) tak długo, aż nastąpi pełna stabilizacja zabudowanego materiału.</w:t>
      </w:r>
    </w:p>
    <w:p w14:paraId="5E6216B5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Włazy kanałowe, zasuwy, hydranty oraz inne urządzenia rewizyjne znajdujące się 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poziomie terenu należy wyregulować z dopasowaniem do nawierzchni tzn. należy im nadać pochylenia zgodne z pochyleniami nawierzchni, w której się znajdują. </w:t>
      </w:r>
    </w:p>
    <w:p w14:paraId="740E193C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ramach odtworzenia nawierzchni będzie konieczne ustawienie krawężnika przy istniejącej nawierzchni, należy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ustawić na ławie betonowej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oporem, a styk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krawężnika i nawierzchni uszczelnić asfaltową masą zalewową, mastyksem lub asfaltem lanym (na łukach zaleca się stosowanie krawężników profilowanych - </w:t>
      </w:r>
      <w:r w:rsidRPr="00050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łukowych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EAF9D2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roboty drogowe należy prowadzić zgodnie z Europejskimi Normami lub Polskimi Normami, zasadami sztuki budowlanej i technologiami przewidzianymi dla tych robót (z obostrzeniem odnośnie zagęszczenia gruntu).</w:t>
      </w:r>
    </w:p>
    <w:p w14:paraId="607EE433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Odtworzona nawierzchnia podlega odbiorowi przez 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arządcę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rogi na pisemne zgłoszenie Wykonawcy.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arządca d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rogi zastrzega sobie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jakości robót zanikowych poprzez wykonanie odkrywek lub odwiertów. Koszty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poodkrywkowych</w:t>
      </w:r>
      <w:proofErr w:type="spellEnd"/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Wykonawca robót jak również koszty nieprawidłowego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nawierzchni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055C7A" w14:textId="77777777" w:rsidR="00DD42A1" w:rsidRPr="00050E40" w:rsidRDefault="00DD42A1" w:rsidP="00EA1358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0E40">
        <w:rPr>
          <w:rFonts w:ascii="Times New Roman" w:hAnsi="Times New Roman"/>
          <w:sz w:val="24"/>
          <w:szCs w:val="24"/>
        </w:rPr>
        <w:t>Od daty protokolarnego odbioru pasa drogowego po wykonanej inwestycji, odcinek drogi zostanie objęty 36 miesięcznym okresem gwarancji</w:t>
      </w:r>
      <w:r w:rsidRPr="00050E4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BB9C05D" w14:textId="77777777" w:rsidR="00DD42A1" w:rsidRPr="00681D39" w:rsidRDefault="00DD42A1" w:rsidP="00EA1358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0E40">
        <w:rPr>
          <w:rFonts w:ascii="Times New Roman" w:hAnsi="Times New Roman"/>
          <w:sz w:val="24"/>
          <w:szCs w:val="24"/>
          <w:lang w:eastAsia="pl-PL"/>
        </w:rPr>
        <w:t xml:space="preserve">W przypadku usterek i wad technicznych powstałych w ciągu ww. okresu zarządca drogi zawiadomi pisemnie zajmującego, określając jednocześnie termin do ich usunięcia ze skutkami przewidzianymi w przepisach kodeksu cywilnego. </w:t>
      </w:r>
    </w:p>
    <w:p w14:paraId="2D9AAA03" w14:textId="77777777" w:rsidR="00681D39" w:rsidRDefault="00681D39" w:rsidP="00681D39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5E3EE4" w14:textId="039FA2F3" w:rsidR="00681D39" w:rsidRPr="00681D39" w:rsidRDefault="00681D39" w:rsidP="00681D39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1D39">
        <w:rPr>
          <w:rFonts w:ascii="Times New Roman" w:eastAsia="Times New Roman" w:hAnsi="Times New Roman"/>
          <w:b/>
          <w:sz w:val="24"/>
          <w:szCs w:val="24"/>
          <w:lang w:eastAsia="pl-PL"/>
        </w:rPr>
        <w:t>UWAGA OGÓLNA DO WSZYSTKICH KATEGORII DRÓG</w:t>
      </w:r>
    </w:p>
    <w:p w14:paraId="701575FE" w14:textId="13E49351" w:rsidR="00BB3E3F" w:rsidRPr="00050E40" w:rsidRDefault="00681D39" w:rsidP="00E44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ODTWORZENIE NIE MOŻE POWODOWAĆ POGORSZENIA STANU DRÓG. WSZYSTKIE KATEGORIE DRÓG NALEŻY PRZYWRÓCIĆ DO STANU FIZYCZNEGO JAK PRZED REALIZACJĄ INWESTYCJI </w:t>
      </w:r>
    </w:p>
    <w:p w14:paraId="025C72AF" w14:textId="77777777" w:rsidR="00A460AB" w:rsidRPr="00050E40" w:rsidRDefault="00A460AB" w:rsidP="00E44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85C25" w14:textId="77777777" w:rsidR="00050E40" w:rsidRPr="00050E40" w:rsidRDefault="00050E40" w:rsidP="00E44F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E40" w:rsidRPr="00050E40" w:rsidSect="00133CB5">
      <w:headerReference w:type="default" r:id="rId8"/>
      <w:footerReference w:type="default" r:id="rId9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BD45" w14:textId="77777777" w:rsidR="00FB272D" w:rsidRDefault="00FB272D">
      <w:pPr>
        <w:spacing w:after="0" w:line="240" w:lineRule="auto"/>
      </w:pPr>
      <w:r>
        <w:separator/>
      </w:r>
    </w:p>
  </w:endnote>
  <w:endnote w:type="continuationSeparator" w:id="0">
    <w:p w14:paraId="4E538E3E" w14:textId="77777777" w:rsidR="00FB272D" w:rsidRDefault="00F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BA94B" w14:textId="77777777" w:rsidR="00133CB5" w:rsidRDefault="0098529A" w:rsidP="00133CB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C4BB5" w:rsidRPr="007C4BB5">
      <w:rPr>
        <w:rFonts w:ascii="Cambria" w:hAnsi="Cambria"/>
        <w:noProof/>
      </w:rPr>
      <w:t>4</w:t>
    </w:r>
    <w:r>
      <w:fldChar w:fldCharType="end"/>
    </w:r>
  </w:p>
  <w:p w14:paraId="73CA71BE" w14:textId="77777777" w:rsidR="00133CB5" w:rsidRDefault="007C4B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F186" w14:textId="77777777" w:rsidR="00FB272D" w:rsidRDefault="00FB272D">
      <w:pPr>
        <w:spacing w:after="0" w:line="240" w:lineRule="auto"/>
      </w:pPr>
      <w:r>
        <w:separator/>
      </w:r>
    </w:p>
  </w:footnote>
  <w:footnote w:type="continuationSeparator" w:id="0">
    <w:p w14:paraId="47994EDC" w14:textId="77777777" w:rsidR="00FB272D" w:rsidRDefault="00FB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5" w:type="dxa"/>
      <w:jc w:val="center"/>
      <w:tblCellSpacing w:w="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728"/>
      <w:gridCol w:w="903"/>
      <w:gridCol w:w="2237"/>
      <w:gridCol w:w="903"/>
      <w:gridCol w:w="2244"/>
    </w:tblGrid>
    <w:tr w:rsidR="00133CB5" w14:paraId="2F81BB64" w14:textId="77777777" w:rsidTr="00133CB5">
      <w:trPr>
        <w:tblCellSpacing w:w="7" w:type="dxa"/>
        <w:jc w:val="center"/>
      </w:trPr>
      <w:tc>
        <w:tcPr>
          <w:tcW w:w="0" w:type="auto"/>
          <w:vAlign w:val="center"/>
          <w:hideMark/>
        </w:tcPr>
        <w:p w14:paraId="4BF2F52B" w14:textId="77777777" w:rsidR="00133CB5" w:rsidRDefault="0098529A" w:rsidP="00133CB5">
          <w:pPr>
            <w:pStyle w:val="NormalnyWeb"/>
            <w:jc w:val="center"/>
            <w:rPr>
              <w:color w:val="2E2E38"/>
            </w:rPr>
          </w:pPr>
          <w:r>
            <w:rPr>
              <w:color w:val="2E2E38"/>
            </w:rPr>
            <w:t xml:space="preserve">   </w:t>
          </w:r>
        </w:p>
      </w:tc>
      <w:tc>
        <w:tcPr>
          <w:tcW w:w="0" w:type="auto"/>
          <w:vAlign w:val="center"/>
          <w:hideMark/>
        </w:tcPr>
        <w:p w14:paraId="42B45168" w14:textId="77777777" w:rsidR="00133CB5" w:rsidRDefault="007C4BB5" w:rsidP="00133CB5">
          <w:pPr>
            <w:pStyle w:val="NormalnyWeb"/>
            <w:jc w:val="center"/>
            <w:rPr>
              <w:color w:val="2E2E38"/>
            </w:rPr>
          </w:pPr>
        </w:p>
      </w:tc>
      <w:tc>
        <w:tcPr>
          <w:tcW w:w="0" w:type="auto"/>
          <w:vAlign w:val="center"/>
          <w:hideMark/>
        </w:tcPr>
        <w:p w14:paraId="1AA3D402" w14:textId="77777777" w:rsidR="00133CB5" w:rsidRDefault="0098529A" w:rsidP="00405C15">
          <w:pPr>
            <w:pStyle w:val="NormalnyWeb"/>
            <w:jc w:val="center"/>
            <w:rPr>
              <w:color w:val="2E2E38"/>
            </w:rPr>
          </w:pPr>
          <w:r>
            <w:rPr>
              <w:color w:val="2E2E38"/>
            </w:rPr>
            <w:t> </w:t>
          </w:r>
        </w:p>
      </w:tc>
      <w:tc>
        <w:tcPr>
          <w:tcW w:w="0" w:type="auto"/>
          <w:vAlign w:val="center"/>
          <w:hideMark/>
        </w:tcPr>
        <w:p w14:paraId="1A09004F" w14:textId="77777777" w:rsidR="00133CB5" w:rsidRDefault="007C4BB5" w:rsidP="00133CB5">
          <w:pPr>
            <w:pStyle w:val="NormalnyWeb"/>
            <w:jc w:val="center"/>
            <w:rPr>
              <w:color w:val="2E2E38"/>
            </w:rPr>
          </w:pPr>
        </w:p>
      </w:tc>
      <w:tc>
        <w:tcPr>
          <w:tcW w:w="0" w:type="auto"/>
          <w:vAlign w:val="center"/>
          <w:hideMark/>
        </w:tcPr>
        <w:p w14:paraId="665D9749" w14:textId="77777777" w:rsidR="00133CB5" w:rsidRDefault="0098529A" w:rsidP="00405C15">
          <w:pPr>
            <w:pStyle w:val="NormalnyWeb"/>
            <w:rPr>
              <w:color w:val="2E2E38"/>
            </w:rPr>
          </w:pPr>
          <w:r>
            <w:rPr>
              <w:color w:val="2E2E38"/>
            </w:rPr>
            <w:t> </w:t>
          </w:r>
        </w:p>
      </w:tc>
    </w:tr>
  </w:tbl>
  <w:p w14:paraId="1EFEA613" w14:textId="77777777" w:rsidR="00133CB5" w:rsidRPr="00462813" w:rsidRDefault="0098529A" w:rsidP="00133CB5">
    <w:pPr>
      <w:pStyle w:val="Nagwek"/>
      <w:pBdr>
        <w:bottom w:val="thickThinSmallGap" w:sz="24" w:space="9" w:color="622423"/>
      </w:pBdr>
      <w:jc w:val="center"/>
      <w:rPr>
        <w:rFonts w:ascii="Cambria" w:hAnsi="Cambria"/>
        <w:b/>
        <w:sz w:val="28"/>
        <w:szCs w:val="28"/>
      </w:rPr>
    </w:pPr>
    <w:r w:rsidRPr="00133CB5">
      <w:rPr>
        <w:rFonts w:ascii="Cambria" w:hAnsi="Cambria"/>
        <w:b/>
        <w:sz w:val="28"/>
        <w:szCs w:val="28"/>
      </w:rPr>
      <w:t>Warunki techniczne odtworzenia nawierzchni w pasie dróg</w:t>
    </w:r>
    <w:r>
      <w:rPr>
        <w:rFonts w:ascii="Cambria" w:hAnsi="Cambria"/>
        <w:b/>
        <w:sz w:val="28"/>
        <w:szCs w:val="28"/>
      </w:rPr>
      <w:t xml:space="preserve">  g</w:t>
    </w:r>
    <w:r w:rsidR="007864BC">
      <w:rPr>
        <w:rFonts w:ascii="Cambria" w:hAnsi="Cambria"/>
        <w:b/>
        <w:sz w:val="28"/>
        <w:szCs w:val="28"/>
      </w:rPr>
      <w:t>minnych na terenie Gminy Cegłów</w:t>
    </w:r>
  </w:p>
  <w:p w14:paraId="2A35E9F7" w14:textId="77777777" w:rsidR="00133CB5" w:rsidRDefault="007C4BB5" w:rsidP="00133CB5">
    <w:pPr>
      <w:pStyle w:val="Nagwek"/>
    </w:pPr>
    <w:bookmarkStart w:id="1" w:name="656&lt;/a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CF8"/>
    <w:multiLevelType w:val="hybridMultilevel"/>
    <w:tmpl w:val="5F76CE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A27C0"/>
    <w:multiLevelType w:val="hybridMultilevel"/>
    <w:tmpl w:val="39143750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88F4AB5"/>
    <w:multiLevelType w:val="hybridMultilevel"/>
    <w:tmpl w:val="8F36A124"/>
    <w:lvl w:ilvl="0" w:tplc="A5A06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26740D"/>
    <w:multiLevelType w:val="hybridMultilevel"/>
    <w:tmpl w:val="73C24AC2"/>
    <w:lvl w:ilvl="0" w:tplc="760287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A448F9"/>
    <w:multiLevelType w:val="hybridMultilevel"/>
    <w:tmpl w:val="85906500"/>
    <w:lvl w:ilvl="0" w:tplc="619890E0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7B420E"/>
    <w:multiLevelType w:val="hybridMultilevel"/>
    <w:tmpl w:val="C59A28B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ACE6732"/>
    <w:multiLevelType w:val="hybridMultilevel"/>
    <w:tmpl w:val="86B4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509D"/>
    <w:multiLevelType w:val="hybridMultilevel"/>
    <w:tmpl w:val="EE6EB128"/>
    <w:lvl w:ilvl="0" w:tplc="39C001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BE94DD5"/>
    <w:multiLevelType w:val="hybridMultilevel"/>
    <w:tmpl w:val="AB3824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42C23"/>
    <w:multiLevelType w:val="hybridMultilevel"/>
    <w:tmpl w:val="1FA6971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03A3940"/>
    <w:multiLevelType w:val="hybridMultilevel"/>
    <w:tmpl w:val="6B5C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279"/>
    <w:multiLevelType w:val="hybridMultilevel"/>
    <w:tmpl w:val="E8327768"/>
    <w:lvl w:ilvl="0" w:tplc="EDA45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AD7A84"/>
    <w:multiLevelType w:val="hybridMultilevel"/>
    <w:tmpl w:val="CB7E5F1C"/>
    <w:lvl w:ilvl="0" w:tplc="7A5CA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0F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E143EB"/>
    <w:multiLevelType w:val="hybridMultilevel"/>
    <w:tmpl w:val="8B14ED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C905B4"/>
    <w:multiLevelType w:val="hybridMultilevel"/>
    <w:tmpl w:val="76D2DF5A"/>
    <w:lvl w:ilvl="0" w:tplc="37BCA8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4F773F"/>
    <w:multiLevelType w:val="hybridMultilevel"/>
    <w:tmpl w:val="70168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331C"/>
    <w:multiLevelType w:val="hybridMultilevel"/>
    <w:tmpl w:val="89E8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4D6D"/>
    <w:multiLevelType w:val="hybridMultilevel"/>
    <w:tmpl w:val="5DAC2E40"/>
    <w:lvl w:ilvl="0" w:tplc="CA20A5D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773A4D"/>
    <w:multiLevelType w:val="hybridMultilevel"/>
    <w:tmpl w:val="3098AE96"/>
    <w:lvl w:ilvl="0" w:tplc="72268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2838F8"/>
    <w:multiLevelType w:val="hybridMultilevel"/>
    <w:tmpl w:val="227A0BF8"/>
    <w:lvl w:ilvl="0" w:tplc="83721E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E8A5049"/>
    <w:multiLevelType w:val="hybridMultilevel"/>
    <w:tmpl w:val="DB54B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7D44"/>
    <w:multiLevelType w:val="hybridMultilevel"/>
    <w:tmpl w:val="559E291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5"/>
  </w:num>
  <w:num w:numId="7">
    <w:abstractNumId w:val="0"/>
  </w:num>
  <w:num w:numId="8">
    <w:abstractNumId w:val="20"/>
  </w:num>
  <w:num w:numId="9">
    <w:abstractNumId w:val="7"/>
  </w:num>
  <w:num w:numId="10">
    <w:abstractNumId w:val="19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21"/>
  </w:num>
  <w:num w:numId="19">
    <w:abstractNumId w:val="10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B"/>
    <w:rsid w:val="00050E40"/>
    <w:rsid w:val="00072315"/>
    <w:rsid w:val="00093EAE"/>
    <w:rsid w:val="00124264"/>
    <w:rsid w:val="00267D3A"/>
    <w:rsid w:val="002A10CB"/>
    <w:rsid w:val="002F13FC"/>
    <w:rsid w:val="002F1FE4"/>
    <w:rsid w:val="00323316"/>
    <w:rsid w:val="003427F6"/>
    <w:rsid w:val="003564FF"/>
    <w:rsid w:val="00371A4E"/>
    <w:rsid w:val="00387C0B"/>
    <w:rsid w:val="00393BE5"/>
    <w:rsid w:val="004942BA"/>
    <w:rsid w:val="0053253C"/>
    <w:rsid w:val="005B5ADB"/>
    <w:rsid w:val="006025A9"/>
    <w:rsid w:val="00606092"/>
    <w:rsid w:val="00681D39"/>
    <w:rsid w:val="00693AAF"/>
    <w:rsid w:val="006C7466"/>
    <w:rsid w:val="006D007A"/>
    <w:rsid w:val="006E68A0"/>
    <w:rsid w:val="00743288"/>
    <w:rsid w:val="007520C7"/>
    <w:rsid w:val="00752D5A"/>
    <w:rsid w:val="007860DC"/>
    <w:rsid w:val="007864BC"/>
    <w:rsid w:val="007B0010"/>
    <w:rsid w:val="007C4BB5"/>
    <w:rsid w:val="00845710"/>
    <w:rsid w:val="008E106B"/>
    <w:rsid w:val="00920577"/>
    <w:rsid w:val="0098529A"/>
    <w:rsid w:val="009A2B95"/>
    <w:rsid w:val="009A403A"/>
    <w:rsid w:val="009D1EE0"/>
    <w:rsid w:val="009E53DD"/>
    <w:rsid w:val="009F074B"/>
    <w:rsid w:val="00A16B5A"/>
    <w:rsid w:val="00A367C0"/>
    <w:rsid w:val="00A460AB"/>
    <w:rsid w:val="00A52ECF"/>
    <w:rsid w:val="00A57922"/>
    <w:rsid w:val="00A82569"/>
    <w:rsid w:val="00A87698"/>
    <w:rsid w:val="00B855A3"/>
    <w:rsid w:val="00BB3E3F"/>
    <w:rsid w:val="00BF75C8"/>
    <w:rsid w:val="00C03C39"/>
    <w:rsid w:val="00D70380"/>
    <w:rsid w:val="00DD42A1"/>
    <w:rsid w:val="00E015F6"/>
    <w:rsid w:val="00E161DD"/>
    <w:rsid w:val="00E44CEB"/>
    <w:rsid w:val="00E44FBD"/>
    <w:rsid w:val="00EA1358"/>
    <w:rsid w:val="00FB272D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B9C5DBD"/>
  <w15:docId w15:val="{B2535F59-E71E-454B-9C0D-334E128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9A"/>
  </w:style>
  <w:style w:type="paragraph" w:styleId="Stopka">
    <w:name w:val="footer"/>
    <w:basedOn w:val="Normalny"/>
    <w:link w:val="StopkaZnak"/>
    <w:uiPriority w:val="99"/>
    <w:unhideWhenUsed/>
    <w:rsid w:val="009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9A"/>
  </w:style>
  <w:style w:type="paragraph" w:styleId="NormalnyWeb">
    <w:name w:val="Normal (Web)"/>
    <w:basedOn w:val="Normalny"/>
    <w:uiPriority w:val="99"/>
    <w:semiHidden/>
    <w:unhideWhenUsed/>
    <w:rsid w:val="0098529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D42A1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50E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E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7F52-EBE2-41C9-BC4E-5C4E25AE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Gocławska</dc:creator>
  <cp:lastModifiedBy>Andrzej Boniakowski</cp:lastModifiedBy>
  <cp:revision>7</cp:revision>
  <cp:lastPrinted>2017-10-24T12:40:00Z</cp:lastPrinted>
  <dcterms:created xsi:type="dcterms:W3CDTF">2022-03-09T19:23:00Z</dcterms:created>
  <dcterms:modified xsi:type="dcterms:W3CDTF">2022-10-28T10:28:00Z</dcterms:modified>
</cp:coreProperties>
</file>