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4" w:rsidRDefault="000F46D4" w:rsidP="000F46D4">
      <w:pPr>
        <w:jc w:val="right"/>
        <w:rPr>
          <w:rFonts w:ascii="Palatino Linotype" w:hAnsi="Palatino Linotype" w:cs="Tahoma"/>
        </w:rPr>
      </w:pPr>
      <w:bookmarkStart w:id="0" w:name="_GoBack"/>
      <w:bookmarkEnd w:id="0"/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0F46D4" w:rsidRPr="00F51DB5" w:rsidRDefault="000F46D4" w:rsidP="000F46D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0F46D4" w:rsidRPr="00F51DB5" w:rsidRDefault="000F46D4" w:rsidP="000F46D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0F46D4" w:rsidRPr="00F51DB5" w:rsidRDefault="000F46D4" w:rsidP="000F46D4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0F46D4" w:rsidRPr="00D374F0" w:rsidRDefault="000F46D4" w:rsidP="000F46D4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0F46D4" w:rsidRPr="002325A6" w:rsidRDefault="000F46D4" w:rsidP="000F46D4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0F46D4" w:rsidRDefault="000F46D4" w:rsidP="000F46D4">
      <w:pPr>
        <w:ind w:left="-567" w:right="-285" w:firstLine="283"/>
        <w:rPr>
          <w:rFonts w:ascii="Palatino Linotype" w:hAnsi="Palatino Linotype"/>
          <w:b/>
          <w:sz w:val="24"/>
        </w:rPr>
      </w:pPr>
    </w:p>
    <w:p w:rsidR="00B35614" w:rsidRPr="00320830" w:rsidRDefault="000F46D4" w:rsidP="000F46D4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nr 25 - </w:t>
      </w:r>
      <w:r w:rsidR="00504886">
        <w:rPr>
          <w:rFonts w:ascii="Palatino Linotype" w:hAnsi="Palatino Linotype"/>
          <w:b/>
          <w:sz w:val="24"/>
        </w:rPr>
        <w:t>Histeroskop 3mm – 2 kpl.</w:t>
      </w:r>
      <w:r w:rsidR="00320830" w:rsidRPr="00320830">
        <w:rPr>
          <w:rFonts w:ascii="Palatino Linotype" w:hAnsi="Palatino Linotype"/>
          <w:b/>
          <w:sz w:val="24"/>
        </w:rPr>
        <w:tab/>
      </w:r>
    </w:p>
    <w:p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D73D89" w:rsidRPr="00F13381" w:rsidTr="009D657E">
        <w:tc>
          <w:tcPr>
            <w:tcW w:w="675" w:type="dxa"/>
            <w:shd w:val="clear" w:color="auto" w:fill="D9D9D9"/>
            <w:vAlign w:val="center"/>
          </w:tcPr>
          <w:p w:rsidR="00D73D89" w:rsidRPr="00F13381" w:rsidRDefault="00D73D89" w:rsidP="00D73D89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3D89" w:rsidRPr="003A65E4" w:rsidRDefault="00D73D89" w:rsidP="00D73D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73D89" w:rsidRPr="003A65E4" w:rsidRDefault="00D73D89" w:rsidP="00D73D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D73D89" w:rsidRPr="003A65E4" w:rsidRDefault="00D73D89" w:rsidP="00D73D89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D73D89" w:rsidRPr="003A65E4" w:rsidRDefault="00D73D89" w:rsidP="00D73D89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 xml:space="preserve">urządzenie nowe, nieużywane, </w:t>
            </w:r>
          </w:p>
          <w:p w:rsidR="00CD1730" w:rsidRDefault="00CD1730" w:rsidP="009D657E">
            <w:pPr>
              <w:jc w:val="center"/>
              <w:rPr>
                <w:color w:val="000000"/>
              </w:rPr>
            </w:pPr>
          </w:p>
          <w:p w:rsidR="00CD1730" w:rsidRPr="0092647F" w:rsidRDefault="00CD1730" w:rsidP="00EC73F6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wyprodukowane w 201</w:t>
            </w:r>
            <w:r w:rsidR="00EC73F6">
              <w:rPr>
                <w:color w:val="000000"/>
              </w:rPr>
              <w:t>9</w:t>
            </w:r>
            <w:r w:rsidRPr="0092647F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D1730" w:rsidRDefault="00CD1730" w:rsidP="009D657E">
            <w:pPr>
              <w:jc w:val="center"/>
            </w:pPr>
          </w:p>
          <w:p w:rsidR="00CD1730" w:rsidRDefault="00CD1730" w:rsidP="009D657E">
            <w:pPr>
              <w:jc w:val="center"/>
            </w:pPr>
            <w:r w:rsidRPr="000E0205">
              <w:t>TAK</w:t>
            </w:r>
            <w:r>
              <w:t>/NIE</w:t>
            </w:r>
          </w:p>
          <w:p w:rsidR="00CD1730" w:rsidRDefault="00CD1730" w:rsidP="009D657E">
            <w:pPr>
              <w:jc w:val="center"/>
            </w:pPr>
          </w:p>
          <w:p w:rsidR="00CD1730" w:rsidRDefault="00CD1730" w:rsidP="009D657E">
            <w:pPr>
              <w:jc w:val="center"/>
            </w:pPr>
          </w:p>
          <w:p w:rsidR="00CD1730" w:rsidRPr="000E0205" w:rsidRDefault="007B20C3" w:rsidP="009D657E">
            <w:pPr>
              <w:jc w:val="center"/>
            </w:pPr>
            <w:r w:rsidRPr="0092647F">
              <w:rPr>
                <w:color w:val="000000"/>
              </w:rPr>
              <w:t>Rok produkcji</w:t>
            </w:r>
            <w:r w:rsidRPr="00687DA2">
              <w:t xml:space="preserve"> </w:t>
            </w:r>
            <w:r w:rsidR="00CD1730" w:rsidRPr="00687DA2">
              <w:t>…………………</w:t>
            </w:r>
          </w:p>
        </w:tc>
      </w:tr>
      <w:tr w:rsidR="003262CD" w:rsidRPr="00F13381" w:rsidTr="00144D89">
        <w:tc>
          <w:tcPr>
            <w:tcW w:w="675" w:type="dxa"/>
            <w:shd w:val="clear" w:color="auto" w:fill="auto"/>
            <w:vAlign w:val="center"/>
          </w:tcPr>
          <w:p w:rsidR="003262CD" w:rsidRPr="0092647F" w:rsidRDefault="003262CD" w:rsidP="003262C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262CD" w:rsidRPr="0092647F" w:rsidRDefault="003262CD" w:rsidP="003262CD">
            <w:pPr>
              <w:rPr>
                <w:color w:val="000000"/>
              </w:rPr>
            </w:pPr>
            <w:r w:rsidRPr="003262CD">
              <w:rPr>
                <w:color w:val="000000"/>
              </w:rPr>
              <w:t>Op</w:t>
            </w:r>
            <w:r>
              <w:rPr>
                <w:color w:val="000000"/>
              </w:rPr>
              <w:t xml:space="preserve">tyka endoskopowa </w:t>
            </w:r>
            <w:r w:rsidRPr="003262CD">
              <w:rPr>
                <w:color w:val="000000"/>
              </w:rPr>
              <w:t>dedykowana do systemów Full HD</w:t>
            </w:r>
            <w:r>
              <w:rPr>
                <w:color w:val="000000"/>
              </w:rPr>
              <w:t>,</w:t>
            </w:r>
            <w:r w:rsidRPr="003262CD">
              <w:rPr>
                <w:color w:val="000000"/>
              </w:rPr>
              <w:t xml:space="preserve"> pole widzenia min. 80 stopni, śr.  w zakr. 2,8-3,0 mm, kąt patrzenia 30 stopni, dł. w zakr. 295-305 mm – 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2CD" w:rsidRDefault="003262CD" w:rsidP="003262C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62CD" w:rsidRDefault="003262CD" w:rsidP="003262CD">
            <w:pPr>
              <w:jc w:val="center"/>
            </w:pPr>
            <w:r>
              <w:t>TAK/NIE</w:t>
            </w:r>
          </w:p>
        </w:tc>
      </w:tr>
      <w:tr w:rsidR="008A1393" w:rsidRPr="00F13381" w:rsidTr="00144D89">
        <w:tc>
          <w:tcPr>
            <w:tcW w:w="675" w:type="dxa"/>
            <w:shd w:val="clear" w:color="auto" w:fill="auto"/>
            <w:vAlign w:val="center"/>
          </w:tcPr>
          <w:p w:rsidR="008A1393" w:rsidRPr="0092647F" w:rsidRDefault="008A1393" w:rsidP="008A1393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A1393" w:rsidRPr="003262CD" w:rsidRDefault="008A1393" w:rsidP="008A1393">
            <w:pPr>
              <w:rPr>
                <w:color w:val="000000"/>
              </w:rPr>
            </w:pPr>
            <w:r w:rsidRPr="008A1393">
              <w:rPr>
                <w:color w:val="000000"/>
              </w:rPr>
              <w:t xml:space="preserve">Światłowód medyczny w nieprzezroczystej osłonie, posiadający wzmocnienia na obu końcach. W komplecie adaptery na obu końcach umożliwiające podłączenie do źródła światła oraz optyki, śr. w zakresie 3,3-3,7 mm, dł. min. 3 m – </w:t>
            </w:r>
            <w:r>
              <w:rPr>
                <w:color w:val="000000"/>
              </w:rPr>
              <w:t>2</w:t>
            </w:r>
            <w:r w:rsidRPr="008A1393">
              <w:rPr>
                <w:color w:val="000000"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393" w:rsidRDefault="008A1393" w:rsidP="008A1393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393" w:rsidRDefault="008A1393" w:rsidP="008A1393">
            <w:pPr>
              <w:jc w:val="center"/>
            </w:pPr>
            <w:r>
              <w:t>TAK/NIE</w:t>
            </w:r>
          </w:p>
        </w:tc>
      </w:tr>
      <w:tr w:rsidR="00FE4674" w:rsidRPr="00F13381" w:rsidTr="00144D89">
        <w:tc>
          <w:tcPr>
            <w:tcW w:w="675" w:type="dxa"/>
            <w:shd w:val="clear" w:color="auto" w:fill="auto"/>
            <w:vAlign w:val="center"/>
          </w:tcPr>
          <w:p w:rsidR="00FE4674" w:rsidRPr="0092647F" w:rsidRDefault="00FE4674" w:rsidP="00FE467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4674" w:rsidRPr="008A1393" w:rsidRDefault="00FE4674" w:rsidP="00FE4674">
            <w:pPr>
              <w:rPr>
                <w:color w:val="000000"/>
              </w:rPr>
            </w:pPr>
            <w:r w:rsidRPr="00FE4674">
              <w:rPr>
                <w:color w:val="000000"/>
              </w:rPr>
              <w:t>Nożyczki histeroskopowe, półsztywne, tępo zakończone, jedna bransza ruchoma, posiadające zdolność powrotu do pierwotnego kształtu po wygięciu, śr. w zakr. 1,5-1,7 mm, dł. w zakr. 320-360 mm – 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4674" w:rsidRDefault="00FE4674" w:rsidP="00FE4674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4674" w:rsidRDefault="00FE4674" w:rsidP="00FE4674">
            <w:pPr>
              <w:jc w:val="center"/>
            </w:pPr>
            <w:r>
              <w:t>TAK/NIE</w:t>
            </w:r>
          </w:p>
        </w:tc>
      </w:tr>
      <w:tr w:rsidR="00FF2F35" w:rsidRPr="00F13381" w:rsidTr="00144D89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F35" w:rsidRPr="00FE4674" w:rsidRDefault="00FF2F35" w:rsidP="00FF2F35">
            <w:pPr>
              <w:rPr>
                <w:color w:val="000000"/>
              </w:rPr>
            </w:pPr>
            <w:r w:rsidRPr="00FF2F35">
              <w:rPr>
                <w:color w:val="000000"/>
              </w:rPr>
              <w:t>Kleszczyki histeroskopowe, półsztywne, chwytne i biopsyjne typu A</w:t>
            </w:r>
            <w:r>
              <w:rPr>
                <w:color w:val="000000"/>
              </w:rPr>
              <w:t>LLIGATOR, obie bransze ruchome</w:t>
            </w:r>
            <w:r w:rsidRPr="00FF2F35">
              <w:rPr>
                <w:color w:val="000000"/>
              </w:rPr>
              <w:t>,  śr. w zakr. 1,5-1,7 mm, dł. w zakr. 320-360 mm – 1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A434D" w:rsidRDefault="00FF2F35" w:rsidP="00FF2F35">
            <w:r w:rsidRPr="00900DCA">
              <w:t>Kontener do przechowywania i sterylizacji optyk endoskopowych, aluminiowy, perforowany, zamykany na zatrzaski po obu stronach kontenera, wewnątrz silikonowe uchwyty do mocowania min. 2 optyk, rozmiar</w:t>
            </w:r>
            <w:r>
              <w:t xml:space="preserve"> min.</w:t>
            </w:r>
            <w:r w:rsidRPr="00900DCA">
              <w:t xml:space="preserve"> 4</w:t>
            </w:r>
            <w:r>
              <w:t>4</w:t>
            </w:r>
            <w:r w:rsidRPr="00900DCA">
              <w:t xml:space="preserve">0 x </w:t>
            </w:r>
            <w:r>
              <w:t>6</w:t>
            </w:r>
            <w:r w:rsidRPr="00900DCA">
              <w:t xml:space="preserve">0 x </w:t>
            </w:r>
            <w:r>
              <w:t>6</w:t>
            </w:r>
            <w:r w:rsidRPr="00900DCA">
              <w:t>0 mm</w:t>
            </w:r>
            <w:r>
              <w:t>, max. 470x80x80mm</w:t>
            </w:r>
            <w:r w:rsidRPr="00900DCA">
              <w:t xml:space="preserve"> – </w:t>
            </w:r>
            <w:r>
              <w:t>2</w:t>
            </w:r>
            <w:r w:rsidRPr="00900DCA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D179D" w:rsidRDefault="00FF2F35" w:rsidP="00FF2F35">
            <w:r w:rsidRPr="00A41B9B">
              <w:t xml:space="preserve">Płaszcz zewnętrzny systemu histero – resektoskopowego, z możliwością pracy zarówno z płaszczem wewnętrznym histeroskopowym jak i resektoskopowym monopolarnym oraz bipolarnym (system hybrydowy). Końcówka płaszcza o </w:t>
            </w:r>
            <w:r w:rsidRPr="00A41B9B">
              <w:lastRenderedPageBreak/>
              <w:t>kształcie eliptycznym, pozwalająca na wprowadzenie bez hegarowania, wzdłużnie wielokrotnie perforowana i zakończona ceramiką, śr. max. 15 Charr. / Fr. Płaszcz nieobrotowy, z dwoma kranikami do regulacji ciągłego przepływu, ze strzałkami opisującymi jego kierunek, montowany zatrzaskowo, posiada</w:t>
            </w:r>
            <w:r>
              <w:t>jący</w:t>
            </w:r>
            <w:r w:rsidRPr="00A41B9B">
              <w:t xml:space="preserve"> system kodowania kolorystycznego, dł. robocza </w:t>
            </w:r>
            <w:r>
              <w:t xml:space="preserve">w zakr. </w:t>
            </w:r>
            <w:r w:rsidRPr="00A41B9B">
              <w:t>1</w:t>
            </w:r>
            <w:r>
              <w:t>88-200</w:t>
            </w:r>
            <w:r w:rsidRPr="00A41B9B">
              <w:t xml:space="preserve"> mm – </w:t>
            </w:r>
            <w:r>
              <w:t>2</w:t>
            </w:r>
            <w:r w:rsidRPr="00A41B9B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D179D" w:rsidRDefault="00FF2F35" w:rsidP="00FF2F35">
            <w:r w:rsidRPr="00A41B9B">
              <w:t xml:space="preserve">Płaszcz wewnętrzny histeroskopowy dedykowany do współpracy z płaszczem zewnętrznym histero – resektoskopowym o śr. max. 15 Charr. / Fr., montowany zatrzaskowo, posiada system kodowania kolorystycznego, jeden kanał roboczy o śr. 5 Charr. / Fr. dla elektrod i narzędzi histeroskopowych. Płaszcz dedykowany do współpracy z optyką o śr. </w:t>
            </w:r>
            <w:r>
              <w:t xml:space="preserve">w zakr. </w:t>
            </w:r>
            <w:r w:rsidRPr="00A41B9B">
              <w:t>2,</w:t>
            </w:r>
            <w:r>
              <w:t>8-3,0</w:t>
            </w:r>
            <w:r w:rsidRPr="00A41B9B">
              <w:t xml:space="preserve"> mm, montowaną w systemie zapadkowym. Specjalna konstrukcja kołnierza przewężona na całej jego długości w połączeniu z wielokrotną wzdłużną perforacją płaszcza zewnętrznego zapewnia zwiększoną i bardziej efektywną irygację w stosunku do standardowej konstrukcji – </w:t>
            </w:r>
            <w:r>
              <w:t>2</w:t>
            </w:r>
            <w:r w:rsidRPr="00A41B9B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D179D" w:rsidRDefault="00FF2F35" w:rsidP="00FF2F35">
            <w:r w:rsidRPr="005E0180">
              <w:t xml:space="preserve">Kleszczyki histeroskopowe, półsztywne, łyżeczkowe, owalne i biopsyjne, obie bransze ruchome, wyposażone w kanał płuczący do czyszczenia narzędzia poprzez złącze LUER - LOCK, śr. </w:t>
            </w:r>
            <w:r>
              <w:t xml:space="preserve">w zakr. </w:t>
            </w:r>
            <w:r w:rsidRPr="005E0180">
              <w:t>1,</w:t>
            </w:r>
            <w:r>
              <w:t>5-1,7 mm</w:t>
            </w:r>
            <w:r w:rsidRPr="005E0180">
              <w:t xml:space="preserve">, dł. </w:t>
            </w:r>
            <w:r>
              <w:t xml:space="preserve">w zakr. </w:t>
            </w:r>
            <w:r w:rsidRPr="005E0180">
              <w:t>3</w:t>
            </w:r>
            <w:r>
              <w:t>2</w:t>
            </w:r>
            <w:r w:rsidRPr="005E0180">
              <w:t>0</w:t>
            </w:r>
            <w:r>
              <w:t xml:space="preserve">-360mm </w:t>
            </w:r>
            <w:r w:rsidRPr="005E0180">
              <w:t xml:space="preserve">– </w:t>
            </w:r>
            <w:r w:rsidR="00DE13A7">
              <w:t>2</w:t>
            </w:r>
            <w:r w:rsidRPr="005E0180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D179D" w:rsidRDefault="00FF2F35" w:rsidP="00FF2F35">
            <w:r w:rsidRPr="00C30511">
              <w:t xml:space="preserve">Kosz druciany do sterylizacji zestawu, wym. </w:t>
            </w:r>
            <w:r>
              <w:t xml:space="preserve">min. </w:t>
            </w:r>
            <w:r w:rsidRPr="00C30511">
              <w:t>40</w:t>
            </w:r>
            <w:r>
              <w:t>0</w:t>
            </w:r>
            <w:r w:rsidRPr="00C30511">
              <w:t xml:space="preserve"> x 2</w:t>
            </w:r>
            <w:r>
              <w:t>45</w:t>
            </w:r>
            <w:r w:rsidRPr="00C30511">
              <w:t xml:space="preserve"> x </w:t>
            </w:r>
            <w:r>
              <w:t>4</w:t>
            </w:r>
            <w:r w:rsidRPr="00C30511">
              <w:t>5 mm</w:t>
            </w:r>
            <w:r>
              <w:t xml:space="preserve">, max. 410x255x55mm </w:t>
            </w:r>
            <w:r w:rsidRPr="00C30511">
              <w:t xml:space="preserve">– </w:t>
            </w:r>
            <w:r w:rsidR="00DE13A7">
              <w:t>2</w:t>
            </w:r>
            <w:r w:rsidRPr="00C30511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D179D" w:rsidRDefault="00FF2F35" w:rsidP="00FF2F35">
            <w:r w:rsidRPr="005D5E78">
              <w:t xml:space="preserve">Matka jeżyk, wym. </w:t>
            </w:r>
            <w:r>
              <w:t xml:space="preserve">min. </w:t>
            </w:r>
            <w:r w:rsidRPr="005D5E78">
              <w:t>3</w:t>
            </w:r>
            <w:r>
              <w:t>75</w:t>
            </w:r>
            <w:r w:rsidRPr="005D5E78">
              <w:t xml:space="preserve"> x 2</w:t>
            </w:r>
            <w:r>
              <w:t>25</w:t>
            </w:r>
            <w:r w:rsidRPr="005D5E78">
              <w:t xml:space="preserve"> mm</w:t>
            </w:r>
            <w:r>
              <w:t>, max. 385x235 mm</w:t>
            </w:r>
            <w:r w:rsidRPr="005D5E78">
              <w:t xml:space="preserve"> – </w:t>
            </w:r>
            <w:r w:rsidR="00DE13A7">
              <w:t>2</w:t>
            </w:r>
            <w:r w:rsidRPr="005D5E78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F2F35" w:rsidRPr="008D179D" w:rsidRDefault="00FF2F35" w:rsidP="00FF2F35">
            <w:r w:rsidRPr="005D5E78">
              <w:t>System pozwalający na znieczulenie domaciczne do zabiegu histeroskopii. System składa</w:t>
            </w:r>
            <w:r>
              <w:t>jący</w:t>
            </w:r>
            <w:r w:rsidRPr="005D5E78">
              <w:t xml:space="preserve"> się z uchwytu wyposażonego w aktywator igły przez </w:t>
            </w:r>
            <w:r>
              <w:t>można podać</w:t>
            </w:r>
            <w:r w:rsidRPr="005D5E78">
              <w:t xml:space="preserve"> miejscowo znieczulenie. Marker na uchwycie pozwala</w:t>
            </w:r>
            <w:r>
              <w:t>jący</w:t>
            </w:r>
            <w:r w:rsidRPr="005D5E78">
              <w:t xml:space="preserve"> na wzrokową kontrolę czy igła jest w pozycji wysuniętej, czy bezpiecznej. Od strony dystalnej osłona igły zakończona plastikową kulką, dla jak najmniejszej traumatyzacji tkanek. Od strony dystalne</w:t>
            </w:r>
            <w:r>
              <w:t xml:space="preserve">j z uchwytu wyprowadzony </w:t>
            </w:r>
            <w:r w:rsidRPr="005D5E78">
              <w:t>wężyk ( z za</w:t>
            </w:r>
            <w:r>
              <w:t>mknięciem ) do którego można wpiąć</w:t>
            </w:r>
            <w:r w:rsidRPr="005D5E78">
              <w:t xml:space="preserve"> preparat znieczulający pacjentkę  - </w:t>
            </w:r>
            <w:r w:rsidR="00DE13A7">
              <w:t>2</w:t>
            </w:r>
            <w:r w:rsidRPr="005D5E78">
              <w:t>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  <w:r>
              <w:t>TAK/NIE</w:t>
            </w:r>
          </w:p>
        </w:tc>
      </w:tr>
      <w:tr w:rsidR="00FF2F35" w:rsidRPr="00F13381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FF2F35" w:rsidRPr="0092647F" w:rsidRDefault="00FF2F35" w:rsidP="00FF2F35">
            <w:pPr>
              <w:jc w:val="center"/>
              <w:rPr>
                <w:b/>
              </w:rPr>
            </w:pPr>
            <w:r>
              <w:rPr>
                <w:b/>
              </w:rPr>
              <w:t>PARAMETRY STANOWIĄCE KRYTERIUM OCENY OFERT</w:t>
            </w:r>
          </w:p>
        </w:tc>
      </w:tr>
      <w:tr w:rsidR="00FF2F35" w:rsidRPr="00F13381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FF2F35" w:rsidRPr="00862D93" w:rsidRDefault="00FF2F35" w:rsidP="00FF2F35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A43DC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Pr="00862D93" w:rsidRDefault="00FF2F35" w:rsidP="00FF2F35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862D93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FF2F35" w:rsidRPr="00862D93" w:rsidRDefault="00FF2F35" w:rsidP="00FF2F35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FF2F35" w:rsidRPr="00F13381" w:rsidTr="006C0AB0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F35" w:rsidRPr="00900DCA" w:rsidRDefault="00FF2F35" w:rsidP="00FF2F35">
            <w:pPr>
              <w:pStyle w:val="Standard"/>
              <w:ind w:left="0" w:firstLine="0"/>
              <w:rPr>
                <w:color w:val="000000"/>
              </w:rPr>
            </w:pPr>
            <w:r w:rsidRPr="003262CD">
              <w:rPr>
                <w:color w:val="000000"/>
              </w:rPr>
              <w:t xml:space="preserve">Optyka endoskopowa </w:t>
            </w:r>
            <w:r>
              <w:rPr>
                <w:color w:val="000000"/>
              </w:rPr>
              <w:t xml:space="preserve">(o parametrach wskazanych w pkt 5) </w:t>
            </w:r>
            <w:r w:rsidRPr="003262CD">
              <w:rPr>
                <w:color w:val="000000"/>
              </w:rPr>
              <w:t xml:space="preserve">w systemie Full HD Premium, dedykowana do </w:t>
            </w:r>
            <w:r w:rsidRPr="003262CD">
              <w:rPr>
                <w:color w:val="000000"/>
              </w:rPr>
              <w:lastRenderedPageBreak/>
              <w:t>najnowszej generacji systemów Full HD dająca większą lub lepszą niż standardowe HD głębię ostrości, jasność, kontrast, odwzorowanie kolorów, jakość obrazu (pełne wykorzystanie rozdzielczości kamery) identyczną w środku optyki jak i na brzegach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F35" w:rsidRDefault="00FF2F35" w:rsidP="00FF2F35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TAK - 20 pkt. </w:t>
            </w:r>
          </w:p>
          <w:p w:rsidR="00FF2F35" w:rsidRPr="00900DCA" w:rsidRDefault="00FF2F35" w:rsidP="00FF2F35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NIE </w:t>
            </w:r>
            <w:r w:rsidRPr="00900DCA">
              <w:rPr>
                <w:color w:val="000000"/>
              </w:rPr>
              <w:t>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2F35" w:rsidRPr="00881E38" w:rsidRDefault="001E2F9A" w:rsidP="001E2F9A">
            <w:pPr>
              <w:pStyle w:val="Standard"/>
              <w:jc w:val="center"/>
              <w:rPr>
                <w:rFonts w:ascii="GE Inspira" w:hAnsi="GE Inspira" w:cs="Arial"/>
                <w:color w:val="000000"/>
              </w:rPr>
            </w:pPr>
            <w:r w:rsidRPr="003B789F">
              <w:t>TAK/NIE</w:t>
            </w:r>
          </w:p>
        </w:tc>
      </w:tr>
      <w:tr w:rsidR="00FF2F35" w:rsidRPr="00F13381" w:rsidTr="00E96230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F35" w:rsidRPr="003B789F" w:rsidRDefault="00FF2F35" w:rsidP="00FF2F35">
            <w:pPr>
              <w:pStyle w:val="Standard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Światłowód medyczny (</w:t>
            </w:r>
            <w:r w:rsidRPr="003B789F">
              <w:rPr>
                <w:color w:val="000000"/>
              </w:rPr>
              <w:t xml:space="preserve">o parametrach wskazanych w pkt </w:t>
            </w:r>
            <w:r>
              <w:rPr>
                <w:color w:val="000000"/>
              </w:rPr>
              <w:t>6</w:t>
            </w:r>
            <w:r w:rsidRPr="003B789F">
              <w:rPr>
                <w:color w:val="000000"/>
              </w:rPr>
              <w:t>)  wykonany bez użycia kleju ( niełamliwy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Pr="003B789F" w:rsidRDefault="00FF2F35" w:rsidP="00FF2F35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 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:rsidR="00FF2F35" w:rsidRPr="003B789F" w:rsidRDefault="00FF2F35" w:rsidP="00FF2F35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Pr="003B789F" w:rsidRDefault="00FF2F35" w:rsidP="00FF2F35">
            <w:pPr>
              <w:pStyle w:val="Standard"/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FF2F35" w:rsidRPr="00F13381" w:rsidTr="00FE4674">
        <w:tc>
          <w:tcPr>
            <w:tcW w:w="675" w:type="dxa"/>
            <w:shd w:val="clear" w:color="auto" w:fill="auto"/>
            <w:vAlign w:val="center"/>
          </w:tcPr>
          <w:p w:rsidR="00FF2F35" w:rsidRPr="0092647F" w:rsidRDefault="00FF2F35" w:rsidP="00FF2F35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F35" w:rsidRPr="006C0AB0" w:rsidRDefault="00FF2F35" w:rsidP="00FF2F35">
            <w:pPr>
              <w:tabs>
                <w:tab w:val="left" w:pos="4450"/>
              </w:tabs>
              <w:ind w:firstLine="15"/>
            </w:pPr>
            <w:r>
              <w:rPr>
                <w:bCs/>
              </w:rPr>
              <w:t>N</w:t>
            </w:r>
            <w:r w:rsidRPr="003B789F">
              <w:rPr>
                <w:bCs/>
              </w:rPr>
              <w:t>ożyczki</w:t>
            </w:r>
            <w:r w:rsidRPr="003B789F">
              <w:rPr>
                <w:color w:val="000000"/>
              </w:rPr>
              <w:t xml:space="preserve"> (o parametrach wskazanych w pkt </w:t>
            </w:r>
            <w:r>
              <w:rPr>
                <w:color w:val="000000"/>
              </w:rPr>
              <w:t>7</w:t>
            </w:r>
            <w:r w:rsidRPr="003B78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A1716">
              <w:t>wyposażone w system anty złamaniowy, polegający na pogrubieniu trzonu narzędzia w części proksymalnej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Pr="003B789F" w:rsidRDefault="00FF2F35" w:rsidP="00FF2F35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1</w:t>
            </w:r>
            <w:r w:rsidRPr="003B789F">
              <w:rPr>
                <w:color w:val="000000"/>
              </w:rPr>
              <w:t xml:space="preserve">0 pkt. </w:t>
            </w:r>
          </w:p>
          <w:p w:rsidR="00FF2F35" w:rsidRPr="003B789F" w:rsidRDefault="00FF2F35" w:rsidP="00FF2F35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Pr="003B789F" w:rsidRDefault="00FF2F35" w:rsidP="00FF2F35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FF2F35" w:rsidRPr="006059EF" w:rsidTr="009D657E">
        <w:tc>
          <w:tcPr>
            <w:tcW w:w="9889" w:type="dxa"/>
            <w:gridSpan w:val="4"/>
            <w:shd w:val="clear" w:color="auto" w:fill="BFBFBF"/>
          </w:tcPr>
          <w:p w:rsidR="00FF2F35" w:rsidRPr="00862D93" w:rsidRDefault="00FF2F35" w:rsidP="00FF2F35">
            <w:pPr>
              <w:jc w:val="center"/>
              <w:rPr>
                <w:b/>
                <w:color w:val="000000"/>
              </w:rPr>
            </w:pPr>
            <w:r w:rsidRPr="00862D93">
              <w:rPr>
                <w:b/>
                <w:color w:val="000000"/>
              </w:rPr>
              <w:t>WARUNKI GWARANCJI I SERWISU</w:t>
            </w:r>
          </w:p>
        </w:tc>
      </w:tr>
      <w:tr w:rsidR="00FF2F35" w:rsidRPr="006059EF" w:rsidTr="009D657E">
        <w:tc>
          <w:tcPr>
            <w:tcW w:w="675" w:type="dxa"/>
            <w:shd w:val="clear" w:color="auto" w:fill="auto"/>
            <w:vAlign w:val="center"/>
          </w:tcPr>
          <w:p w:rsidR="00FF2F35" w:rsidRPr="003859FA" w:rsidRDefault="00FF2F35" w:rsidP="00FF2F35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F35" w:rsidRPr="00862D93" w:rsidRDefault="00FF2F35" w:rsidP="00FF2F35">
            <w:pPr>
              <w:rPr>
                <w:highlight w:val="yellow"/>
              </w:rPr>
            </w:pPr>
            <w:r w:rsidRPr="00862D93">
              <w:t>Okres gwarancji min. 24 miesiące</w:t>
            </w:r>
            <w: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Pr="00862D93" w:rsidRDefault="00FF2F35" w:rsidP="00FF2F35">
            <w:pPr>
              <w:jc w:val="center"/>
            </w:pPr>
            <w:r w:rsidRPr="00862D93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</w:p>
          <w:p w:rsidR="00FF2F35" w:rsidRDefault="00FF2F35" w:rsidP="00FF2F35">
            <w:pPr>
              <w:jc w:val="center"/>
            </w:pPr>
            <w:r w:rsidRPr="00B436B7">
              <w:t xml:space="preserve">…………………. </w:t>
            </w:r>
            <w:r>
              <w:t>m</w:t>
            </w:r>
            <w:r w:rsidRPr="00B436B7">
              <w:t>c</w:t>
            </w:r>
          </w:p>
          <w:p w:rsidR="00FF2F35" w:rsidRPr="00B436B7" w:rsidRDefault="00FF2F35" w:rsidP="00FF2F35">
            <w:pPr>
              <w:jc w:val="center"/>
            </w:pPr>
          </w:p>
        </w:tc>
      </w:tr>
      <w:tr w:rsidR="00FF2F35" w:rsidRPr="006059EF" w:rsidTr="009D657E">
        <w:tc>
          <w:tcPr>
            <w:tcW w:w="675" w:type="dxa"/>
            <w:shd w:val="clear" w:color="auto" w:fill="auto"/>
            <w:vAlign w:val="center"/>
          </w:tcPr>
          <w:p w:rsidR="00FF2F35" w:rsidRPr="00A451F0" w:rsidRDefault="00FF2F35" w:rsidP="00FF2F35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F35" w:rsidRPr="00A451F0" w:rsidRDefault="00FF2F35" w:rsidP="00FF2F35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A451F0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Pr="00862D93" w:rsidRDefault="00FF2F35" w:rsidP="00FF2F35">
            <w:pPr>
              <w:jc w:val="center"/>
              <w:rPr>
                <w:color w:val="000000"/>
              </w:rPr>
            </w:pPr>
            <w:r w:rsidRPr="00862D93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F35" w:rsidRDefault="00FF2F35" w:rsidP="00FF2F35">
            <w:pPr>
              <w:jc w:val="center"/>
            </w:pPr>
          </w:p>
          <w:p w:rsidR="00FF2F35" w:rsidRDefault="00FF2F35" w:rsidP="00FF2F35">
            <w:pPr>
              <w:jc w:val="center"/>
            </w:pPr>
            <w:r w:rsidRPr="000E0205">
              <w:t>TAK</w:t>
            </w:r>
            <w:r>
              <w:t>/NIE</w:t>
            </w:r>
            <w:r w:rsidRPr="00B436B7">
              <w:t xml:space="preserve"> </w:t>
            </w:r>
          </w:p>
          <w:p w:rsidR="00FF2F35" w:rsidRDefault="00FF2F35" w:rsidP="00FF2F35">
            <w:pPr>
              <w:jc w:val="center"/>
            </w:pPr>
            <w:r w:rsidRPr="00B436B7">
              <w:t>………………………………..</w:t>
            </w:r>
          </w:p>
          <w:p w:rsidR="00FF2F35" w:rsidRPr="00B436B7" w:rsidRDefault="00FF2F35" w:rsidP="00FF2F35">
            <w:pPr>
              <w:jc w:val="center"/>
            </w:pPr>
          </w:p>
        </w:tc>
      </w:tr>
      <w:tr w:rsidR="00FF2F35" w:rsidRPr="00F13381" w:rsidTr="009D657E">
        <w:tc>
          <w:tcPr>
            <w:tcW w:w="9889" w:type="dxa"/>
            <w:gridSpan w:val="4"/>
            <w:shd w:val="clear" w:color="auto" w:fill="D9D9D9"/>
          </w:tcPr>
          <w:p w:rsidR="00FF2F35" w:rsidRPr="003859FA" w:rsidRDefault="00FF2F35" w:rsidP="00FF2F35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859FA">
              <w:rPr>
                <w:b/>
              </w:rPr>
              <w:tab/>
            </w:r>
            <w:r w:rsidRPr="003859FA">
              <w:rPr>
                <w:b/>
              </w:rPr>
              <w:tab/>
              <w:t>SZKOLENIA</w:t>
            </w:r>
          </w:p>
        </w:tc>
      </w:tr>
      <w:tr w:rsidR="00FF2F35" w:rsidRPr="00F13381" w:rsidTr="009D657E">
        <w:tc>
          <w:tcPr>
            <w:tcW w:w="675" w:type="dxa"/>
            <w:shd w:val="clear" w:color="auto" w:fill="auto"/>
            <w:vAlign w:val="center"/>
          </w:tcPr>
          <w:p w:rsidR="00FF2F35" w:rsidRPr="003859FA" w:rsidRDefault="00FF2F35" w:rsidP="00FF2F35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F35" w:rsidRPr="00B35614" w:rsidRDefault="00FF2F35" w:rsidP="00FF2F35">
            <w:pPr>
              <w:rPr>
                <w:color w:val="000000"/>
              </w:rPr>
            </w:pPr>
            <w:r w:rsidRPr="00B35614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F35" w:rsidRPr="00F13381" w:rsidRDefault="00FF2F35" w:rsidP="00FF2F35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F13381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FF2F35" w:rsidRPr="00F13381" w:rsidRDefault="00FF2F35" w:rsidP="00FF2F35">
            <w:pPr>
              <w:jc w:val="center"/>
              <w:rPr>
                <w:rFonts w:ascii="Palatino Linotype" w:hAnsi="Palatino Linotype"/>
                <w:b/>
              </w:rPr>
            </w:pPr>
            <w:r w:rsidRPr="000E0205">
              <w:t>TAK</w:t>
            </w:r>
            <w:r>
              <w:t>/NIE</w:t>
            </w:r>
          </w:p>
        </w:tc>
      </w:tr>
    </w:tbl>
    <w:p w:rsidR="000F46D4" w:rsidRDefault="000F46D4" w:rsidP="000F46D4">
      <w:pPr>
        <w:jc w:val="both"/>
        <w:rPr>
          <w:rFonts w:ascii="Palatino Linotype" w:hAnsi="Palatino Linotype" w:cs="Arial"/>
        </w:rPr>
      </w:pPr>
    </w:p>
    <w:p w:rsidR="000F46D4" w:rsidRDefault="000F46D4" w:rsidP="000F46D4">
      <w:pPr>
        <w:jc w:val="both"/>
        <w:rPr>
          <w:rFonts w:ascii="Palatino Linotype" w:hAnsi="Palatino Linotype" w:cs="Arial"/>
        </w:rPr>
      </w:pPr>
    </w:p>
    <w:p w:rsidR="000F46D4" w:rsidRPr="00397F3D" w:rsidRDefault="000F46D4" w:rsidP="000F46D4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0F46D4" w:rsidRPr="00397F3D" w:rsidRDefault="000F46D4" w:rsidP="000F46D4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0F46D4" w:rsidRPr="00397F3D" w:rsidRDefault="000F46D4" w:rsidP="000F46D4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0F46D4" w:rsidRDefault="000F46D4" w:rsidP="000F46D4"/>
    <w:p w:rsidR="000F46D4" w:rsidRPr="00C07C6E" w:rsidRDefault="000F46D4" w:rsidP="000F46D4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EA" w:rsidRDefault="001F4EEA">
      <w:r>
        <w:separator/>
      </w:r>
    </w:p>
  </w:endnote>
  <w:endnote w:type="continuationSeparator" w:id="0">
    <w:p w:rsidR="001F4EEA" w:rsidRDefault="001F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0F46D4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0F46D4" w:rsidRPr="0052168E" w:rsidRDefault="000F46D4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1EB7A60" wp14:editId="61C2826D">
                <wp:extent cx="447675" cy="276225"/>
                <wp:effectExtent l="0" t="0" r="9525" b="9525"/>
                <wp:docPr id="1" name="Obraz 1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0F46D4" w:rsidRDefault="000F46D4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0F46D4" w:rsidRPr="002D4052" w:rsidRDefault="000F46D4" w:rsidP="000F46D4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25</w:t>
          </w:r>
        </w:p>
      </w:tc>
      <w:tc>
        <w:tcPr>
          <w:tcW w:w="1438" w:type="dxa"/>
          <w:gridSpan w:val="2"/>
          <w:vAlign w:val="center"/>
        </w:tcPr>
        <w:p w:rsidR="000F46D4" w:rsidRPr="001D12C5" w:rsidRDefault="000F46D4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0F46D4" w:rsidTr="00CC595E">
      <w:trPr>
        <w:cantSplit/>
        <w:trHeight w:val="210"/>
        <w:tblHeader/>
      </w:trPr>
      <w:tc>
        <w:tcPr>
          <w:tcW w:w="851" w:type="dxa"/>
          <w:vMerge/>
        </w:tcPr>
        <w:p w:rsidR="000F46D4" w:rsidRPr="00F57E93" w:rsidRDefault="000F46D4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0F46D4" w:rsidRPr="00F57E93" w:rsidRDefault="000F46D4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0F46D4" w:rsidRPr="001D12C5" w:rsidRDefault="000F46D4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0F46D4" w:rsidRPr="001D12C5" w:rsidRDefault="000F46D4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C33331">
            <w:rPr>
              <w:rFonts w:ascii="Tahoma" w:hAnsi="Tahoma" w:cs="Tahoma"/>
              <w:noProof/>
              <w:sz w:val="12"/>
              <w:szCs w:val="14"/>
            </w:rPr>
            <w:t>2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C33331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0F46D4" w:rsidRDefault="000F4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EA" w:rsidRDefault="001F4EEA">
      <w:r>
        <w:separator/>
      </w:r>
    </w:p>
  </w:footnote>
  <w:footnote w:type="continuationSeparator" w:id="0">
    <w:p w:rsidR="001F4EEA" w:rsidRDefault="001F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D4" w:rsidRDefault="000F46D4">
    <w:pPr>
      <w:pStyle w:val="Nagwek"/>
    </w:pPr>
    <w:r>
      <w:rPr>
        <w:noProof/>
      </w:rPr>
      <w:drawing>
        <wp:inline distT="0" distB="0" distL="0" distR="0">
          <wp:extent cx="5941060" cy="7788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330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832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87F"/>
    <w:rsid w:val="000F1ED6"/>
    <w:rsid w:val="000F46D4"/>
    <w:rsid w:val="001021CD"/>
    <w:rsid w:val="0011110A"/>
    <w:rsid w:val="001148EE"/>
    <w:rsid w:val="00116278"/>
    <w:rsid w:val="001201AC"/>
    <w:rsid w:val="001217E4"/>
    <w:rsid w:val="00126CDC"/>
    <w:rsid w:val="001350D8"/>
    <w:rsid w:val="00144114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2F9A"/>
    <w:rsid w:val="001E3036"/>
    <w:rsid w:val="001E6C5F"/>
    <w:rsid w:val="001F2385"/>
    <w:rsid w:val="001F280B"/>
    <w:rsid w:val="001F4EEA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3523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262CD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06DA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337E"/>
    <w:rsid w:val="004110E6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4886"/>
    <w:rsid w:val="005064D0"/>
    <w:rsid w:val="005122F5"/>
    <w:rsid w:val="005153E5"/>
    <w:rsid w:val="00515929"/>
    <w:rsid w:val="00524561"/>
    <w:rsid w:val="0053486A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D5E78"/>
    <w:rsid w:val="005E0180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1393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0DCA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1B9B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511"/>
    <w:rsid w:val="00C307E3"/>
    <w:rsid w:val="00C33331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265D"/>
    <w:rsid w:val="00D6474E"/>
    <w:rsid w:val="00D65179"/>
    <w:rsid w:val="00D71A06"/>
    <w:rsid w:val="00D71D96"/>
    <w:rsid w:val="00D73D89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3A7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6387"/>
    <w:rsid w:val="00E57302"/>
    <w:rsid w:val="00E573AD"/>
    <w:rsid w:val="00E6260F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436D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2F45"/>
    <w:rsid w:val="00F77382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0E75"/>
    <w:rsid w:val="00FE25FA"/>
    <w:rsid w:val="00FE4674"/>
    <w:rsid w:val="00FE6058"/>
    <w:rsid w:val="00FE776A"/>
    <w:rsid w:val="00FF02B4"/>
    <w:rsid w:val="00FF2F35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46D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2019-03-13T13:15:00Z</dcterms:created>
  <dcterms:modified xsi:type="dcterms:W3CDTF">2019-03-13T13:15:00Z</dcterms:modified>
</cp:coreProperties>
</file>