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C6A" w:rsidRPr="00944C6A" w:rsidRDefault="00944C6A" w:rsidP="00944C6A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</w:pPr>
      <w:r w:rsidRPr="00944C6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Numer sprawy: </w:t>
      </w:r>
      <w:r w:rsidR="006C7DBD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>15</w:t>
      </w:r>
      <w:r w:rsidRPr="00944C6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/P/20</w:t>
      </w:r>
      <w:r w:rsidRPr="00944C6A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>20</w:t>
      </w:r>
    </w:p>
    <w:p w:rsidR="00944C6A" w:rsidRDefault="00944C6A" w:rsidP="0018366D">
      <w:pPr>
        <w:pStyle w:val="Style"/>
        <w:spacing w:line="254" w:lineRule="exact"/>
        <w:textAlignment w:val="baseline"/>
        <w:rPr>
          <w:rFonts w:eastAsia="Arial"/>
          <w:b/>
          <w:u w:val="single"/>
        </w:rPr>
      </w:pPr>
    </w:p>
    <w:p w:rsidR="0018366D" w:rsidRPr="00963A5A" w:rsidRDefault="0018366D" w:rsidP="0018366D">
      <w:pPr>
        <w:pStyle w:val="Style"/>
        <w:spacing w:line="254" w:lineRule="exact"/>
        <w:textAlignment w:val="baseline"/>
        <w:rPr>
          <w:rFonts w:eastAsia="Arial"/>
          <w:b/>
          <w:u w:val="single"/>
        </w:rPr>
      </w:pPr>
      <w:r w:rsidRPr="00963A5A">
        <w:rPr>
          <w:rFonts w:eastAsia="Arial"/>
          <w:b/>
          <w:u w:val="single"/>
        </w:rPr>
        <w:t>Załącznik A</w:t>
      </w:r>
    </w:p>
    <w:p w:rsidR="0018366D" w:rsidRDefault="0018366D" w:rsidP="0018366D">
      <w:pPr>
        <w:pStyle w:val="Style"/>
        <w:spacing w:line="254" w:lineRule="exact"/>
        <w:textAlignment w:val="baseline"/>
        <w:rPr>
          <w:rFonts w:eastAsia="Arial"/>
          <w:b/>
        </w:rPr>
      </w:pPr>
    </w:p>
    <w:p w:rsidR="00D3785C" w:rsidRPr="00C23F04" w:rsidRDefault="00D3785C" w:rsidP="00D3785C">
      <w:pPr>
        <w:pStyle w:val="Style"/>
        <w:spacing w:line="254" w:lineRule="exact"/>
        <w:jc w:val="both"/>
        <w:textAlignment w:val="baseline"/>
      </w:pPr>
      <w:r>
        <w:rPr>
          <w:rFonts w:eastAsia="Arial"/>
          <w:b/>
        </w:rPr>
        <w:t xml:space="preserve">CEL PROJEKTU: </w:t>
      </w:r>
    </w:p>
    <w:p w:rsidR="00D3785C" w:rsidRPr="00306346" w:rsidRDefault="00D3785C" w:rsidP="00D3785C">
      <w:pPr>
        <w:pStyle w:val="Style"/>
        <w:spacing w:line="269" w:lineRule="exact"/>
        <w:jc w:val="both"/>
        <w:textAlignment w:val="baseline"/>
        <w:rPr>
          <w:rFonts w:eastAsia="Arial"/>
        </w:rPr>
      </w:pPr>
      <w:r w:rsidRPr="00306346">
        <w:rPr>
          <w:rFonts w:eastAsia="Arial"/>
        </w:rPr>
        <w:t>Celem Projektu jest przeprowadzenie bada</w:t>
      </w:r>
      <w:r w:rsidR="00C27696">
        <w:rPr>
          <w:rFonts w:eastAsia="Arial"/>
        </w:rPr>
        <w:t>nia</w:t>
      </w:r>
      <w:r w:rsidR="002F13CE">
        <w:rPr>
          <w:rFonts w:eastAsia="Arial"/>
        </w:rPr>
        <w:t xml:space="preserve"> </w:t>
      </w:r>
      <w:r w:rsidRPr="00306346">
        <w:rPr>
          <w:rFonts w:eastAsia="Arial"/>
        </w:rPr>
        <w:t>kliniczne</w:t>
      </w:r>
      <w:r w:rsidR="00C27696">
        <w:rPr>
          <w:rFonts w:eastAsia="Arial"/>
        </w:rPr>
        <w:t>go fazy I/II</w:t>
      </w:r>
      <w:r w:rsidRPr="00306346">
        <w:rPr>
          <w:rFonts w:eastAsia="Arial"/>
        </w:rPr>
        <w:t xml:space="preserve"> nad bezpieczeństwem i oceną skuteczności diagnostyki prowadzonej za pomocą substancji PSMA-T4 po jej wyznakowaniu technetem-99m u pacjentów ze zdiagnozowanym rakiem stercza. </w:t>
      </w:r>
    </w:p>
    <w:p w:rsidR="00D3785C" w:rsidRPr="00C23F04" w:rsidRDefault="00D3785C" w:rsidP="00D3785C">
      <w:pPr>
        <w:pStyle w:val="Style"/>
        <w:spacing w:line="269" w:lineRule="exact"/>
        <w:jc w:val="both"/>
        <w:textAlignment w:val="baseline"/>
        <w:rPr>
          <w:rFonts w:eastAsia="Arial"/>
        </w:rPr>
      </w:pPr>
    </w:p>
    <w:p w:rsidR="00E458FF" w:rsidRDefault="00E458FF" w:rsidP="001150EC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458FF">
        <w:rPr>
          <w:rFonts w:ascii="Times New Roman" w:eastAsia="Arial" w:hAnsi="Times New Roman" w:cs="Times New Roman"/>
          <w:sz w:val="24"/>
          <w:szCs w:val="24"/>
        </w:rPr>
        <w:t>Badania będą wykonywane na rzecz Sponsora, Narodowe Centrum Badań Jądrowych Ośrodek Radioizotopów POLATOM, w celu przyszłego wykorzystania w dokumentacji rejestracyjnej nowego produktu leczniczego.</w:t>
      </w:r>
    </w:p>
    <w:p w:rsidR="00E458FF" w:rsidRPr="00E458FF" w:rsidRDefault="00E458FF" w:rsidP="00E458FF">
      <w:pPr>
        <w:rPr>
          <w:rFonts w:ascii="Times New Roman" w:eastAsia="Arial" w:hAnsi="Times New Roman" w:cs="Times New Roman"/>
          <w:sz w:val="24"/>
          <w:szCs w:val="24"/>
        </w:rPr>
      </w:pPr>
    </w:p>
    <w:p w:rsidR="00D3785C" w:rsidRPr="00B63A6F" w:rsidRDefault="00D3785C" w:rsidP="00D3785C">
      <w:pPr>
        <w:pStyle w:val="Style"/>
        <w:spacing w:line="269" w:lineRule="exact"/>
        <w:jc w:val="both"/>
        <w:textAlignment w:val="baseline"/>
        <w:rPr>
          <w:b/>
        </w:rPr>
      </w:pPr>
      <w:r w:rsidRPr="00B63A6F">
        <w:rPr>
          <w:rFonts w:eastAsia="Arial"/>
          <w:b/>
        </w:rPr>
        <w:t xml:space="preserve">Na potrzeby realizacji niniejszej Usługi Zamawiający przyjął następujące definicje: </w:t>
      </w:r>
    </w:p>
    <w:p w:rsidR="00D3785C" w:rsidRDefault="00D3785C" w:rsidP="00D3785C">
      <w:pPr>
        <w:pStyle w:val="Style"/>
        <w:spacing w:line="269" w:lineRule="exact"/>
        <w:jc w:val="both"/>
        <w:textAlignment w:val="baseline"/>
        <w:rPr>
          <w:rFonts w:eastAsia="Arial"/>
          <w:b/>
        </w:rPr>
      </w:pPr>
    </w:p>
    <w:p w:rsidR="00D3785C" w:rsidRPr="00C23F04" w:rsidRDefault="00D3785C" w:rsidP="00D3785C">
      <w:pPr>
        <w:pStyle w:val="Style"/>
        <w:spacing w:line="269" w:lineRule="exact"/>
        <w:jc w:val="both"/>
        <w:textAlignment w:val="baseline"/>
      </w:pPr>
      <w:r w:rsidRPr="00C23F04">
        <w:rPr>
          <w:rFonts w:eastAsia="Arial"/>
          <w:b/>
        </w:rPr>
        <w:t xml:space="preserve">CRO </w:t>
      </w:r>
      <w:r w:rsidRPr="00C23F04">
        <w:rPr>
          <w:rFonts w:eastAsia="Arial"/>
        </w:rPr>
        <w:t xml:space="preserve">(ang. </w:t>
      </w:r>
      <w:proofErr w:type="spellStart"/>
      <w:r w:rsidRPr="00C23F04">
        <w:rPr>
          <w:rFonts w:eastAsia="Arial"/>
        </w:rPr>
        <w:t>Contract</w:t>
      </w:r>
      <w:proofErr w:type="spellEnd"/>
      <w:r w:rsidRPr="00C23F04">
        <w:rPr>
          <w:rFonts w:eastAsia="Arial"/>
        </w:rPr>
        <w:t xml:space="preserve"> </w:t>
      </w:r>
      <w:proofErr w:type="spellStart"/>
      <w:r w:rsidRPr="00C23F04">
        <w:rPr>
          <w:rFonts w:eastAsia="Arial"/>
        </w:rPr>
        <w:t>Research</w:t>
      </w:r>
      <w:proofErr w:type="spellEnd"/>
      <w:r w:rsidRPr="00C23F04">
        <w:rPr>
          <w:rFonts w:eastAsia="Arial"/>
        </w:rPr>
        <w:t xml:space="preserve"> Organization) - definiowany jako </w:t>
      </w:r>
      <w:r w:rsidR="00C27696">
        <w:rPr>
          <w:rFonts w:eastAsia="Arial"/>
        </w:rPr>
        <w:t xml:space="preserve">organizacja </w:t>
      </w:r>
      <w:r w:rsidRPr="00C23F04">
        <w:rPr>
          <w:rFonts w:eastAsia="Arial"/>
        </w:rPr>
        <w:t xml:space="preserve">prowadząca badanie kliniczne na zlecenie, zgodnie z zasadami Dobrej Praktyki Klinicznej oraz wszystkimi obowiązującymi przepisami dotyczącymi prowadzenia badań klinicznych produktów leczniczych; </w:t>
      </w:r>
    </w:p>
    <w:p w:rsidR="00D3785C" w:rsidRDefault="00D3785C" w:rsidP="00D3785C">
      <w:pPr>
        <w:pStyle w:val="Style"/>
        <w:spacing w:before="4" w:line="264" w:lineRule="exact"/>
        <w:jc w:val="both"/>
        <w:textAlignment w:val="baseline"/>
        <w:rPr>
          <w:rFonts w:eastAsia="Arial"/>
          <w:b/>
        </w:rPr>
      </w:pPr>
    </w:p>
    <w:p w:rsidR="00D3785C" w:rsidRDefault="00D3785C" w:rsidP="00D3785C">
      <w:pPr>
        <w:pStyle w:val="Style"/>
        <w:spacing w:before="4" w:line="264" w:lineRule="exact"/>
        <w:jc w:val="both"/>
        <w:textAlignment w:val="baseline"/>
        <w:rPr>
          <w:rFonts w:eastAsia="Arial"/>
        </w:rPr>
      </w:pPr>
      <w:r w:rsidRPr="00C23F04">
        <w:rPr>
          <w:rFonts w:eastAsia="Arial"/>
          <w:b/>
        </w:rPr>
        <w:t xml:space="preserve">Ośrodek </w:t>
      </w:r>
      <w:r w:rsidRPr="00C23F04">
        <w:rPr>
          <w:rFonts w:eastAsia="Arial"/>
        </w:rPr>
        <w:t xml:space="preserve">- definiowany jako Badacz i Instytucja, w której prowadzi się badanie; Badacz to lekarz, który posiada prawo wykonywania zawodu na terytorium Rzeczypospolitej Polskiej, a także odpowiednio wysokie kwalifikacje zawodowe, wiedzę naukową oraz doświadczenie w pracy z pacjentami. Odpowiedzialny jest on za prowadzenie badania klinicznego w Instytucji. </w:t>
      </w:r>
      <w:r w:rsidR="00A8797C">
        <w:rPr>
          <w:rFonts w:eastAsia="Arial"/>
        </w:rPr>
        <w:br/>
      </w:r>
      <w:r w:rsidRPr="00C23F04">
        <w:rPr>
          <w:rFonts w:eastAsia="Arial"/>
        </w:rPr>
        <w:t>W przypadku, gdy badanie kliniczne prowadzone jest przez zespół osób, badacz wyznaczony zostaje przez sponsora i wówczas zwany jest Głównym Badaczem</w:t>
      </w:r>
      <w:r w:rsidR="00D232F7">
        <w:rPr>
          <w:rFonts w:eastAsia="Arial"/>
        </w:rPr>
        <w:t>.</w:t>
      </w:r>
      <w:r w:rsidRPr="00C23F04">
        <w:rPr>
          <w:rFonts w:eastAsia="Arial"/>
        </w:rPr>
        <w:t xml:space="preserve"> </w:t>
      </w:r>
    </w:p>
    <w:p w:rsidR="00D3785C" w:rsidRDefault="00D3785C" w:rsidP="00D3785C">
      <w:pPr>
        <w:pStyle w:val="Style"/>
        <w:spacing w:before="4" w:line="264" w:lineRule="exact"/>
        <w:jc w:val="both"/>
        <w:textAlignment w:val="baseline"/>
        <w:rPr>
          <w:rFonts w:eastAsia="Arial"/>
          <w:b/>
        </w:rPr>
      </w:pPr>
    </w:p>
    <w:p w:rsidR="00D3785C" w:rsidRPr="00C23F04" w:rsidRDefault="00D3785C" w:rsidP="00D3785C">
      <w:pPr>
        <w:pStyle w:val="Style"/>
        <w:spacing w:before="4" w:line="264" w:lineRule="exact"/>
        <w:jc w:val="both"/>
        <w:textAlignment w:val="baseline"/>
        <w:rPr>
          <w:rFonts w:eastAsia="Arial"/>
        </w:rPr>
      </w:pPr>
      <w:r w:rsidRPr="00C23F04">
        <w:rPr>
          <w:rFonts w:eastAsia="Arial"/>
          <w:b/>
        </w:rPr>
        <w:t xml:space="preserve">Sponsor </w:t>
      </w:r>
      <w:r w:rsidRPr="00C23F04">
        <w:rPr>
          <w:rFonts w:eastAsia="Arial"/>
        </w:rPr>
        <w:t xml:space="preserve">- definiowany jako osoba fizyczna, osoba prawna bądź jednostka organizacyjna nieposiadająca osobowości prawnej. Odpowiada on za podjęcie, prowadzenie, a także finansowanie badania klinicznego. </w:t>
      </w:r>
    </w:p>
    <w:p w:rsidR="00D3785C" w:rsidRDefault="00D3785C" w:rsidP="0018366D">
      <w:pPr>
        <w:pStyle w:val="Style"/>
        <w:spacing w:line="254" w:lineRule="exact"/>
        <w:textAlignment w:val="baseline"/>
        <w:rPr>
          <w:rFonts w:eastAsia="Arial"/>
          <w:b/>
        </w:rPr>
      </w:pPr>
    </w:p>
    <w:p w:rsidR="00D3785C" w:rsidRPr="00C23F04" w:rsidRDefault="00D3785C" w:rsidP="0018366D">
      <w:pPr>
        <w:pStyle w:val="Style"/>
        <w:spacing w:line="254" w:lineRule="exact"/>
        <w:textAlignment w:val="baseline"/>
        <w:rPr>
          <w:rFonts w:eastAsia="Arial"/>
          <w:b/>
        </w:rPr>
      </w:pPr>
    </w:p>
    <w:p w:rsidR="0018366D" w:rsidRPr="00C23F04" w:rsidRDefault="0018366D" w:rsidP="0018366D">
      <w:pPr>
        <w:pStyle w:val="Style"/>
        <w:spacing w:line="254" w:lineRule="exact"/>
        <w:textAlignment w:val="baseline"/>
        <w:rPr>
          <w:rFonts w:eastAsia="Arial"/>
          <w:b/>
        </w:rPr>
      </w:pPr>
      <w:r w:rsidRPr="00C23F04">
        <w:rPr>
          <w:rFonts w:eastAsia="Arial"/>
          <w:b/>
        </w:rPr>
        <w:t xml:space="preserve">Zakres Działań </w:t>
      </w:r>
      <w:r w:rsidR="00B63A6F">
        <w:rPr>
          <w:rFonts w:eastAsia="Arial"/>
          <w:b/>
        </w:rPr>
        <w:t>i obowiązków Wykonawcy (</w:t>
      </w:r>
      <w:r w:rsidRPr="00C23F04">
        <w:rPr>
          <w:rFonts w:eastAsia="Arial"/>
          <w:b/>
        </w:rPr>
        <w:t>CRO</w:t>
      </w:r>
      <w:r w:rsidR="00B63A6F">
        <w:rPr>
          <w:rFonts w:eastAsia="Arial"/>
          <w:b/>
        </w:rPr>
        <w:t>)</w:t>
      </w:r>
    </w:p>
    <w:p w:rsidR="0018366D" w:rsidRPr="00C23F04" w:rsidRDefault="0018366D" w:rsidP="0018366D">
      <w:pPr>
        <w:pStyle w:val="Style"/>
        <w:spacing w:line="254" w:lineRule="exact"/>
        <w:textAlignment w:val="baseline"/>
        <w:rPr>
          <w:rFonts w:eastAsia="Arial"/>
          <w:b/>
        </w:rPr>
      </w:pPr>
    </w:p>
    <w:p w:rsidR="00C23F04" w:rsidRDefault="00A21BFD" w:rsidP="00C77C07">
      <w:pPr>
        <w:pStyle w:val="Style"/>
        <w:tabs>
          <w:tab w:val="left" w:pos="1"/>
          <w:tab w:val="left" w:pos="1094"/>
        </w:tabs>
        <w:spacing w:line="269" w:lineRule="exact"/>
        <w:jc w:val="both"/>
        <w:textAlignment w:val="baseline"/>
        <w:rPr>
          <w:rFonts w:eastAsia="Arial"/>
          <w:b/>
        </w:rPr>
      </w:pPr>
      <w:bookmarkStart w:id="0" w:name="_Hlk34399020"/>
      <w:r w:rsidRPr="00C23F04">
        <w:rPr>
          <w:rFonts w:eastAsia="Arial"/>
          <w:w w:val="80"/>
        </w:rPr>
        <w:tab/>
      </w:r>
      <w:r w:rsidRPr="00C23F04">
        <w:rPr>
          <w:rFonts w:eastAsia="Arial"/>
          <w:b/>
        </w:rPr>
        <w:t xml:space="preserve">Etap </w:t>
      </w:r>
      <w:r w:rsidR="00C23F04">
        <w:rPr>
          <w:rFonts w:eastAsia="Arial"/>
          <w:b/>
        </w:rPr>
        <w:t>I</w:t>
      </w:r>
      <w:r w:rsidRPr="00C23F04">
        <w:rPr>
          <w:rFonts w:eastAsia="Arial"/>
          <w:b/>
        </w:rPr>
        <w:t xml:space="preserve">: Opracowanie protokołu badania klinicznego z udziałem pacjentów ze zdiagnozowanym rakiem stercza w ramach badania klinicznego fazy </w:t>
      </w:r>
      <w:r w:rsidR="00051F41">
        <w:rPr>
          <w:rFonts w:eastAsia="Arial"/>
          <w:b/>
        </w:rPr>
        <w:t>I/II</w:t>
      </w:r>
      <w:r w:rsidRPr="00C23F04">
        <w:rPr>
          <w:rFonts w:eastAsia="Arial"/>
          <w:b/>
          <w:w w:val="72"/>
        </w:rPr>
        <w:t xml:space="preserve"> </w:t>
      </w:r>
      <w:r w:rsidRPr="00C23F04">
        <w:rPr>
          <w:rFonts w:eastAsia="Arial"/>
          <w:b/>
        </w:rPr>
        <w:t xml:space="preserve">dotyczącej bezpieczeństwa i wstępnej oceny skuteczności innowacyjnej diagnostyki. </w:t>
      </w:r>
    </w:p>
    <w:p w:rsidR="00C23F04" w:rsidRDefault="00C23F04" w:rsidP="00C77C07">
      <w:pPr>
        <w:pStyle w:val="Style"/>
        <w:tabs>
          <w:tab w:val="left" w:pos="1"/>
          <w:tab w:val="left" w:pos="1094"/>
        </w:tabs>
        <w:spacing w:line="269" w:lineRule="exact"/>
        <w:jc w:val="both"/>
        <w:textAlignment w:val="baseline"/>
        <w:rPr>
          <w:rFonts w:eastAsia="Arial"/>
          <w:b/>
        </w:rPr>
      </w:pPr>
    </w:p>
    <w:p w:rsidR="007B7000" w:rsidRPr="00C23F04" w:rsidRDefault="00A21BFD" w:rsidP="00C77C07">
      <w:pPr>
        <w:pStyle w:val="Style"/>
        <w:tabs>
          <w:tab w:val="left" w:pos="1"/>
          <w:tab w:val="left" w:pos="1094"/>
        </w:tabs>
        <w:spacing w:line="269" w:lineRule="exact"/>
        <w:jc w:val="both"/>
        <w:textAlignment w:val="baseline"/>
      </w:pPr>
      <w:r w:rsidRPr="00C23F04">
        <w:rPr>
          <w:rFonts w:eastAsia="Arial"/>
        </w:rPr>
        <w:t xml:space="preserve">Zakres zadań w ramach Etapu I będzie obejmował przygotowanie protokołu badania oraz dokumentów opisujących procedury protokołu, tj.: </w:t>
      </w:r>
    </w:p>
    <w:p w:rsidR="007B7000" w:rsidRPr="00C23F04" w:rsidRDefault="00A21BFD" w:rsidP="00CE2C22">
      <w:pPr>
        <w:pStyle w:val="Style"/>
        <w:numPr>
          <w:ilvl w:val="0"/>
          <w:numId w:val="3"/>
        </w:numPr>
        <w:spacing w:before="9" w:line="269" w:lineRule="exact"/>
        <w:ind w:right="283"/>
        <w:jc w:val="both"/>
        <w:textAlignment w:val="baseline"/>
      </w:pPr>
      <w:r w:rsidRPr="00C23F04">
        <w:rPr>
          <w:rFonts w:eastAsia="Arial"/>
        </w:rPr>
        <w:t xml:space="preserve">Przygotowanie finalnej wersji protokołu badania i jego walidację na podstawie wzoru dostarczonego przez </w:t>
      </w:r>
      <w:r w:rsidR="006353C4" w:rsidRPr="006353C4">
        <w:rPr>
          <w:rFonts w:eastAsia="Arial"/>
        </w:rPr>
        <w:t xml:space="preserve">Sponsora (POLATOM) </w:t>
      </w:r>
      <w:r w:rsidRPr="00C23F04">
        <w:rPr>
          <w:rFonts w:eastAsia="Arial"/>
        </w:rPr>
        <w:t xml:space="preserve">oraz kolejnych jego wersji związanych z poprawkami podczas trwania badania; </w:t>
      </w:r>
    </w:p>
    <w:p w:rsidR="007B7000" w:rsidRPr="00C23F04" w:rsidRDefault="00A21BFD" w:rsidP="00CE2C22">
      <w:pPr>
        <w:pStyle w:val="Style"/>
        <w:numPr>
          <w:ilvl w:val="0"/>
          <w:numId w:val="3"/>
        </w:numPr>
        <w:spacing w:line="278" w:lineRule="exact"/>
        <w:jc w:val="both"/>
        <w:textAlignment w:val="baseline"/>
      </w:pPr>
      <w:r w:rsidRPr="00C23F04">
        <w:rPr>
          <w:rFonts w:eastAsia="Arial"/>
        </w:rPr>
        <w:t xml:space="preserve">Przygotowanie dokumentu streszczenia protokołu w języku polskim i angielskim; </w:t>
      </w:r>
    </w:p>
    <w:p w:rsidR="007B7000" w:rsidRPr="00C23F04" w:rsidRDefault="00A21BFD" w:rsidP="00CE2C22">
      <w:pPr>
        <w:pStyle w:val="Style"/>
        <w:numPr>
          <w:ilvl w:val="0"/>
          <w:numId w:val="3"/>
        </w:numPr>
        <w:spacing w:line="278" w:lineRule="exact"/>
        <w:jc w:val="both"/>
        <w:textAlignment w:val="baseline"/>
      </w:pPr>
      <w:r w:rsidRPr="00C23F04">
        <w:rPr>
          <w:rFonts w:eastAsia="Arial"/>
        </w:rPr>
        <w:t xml:space="preserve">Przygotowanie planu analizy statystycznej; </w:t>
      </w:r>
    </w:p>
    <w:p w:rsidR="007B7000" w:rsidRPr="00C23F04" w:rsidRDefault="00A21BFD" w:rsidP="00CE2C22">
      <w:pPr>
        <w:pStyle w:val="Style"/>
        <w:numPr>
          <w:ilvl w:val="0"/>
          <w:numId w:val="3"/>
        </w:numPr>
        <w:spacing w:line="278" w:lineRule="exact"/>
        <w:jc w:val="both"/>
        <w:textAlignment w:val="baseline"/>
      </w:pPr>
      <w:r w:rsidRPr="00C23F04">
        <w:rPr>
          <w:rFonts w:eastAsia="Arial"/>
        </w:rPr>
        <w:t xml:space="preserve">Przygotowanie procedury centralnej oceny badań radiologicznych w badaniu klinicznym; </w:t>
      </w:r>
    </w:p>
    <w:p w:rsidR="00C23F04" w:rsidRDefault="00A21BFD" w:rsidP="00CE2C22">
      <w:pPr>
        <w:pStyle w:val="Style"/>
        <w:numPr>
          <w:ilvl w:val="0"/>
          <w:numId w:val="3"/>
        </w:numPr>
        <w:spacing w:before="13" w:line="269" w:lineRule="exact"/>
        <w:jc w:val="both"/>
        <w:textAlignment w:val="baseline"/>
      </w:pPr>
      <w:r w:rsidRPr="00C23F04">
        <w:rPr>
          <w:rFonts w:eastAsia="Arial"/>
        </w:rPr>
        <w:t>Przygotowanie planu zapewnienia bezpieczeństwa i monitoringu medycznego obejmując</w:t>
      </w:r>
      <w:r w:rsidR="00CE2C22">
        <w:rPr>
          <w:rFonts w:eastAsia="Arial"/>
        </w:rPr>
        <w:t>ego</w:t>
      </w:r>
      <w:r w:rsidRPr="00C23F04">
        <w:rPr>
          <w:rFonts w:eastAsia="Arial"/>
        </w:rPr>
        <w:t xml:space="preserve"> dokonywanie bieżącej oceny bezpieczeństwa i skuteczności stosowania produktu badanego realizowan</w:t>
      </w:r>
      <w:r w:rsidR="00CE2C22">
        <w:rPr>
          <w:rFonts w:eastAsia="Arial"/>
        </w:rPr>
        <w:t>ego</w:t>
      </w:r>
      <w:r w:rsidRPr="00C23F04">
        <w:rPr>
          <w:rFonts w:eastAsia="Arial"/>
        </w:rPr>
        <w:t xml:space="preserve"> przez wykwalifikowany personel medyczny; </w:t>
      </w:r>
    </w:p>
    <w:p w:rsidR="007B7000" w:rsidRPr="001150EC" w:rsidRDefault="00EA7DD6" w:rsidP="00CE2C22">
      <w:pPr>
        <w:pStyle w:val="Style"/>
        <w:numPr>
          <w:ilvl w:val="0"/>
          <w:numId w:val="3"/>
        </w:numPr>
        <w:spacing w:before="13" w:line="269" w:lineRule="exact"/>
        <w:jc w:val="both"/>
        <w:textAlignment w:val="baseline"/>
        <w:rPr>
          <w:color w:val="000000" w:themeColor="text1"/>
        </w:rPr>
      </w:pPr>
      <w:r>
        <w:rPr>
          <w:rFonts w:eastAsia="Arial"/>
        </w:rPr>
        <w:t xml:space="preserve">Współpraca ze Sponsorem (POLATOM) w celu przygotowania niezbędnej dokumentacji produktu leczniczego </w:t>
      </w:r>
      <w:r w:rsidR="00A21BFD" w:rsidRPr="00C23F04">
        <w:rPr>
          <w:rFonts w:eastAsia="Arial"/>
        </w:rPr>
        <w:t xml:space="preserve">m.in. </w:t>
      </w:r>
      <w:r w:rsidR="00C77C07">
        <w:rPr>
          <w:rFonts w:eastAsia="Arial"/>
        </w:rPr>
        <w:t>I</w:t>
      </w:r>
      <w:r w:rsidR="00A21BFD" w:rsidRPr="00C23F04">
        <w:rPr>
          <w:rFonts w:eastAsia="Arial"/>
        </w:rPr>
        <w:t>MP</w:t>
      </w:r>
      <w:r w:rsidR="00C77C07">
        <w:rPr>
          <w:rFonts w:eastAsia="Arial"/>
        </w:rPr>
        <w:t>D</w:t>
      </w:r>
      <w:r w:rsidR="00A21BFD" w:rsidRPr="00C23F04">
        <w:rPr>
          <w:rFonts w:eastAsia="Arial"/>
        </w:rPr>
        <w:t>/charakterystyki produktu leczniczego, finalnej wersji broszury badacza, wzoru etykiety, dokumentacji zarządzania lekiem</w:t>
      </w:r>
      <w:r>
        <w:rPr>
          <w:rFonts w:eastAsia="Arial"/>
        </w:rPr>
        <w:t xml:space="preserve">) polegająca na </w:t>
      </w:r>
      <w:r w:rsidRPr="001150EC">
        <w:rPr>
          <w:rFonts w:eastAsia="Arial"/>
          <w:color w:val="000000" w:themeColor="text1"/>
        </w:rPr>
        <w:t>konsultacjach, opiniowaniu</w:t>
      </w:r>
    </w:p>
    <w:p w:rsidR="007B7000" w:rsidRPr="001150EC" w:rsidRDefault="00A21BFD" w:rsidP="001150EC">
      <w:pPr>
        <w:pStyle w:val="Style"/>
        <w:numPr>
          <w:ilvl w:val="0"/>
          <w:numId w:val="3"/>
        </w:numPr>
        <w:spacing w:line="269" w:lineRule="exact"/>
        <w:jc w:val="both"/>
        <w:textAlignment w:val="baseline"/>
        <w:rPr>
          <w:color w:val="000000" w:themeColor="text1"/>
        </w:rPr>
      </w:pPr>
      <w:r w:rsidRPr="001150EC">
        <w:rPr>
          <w:rFonts w:eastAsia="Arial"/>
          <w:color w:val="000000" w:themeColor="text1"/>
        </w:rPr>
        <w:t>Przygotowanie planu zapewni</w:t>
      </w:r>
      <w:r w:rsidR="00C27696" w:rsidRPr="001150EC">
        <w:rPr>
          <w:rFonts w:eastAsia="Arial"/>
          <w:color w:val="000000" w:themeColor="text1"/>
        </w:rPr>
        <w:t>e</w:t>
      </w:r>
      <w:r w:rsidRPr="001150EC">
        <w:rPr>
          <w:rFonts w:eastAsia="Arial"/>
          <w:color w:val="000000" w:themeColor="text1"/>
        </w:rPr>
        <w:t xml:space="preserve">nia jakości badania określającego systematyczną, niezależną kontrolę procedur i dokumentacji badania prowadzoną przez CRO i </w:t>
      </w:r>
      <w:r w:rsidR="00D232F7">
        <w:rPr>
          <w:rFonts w:eastAsia="Arial"/>
          <w:color w:val="000000" w:themeColor="text1"/>
        </w:rPr>
        <w:t>Sponsora (</w:t>
      </w:r>
      <w:r w:rsidRPr="001150EC">
        <w:rPr>
          <w:rFonts w:eastAsia="Arial"/>
          <w:color w:val="000000" w:themeColor="text1"/>
        </w:rPr>
        <w:t>POLATOM</w:t>
      </w:r>
      <w:r w:rsidR="00D232F7">
        <w:rPr>
          <w:rFonts w:eastAsia="Arial"/>
          <w:color w:val="000000" w:themeColor="text1"/>
        </w:rPr>
        <w:t>)</w:t>
      </w:r>
      <w:r w:rsidRPr="001150EC">
        <w:rPr>
          <w:rFonts w:eastAsia="Arial"/>
          <w:color w:val="000000" w:themeColor="text1"/>
        </w:rPr>
        <w:t xml:space="preserve"> lub </w:t>
      </w:r>
      <w:r w:rsidR="006B4AFD" w:rsidRPr="001150EC">
        <w:rPr>
          <w:rFonts w:eastAsia="Arial"/>
          <w:color w:val="000000" w:themeColor="text1"/>
        </w:rPr>
        <w:t xml:space="preserve">wskazane </w:t>
      </w:r>
      <w:r w:rsidRPr="001150EC">
        <w:rPr>
          <w:rFonts w:eastAsia="Arial"/>
          <w:color w:val="000000" w:themeColor="text1"/>
        </w:rPr>
        <w:t xml:space="preserve">osoby na każdym etapie badania; </w:t>
      </w:r>
    </w:p>
    <w:p w:rsidR="007B7000" w:rsidRPr="001150EC" w:rsidRDefault="006B4AFD" w:rsidP="00002F75">
      <w:pPr>
        <w:pStyle w:val="Style"/>
        <w:numPr>
          <w:ilvl w:val="0"/>
          <w:numId w:val="3"/>
        </w:numPr>
        <w:spacing w:line="278" w:lineRule="exact"/>
        <w:jc w:val="both"/>
        <w:textAlignment w:val="baseline"/>
        <w:rPr>
          <w:color w:val="000000" w:themeColor="text1"/>
        </w:rPr>
      </w:pPr>
      <w:r w:rsidRPr="001150EC">
        <w:rPr>
          <w:rFonts w:eastAsia="Arial"/>
          <w:color w:val="000000" w:themeColor="text1"/>
        </w:rPr>
        <w:t xml:space="preserve">Przygotowanie wystąpienia o </w:t>
      </w:r>
      <w:proofErr w:type="spellStart"/>
      <w:r w:rsidR="00A21BFD" w:rsidRPr="001150EC">
        <w:rPr>
          <w:rFonts w:eastAsia="Arial"/>
          <w:color w:val="000000" w:themeColor="text1"/>
        </w:rPr>
        <w:t>Scientic</w:t>
      </w:r>
      <w:proofErr w:type="spellEnd"/>
      <w:r w:rsidR="00A21BFD" w:rsidRPr="001150EC">
        <w:rPr>
          <w:rFonts w:eastAsia="Arial"/>
          <w:color w:val="000000" w:themeColor="text1"/>
        </w:rPr>
        <w:t xml:space="preserve"> </w:t>
      </w:r>
      <w:proofErr w:type="spellStart"/>
      <w:r w:rsidR="00A21BFD" w:rsidRPr="001150EC">
        <w:rPr>
          <w:rFonts w:eastAsia="Arial"/>
          <w:color w:val="000000" w:themeColor="text1"/>
        </w:rPr>
        <w:t>Advice</w:t>
      </w:r>
      <w:proofErr w:type="spellEnd"/>
      <w:r w:rsidR="00A21BFD" w:rsidRPr="001150EC">
        <w:rPr>
          <w:rFonts w:eastAsia="Arial"/>
          <w:color w:val="000000" w:themeColor="text1"/>
        </w:rPr>
        <w:t xml:space="preserve"> </w:t>
      </w:r>
      <w:r w:rsidRPr="001150EC">
        <w:rPr>
          <w:rFonts w:eastAsia="Arial"/>
          <w:color w:val="000000" w:themeColor="text1"/>
        </w:rPr>
        <w:t xml:space="preserve">do </w:t>
      </w:r>
      <w:proofErr w:type="spellStart"/>
      <w:r w:rsidR="00A21BFD" w:rsidRPr="001150EC">
        <w:rPr>
          <w:rFonts w:eastAsia="Arial"/>
          <w:color w:val="000000" w:themeColor="text1"/>
        </w:rPr>
        <w:t>Europejsk</w:t>
      </w:r>
      <w:r w:rsidRPr="001150EC">
        <w:rPr>
          <w:rFonts w:eastAsia="Arial"/>
          <w:color w:val="000000" w:themeColor="text1"/>
        </w:rPr>
        <w:t>ej</w:t>
      </w:r>
      <w:proofErr w:type="spellEnd"/>
      <w:r w:rsidR="00A21BFD" w:rsidRPr="001150EC">
        <w:rPr>
          <w:rFonts w:eastAsia="Arial"/>
          <w:color w:val="000000" w:themeColor="text1"/>
        </w:rPr>
        <w:t xml:space="preserve"> Agencj</w:t>
      </w:r>
      <w:r w:rsidRPr="001150EC">
        <w:rPr>
          <w:rFonts w:eastAsia="Arial"/>
          <w:color w:val="000000" w:themeColor="text1"/>
        </w:rPr>
        <w:t>i</w:t>
      </w:r>
      <w:r w:rsidR="00A21BFD" w:rsidRPr="001150EC">
        <w:rPr>
          <w:rFonts w:eastAsia="Arial"/>
          <w:color w:val="000000" w:themeColor="text1"/>
        </w:rPr>
        <w:t xml:space="preserve"> Leków</w:t>
      </w:r>
      <w:r w:rsidRPr="001150EC">
        <w:rPr>
          <w:rFonts w:eastAsia="Arial"/>
          <w:color w:val="000000" w:themeColor="text1"/>
        </w:rPr>
        <w:t>;</w:t>
      </w:r>
    </w:p>
    <w:p w:rsidR="007B7000" w:rsidRPr="001150EC" w:rsidRDefault="00A21BFD" w:rsidP="00002F75">
      <w:pPr>
        <w:pStyle w:val="Style"/>
        <w:numPr>
          <w:ilvl w:val="0"/>
          <w:numId w:val="3"/>
        </w:numPr>
        <w:spacing w:line="278" w:lineRule="exact"/>
        <w:jc w:val="both"/>
        <w:textAlignment w:val="baseline"/>
        <w:rPr>
          <w:color w:val="000000" w:themeColor="text1"/>
        </w:rPr>
      </w:pPr>
      <w:r w:rsidRPr="001150EC">
        <w:rPr>
          <w:rFonts w:eastAsia="Arial"/>
          <w:color w:val="000000" w:themeColor="text1"/>
        </w:rPr>
        <w:lastRenderedPageBreak/>
        <w:t xml:space="preserve">niezależny audyt GMP/GLP u Sponsora przed zwolnieniem serii </w:t>
      </w:r>
      <w:r w:rsidR="006B4AFD" w:rsidRPr="001150EC">
        <w:rPr>
          <w:rFonts w:eastAsia="Arial"/>
          <w:color w:val="000000" w:themeColor="text1"/>
        </w:rPr>
        <w:t xml:space="preserve">badanego produktu leczniczego </w:t>
      </w:r>
      <w:r w:rsidRPr="001150EC">
        <w:rPr>
          <w:rFonts w:eastAsia="Arial"/>
          <w:color w:val="000000" w:themeColor="text1"/>
        </w:rPr>
        <w:t>do badania klinicznego</w:t>
      </w:r>
      <w:r w:rsidR="006B4AFD" w:rsidRPr="001150EC">
        <w:rPr>
          <w:rFonts w:eastAsia="Arial"/>
          <w:color w:val="000000" w:themeColor="text1"/>
        </w:rPr>
        <w:t>.</w:t>
      </w:r>
      <w:r w:rsidRPr="001150EC">
        <w:rPr>
          <w:rFonts w:eastAsia="Arial"/>
          <w:color w:val="000000" w:themeColor="text1"/>
        </w:rPr>
        <w:t xml:space="preserve"> </w:t>
      </w:r>
    </w:p>
    <w:p w:rsidR="006353C4" w:rsidRPr="001150EC" w:rsidRDefault="006353C4" w:rsidP="001150EC">
      <w:pPr>
        <w:pStyle w:val="Style"/>
        <w:spacing w:line="278" w:lineRule="exact"/>
        <w:jc w:val="both"/>
        <w:textAlignment w:val="baseline"/>
        <w:rPr>
          <w:color w:val="000000" w:themeColor="text1"/>
        </w:rPr>
      </w:pPr>
    </w:p>
    <w:p w:rsidR="007B7000" w:rsidRPr="00C23F04" w:rsidRDefault="007B7000" w:rsidP="00C77C07">
      <w:pPr>
        <w:pStyle w:val="Style"/>
        <w:spacing w:line="260" w:lineRule="atLeast"/>
        <w:jc w:val="both"/>
      </w:pPr>
    </w:p>
    <w:p w:rsidR="00C23F04" w:rsidRDefault="00A21BFD" w:rsidP="00C77C07">
      <w:pPr>
        <w:pStyle w:val="Style"/>
        <w:tabs>
          <w:tab w:val="left" w:pos="0"/>
        </w:tabs>
        <w:spacing w:line="269" w:lineRule="exact"/>
        <w:jc w:val="both"/>
        <w:textAlignment w:val="baseline"/>
        <w:rPr>
          <w:rFonts w:eastAsia="Arial"/>
          <w:b/>
        </w:rPr>
      </w:pPr>
      <w:r w:rsidRPr="00C23F04">
        <w:rPr>
          <w:rFonts w:eastAsia="Arial"/>
          <w:b/>
        </w:rPr>
        <w:t xml:space="preserve">Etap </w:t>
      </w:r>
      <w:r w:rsidR="006353C4">
        <w:rPr>
          <w:rFonts w:eastAsia="Arial"/>
          <w:b/>
        </w:rPr>
        <w:t xml:space="preserve">II </w:t>
      </w:r>
      <w:r w:rsidRPr="00C23F04">
        <w:rPr>
          <w:rFonts w:eastAsia="Arial"/>
          <w:b/>
        </w:rPr>
        <w:t>a</w:t>
      </w:r>
      <w:r w:rsidR="006353C4">
        <w:rPr>
          <w:rFonts w:eastAsia="Arial"/>
          <w:b/>
        </w:rPr>
        <w:t>:</w:t>
      </w:r>
      <w:r w:rsidR="00C23F04">
        <w:rPr>
          <w:rFonts w:eastAsia="Arial"/>
          <w:b/>
        </w:rPr>
        <w:t xml:space="preserve">  </w:t>
      </w:r>
      <w:r w:rsidRPr="00C23F04">
        <w:rPr>
          <w:rFonts w:eastAsia="Arial"/>
          <w:b/>
        </w:rPr>
        <w:t xml:space="preserve"> Inicjowanie badań fazy klinicznej </w:t>
      </w:r>
      <w:r w:rsidR="00051F41">
        <w:rPr>
          <w:rFonts w:eastAsia="Arial"/>
          <w:b/>
        </w:rPr>
        <w:t>I/II</w:t>
      </w:r>
      <w:r w:rsidRPr="00C23F04">
        <w:rPr>
          <w:rFonts w:eastAsia="Arial"/>
          <w:b/>
          <w:w w:val="72"/>
        </w:rPr>
        <w:t xml:space="preserve"> </w:t>
      </w:r>
      <w:r w:rsidRPr="00C23F04">
        <w:rPr>
          <w:rFonts w:eastAsia="Arial"/>
          <w:b/>
        </w:rPr>
        <w:t xml:space="preserve">nad skutecznością i bezpieczeństwem stosowania substancji farmaceutycznej PSMA-T4 po wyznakowaniu tej substancji technetem-99m w diagnostyce u chorych z potwierdzonym rakiem stercza. </w:t>
      </w:r>
    </w:p>
    <w:p w:rsidR="00C23F04" w:rsidRDefault="00C23F04" w:rsidP="00C77C07">
      <w:pPr>
        <w:pStyle w:val="Style"/>
        <w:tabs>
          <w:tab w:val="left" w:pos="0"/>
        </w:tabs>
        <w:spacing w:line="269" w:lineRule="exact"/>
        <w:jc w:val="both"/>
        <w:textAlignment w:val="baseline"/>
        <w:rPr>
          <w:rFonts w:eastAsia="Arial"/>
        </w:rPr>
      </w:pPr>
    </w:p>
    <w:p w:rsidR="007B7000" w:rsidRPr="00C23F04" w:rsidRDefault="00A21BFD" w:rsidP="00C77C07">
      <w:pPr>
        <w:pStyle w:val="Style"/>
        <w:tabs>
          <w:tab w:val="left" w:pos="0"/>
        </w:tabs>
        <w:spacing w:line="269" w:lineRule="exact"/>
        <w:jc w:val="both"/>
        <w:textAlignment w:val="baseline"/>
      </w:pPr>
      <w:r w:rsidRPr="00C23F04">
        <w:rPr>
          <w:rFonts w:eastAsia="Arial"/>
        </w:rPr>
        <w:t xml:space="preserve">Zakres zadań w ramach Etapu </w:t>
      </w:r>
      <w:proofErr w:type="spellStart"/>
      <w:r w:rsidRPr="00C23F04">
        <w:rPr>
          <w:rFonts w:eastAsia="Arial"/>
        </w:rPr>
        <w:t>I</w:t>
      </w:r>
      <w:r w:rsidR="00EA7DD6">
        <w:rPr>
          <w:rFonts w:eastAsia="Arial"/>
        </w:rPr>
        <w:t>I</w:t>
      </w:r>
      <w:r w:rsidRPr="00C23F04">
        <w:rPr>
          <w:rFonts w:eastAsia="Arial"/>
        </w:rPr>
        <w:t>a</w:t>
      </w:r>
      <w:proofErr w:type="spellEnd"/>
      <w:r w:rsidRPr="00C23F04">
        <w:rPr>
          <w:rFonts w:eastAsia="Arial"/>
        </w:rPr>
        <w:t xml:space="preserve"> będzie obejmował przeprowadzenie procedur niezbędnych do rozpoczęcia badania klinicznego,</w:t>
      </w:r>
      <w:bookmarkStart w:id="1" w:name="_GoBack"/>
      <w:bookmarkEnd w:id="1"/>
      <w:r w:rsidRPr="00C23F04">
        <w:rPr>
          <w:rFonts w:eastAsia="Arial"/>
        </w:rPr>
        <w:t xml:space="preserve"> tj.: </w:t>
      </w:r>
    </w:p>
    <w:p w:rsidR="007B7000" w:rsidRPr="00C23F04" w:rsidRDefault="00A21BFD" w:rsidP="00002F75">
      <w:pPr>
        <w:pStyle w:val="Style"/>
        <w:numPr>
          <w:ilvl w:val="0"/>
          <w:numId w:val="4"/>
        </w:numPr>
        <w:tabs>
          <w:tab w:val="left" w:pos="851"/>
        </w:tabs>
        <w:spacing w:before="13" w:line="269" w:lineRule="exact"/>
        <w:ind w:left="426" w:hanging="426"/>
        <w:jc w:val="both"/>
        <w:textAlignment w:val="baseline"/>
      </w:pPr>
      <w:r w:rsidRPr="00C23F04">
        <w:rPr>
          <w:rFonts w:eastAsia="Arial"/>
        </w:rPr>
        <w:t xml:space="preserve">Rejestracja i administrowanie badaniem w centralnej bazie badań klinicznych dla państw członkowskich UE - </w:t>
      </w:r>
      <w:proofErr w:type="spellStart"/>
      <w:r w:rsidRPr="00C23F04">
        <w:rPr>
          <w:rFonts w:eastAsia="Arial"/>
        </w:rPr>
        <w:t>European</w:t>
      </w:r>
      <w:proofErr w:type="spellEnd"/>
      <w:r w:rsidRPr="00C23F04">
        <w:rPr>
          <w:rFonts w:eastAsia="Arial"/>
        </w:rPr>
        <w:t xml:space="preserve"> </w:t>
      </w:r>
      <w:proofErr w:type="spellStart"/>
      <w:r w:rsidRPr="00C23F04">
        <w:rPr>
          <w:rFonts w:eastAsia="Arial"/>
        </w:rPr>
        <w:t>Drug</w:t>
      </w:r>
      <w:proofErr w:type="spellEnd"/>
      <w:r w:rsidRPr="00C23F04">
        <w:rPr>
          <w:rFonts w:eastAsia="Arial"/>
        </w:rPr>
        <w:t xml:space="preserve"> Regulatory </w:t>
      </w:r>
      <w:proofErr w:type="spellStart"/>
      <w:r w:rsidRPr="00C23F04">
        <w:rPr>
          <w:rFonts w:eastAsia="Arial"/>
        </w:rPr>
        <w:t>Authorities</w:t>
      </w:r>
      <w:proofErr w:type="spellEnd"/>
      <w:r w:rsidRPr="00C23F04">
        <w:rPr>
          <w:rFonts w:eastAsia="Arial"/>
        </w:rPr>
        <w:t xml:space="preserve"> </w:t>
      </w:r>
      <w:proofErr w:type="spellStart"/>
      <w:r w:rsidRPr="00C23F04">
        <w:rPr>
          <w:rFonts w:eastAsia="Arial"/>
        </w:rPr>
        <w:t>Clinical</w:t>
      </w:r>
      <w:proofErr w:type="spellEnd"/>
      <w:r w:rsidRPr="00C23F04">
        <w:rPr>
          <w:rFonts w:eastAsia="Arial"/>
        </w:rPr>
        <w:t xml:space="preserve"> </w:t>
      </w:r>
      <w:proofErr w:type="spellStart"/>
      <w:r w:rsidRPr="00C23F04">
        <w:rPr>
          <w:rFonts w:eastAsia="Arial"/>
        </w:rPr>
        <w:t>Trials</w:t>
      </w:r>
      <w:proofErr w:type="spellEnd"/>
      <w:r w:rsidRPr="00C23F04">
        <w:rPr>
          <w:rFonts w:eastAsia="Arial"/>
        </w:rPr>
        <w:t xml:space="preserve">. Uzyskanie numeru </w:t>
      </w:r>
      <w:proofErr w:type="spellStart"/>
      <w:r w:rsidRPr="00C23F04">
        <w:rPr>
          <w:rFonts w:eastAsia="Arial"/>
        </w:rPr>
        <w:t>EudraCT</w:t>
      </w:r>
      <w:proofErr w:type="spellEnd"/>
      <w:r w:rsidRPr="00C23F04">
        <w:rPr>
          <w:rFonts w:eastAsia="Arial"/>
        </w:rPr>
        <w:t xml:space="preserve">; </w:t>
      </w:r>
    </w:p>
    <w:p w:rsidR="007B7000" w:rsidRPr="00C23F04" w:rsidRDefault="006A3CE7" w:rsidP="00002F75">
      <w:pPr>
        <w:pStyle w:val="Style"/>
        <w:numPr>
          <w:ilvl w:val="0"/>
          <w:numId w:val="4"/>
        </w:numPr>
        <w:tabs>
          <w:tab w:val="left" w:pos="851"/>
        </w:tabs>
        <w:spacing w:line="278" w:lineRule="exact"/>
        <w:ind w:left="426" w:hanging="426"/>
        <w:jc w:val="both"/>
        <w:textAlignment w:val="baseline"/>
      </w:pPr>
      <w:r>
        <w:rPr>
          <w:rFonts w:eastAsia="Arial"/>
        </w:rPr>
        <w:t>Zapewnienie systemu monitorowania działań niepożądanych - przygotowanie niezbędnych procedur</w:t>
      </w:r>
      <w:r w:rsidR="007F7429">
        <w:rPr>
          <w:rFonts w:eastAsia="Arial"/>
        </w:rPr>
        <w:t>/</w:t>
      </w:r>
      <w:r>
        <w:rPr>
          <w:rFonts w:eastAsia="Arial"/>
        </w:rPr>
        <w:t>instrukcji</w:t>
      </w:r>
      <w:r w:rsidR="007F7429">
        <w:rPr>
          <w:rFonts w:eastAsia="Arial"/>
        </w:rPr>
        <w:t xml:space="preserve"> także tych, które powinny być wdrożone u Sponsora</w:t>
      </w:r>
      <w:r w:rsidR="006353C4">
        <w:rPr>
          <w:rFonts w:eastAsia="Arial"/>
        </w:rPr>
        <w:t xml:space="preserve"> (POLATOM)</w:t>
      </w:r>
      <w:r>
        <w:rPr>
          <w:rFonts w:eastAsia="Arial"/>
        </w:rPr>
        <w:t>, r</w:t>
      </w:r>
      <w:r w:rsidR="00A21BFD" w:rsidRPr="00C23F04">
        <w:rPr>
          <w:rFonts w:eastAsia="Arial"/>
        </w:rPr>
        <w:t>ejestracja Sponsora</w:t>
      </w:r>
      <w:r w:rsidR="006353C4">
        <w:rPr>
          <w:rFonts w:eastAsia="Arial"/>
        </w:rPr>
        <w:t xml:space="preserve"> (POLATOM)</w:t>
      </w:r>
      <w:r w:rsidR="00A21BFD" w:rsidRPr="00C23F04">
        <w:rPr>
          <w:rFonts w:eastAsia="Arial"/>
        </w:rPr>
        <w:t xml:space="preserve"> w bazie </w:t>
      </w:r>
      <w:proofErr w:type="spellStart"/>
      <w:r w:rsidR="00A21BFD" w:rsidRPr="00C23F04">
        <w:rPr>
          <w:rFonts w:eastAsia="Arial"/>
        </w:rPr>
        <w:t>Pharamacovigilance</w:t>
      </w:r>
      <w:proofErr w:type="spellEnd"/>
      <w:r>
        <w:rPr>
          <w:rFonts w:eastAsia="Arial"/>
        </w:rPr>
        <w:t>, przeprowadzenie szkoleń dla pracowników Sponsora</w:t>
      </w:r>
      <w:r w:rsidR="006353C4">
        <w:rPr>
          <w:rFonts w:eastAsia="Arial"/>
        </w:rPr>
        <w:t xml:space="preserve"> (POLATOM)</w:t>
      </w:r>
      <w:r w:rsidR="007F7429">
        <w:rPr>
          <w:rFonts w:eastAsia="Arial"/>
        </w:rPr>
        <w:t>;</w:t>
      </w:r>
      <w:r>
        <w:rPr>
          <w:rFonts w:eastAsia="Arial"/>
        </w:rPr>
        <w:t xml:space="preserve"> </w:t>
      </w:r>
    </w:p>
    <w:p w:rsidR="0018366D" w:rsidRPr="00C23F04" w:rsidRDefault="00A21BFD" w:rsidP="00002F75">
      <w:pPr>
        <w:pStyle w:val="Style"/>
        <w:numPr>
          <w:ilvl w:val="0"/>
          <w:numId w:val="4"/>
        </w:numPr>
        <w:tabs>
          <w:tab w:val="left" w:pos="851"/>
        </w:tabs>
        <w:spacing w:before="13" w:line="269" w:lineRule="exact"/>
        <w:ind w:left="426" w:hanging="426"/>
        <w:jc w:val="both"/>
        <w:textAlignment w:val="baseline"/>
      </w:pPr>
      <w:r w:rsidRPr="00C23F04">
        <w:rPr>
          <w:rFonts w:eastAsia="Arial"/>
        </w:rPr>
        <w:t>Przygotowanie wzoru formularza zgody na udział pacjenta w badaniu, formularza zgody na przetwarzanie danych osobowych uczestnika badania klinicznego, zgody na przekazanie i przechowywanie (bankowanie</w:t>
      </w:r>
      <w:r w:rsidR="00ED7740">
        <w:rPr>
          <w:rFonts w:eastAsia="Arial"/>
        </w:rPr>
        <w:t>)</w:t>
      </w:r>
      <w:r w:rsidRPr="00C23F04">
        <w:rPr>
          <w:rFonts w:eastAsia="Arial"/>
        </w:rPr>
        <w:t xml:space="preserve"> próbek biologicznych pacjenta związanych z jego udziałem w badaniu oraz wzorów wszystkich innych dokumentów przekazywanych pacjentowi (dzienniczki, inne dokumenty informacyjne</w:t>
      </w:r>
      <w:r w:rsidR="007F7429">
        <w:rPr>
          <w:rFonts w:eastAsia="Arial"/>
        </w:rPr>
        <w:t>)</w:t>
      </w:r>
      <w:r w:rsidRPr="00C23F04">
        <w:rPr>
          <w:rFonts w:eastAsia="Arial"/>
        </w:rPr>
        <w:t xml:space="preserve">; </w:t>
      </w:r>
    </w:p>
    <w:p w:rsidR="007B7000" w:rsidRPr="00C23F04" w:rsidRDefault="00A21BFD" w:rsidP="00002F75">
      <w:pPr>
        <w:pStyle w:val="Style"/>
        <w:numPr>
          <w:ilvl w:val="0"/>
          <w:numId w:val="4"/>
        </w:numPr>
        <w:tabs>
          <w:tab w:val="left" w:pos="851"/>
        </w:tabs>
        <w:spacing w:line="264" w:lineRule="exact"/>
        <w:ind w:left="426" w:hanging="426"/>
        <w:jc w:val="both"/>
        <w:textAlignment w:val="baseline"/>
      </w:pPr>
      <w:r w:rsidRPr="00C23F04">
        <w:rPr>
          <w:rFonts w:eastAsia="Arial"/>
        </w:rPr>
        <w:t xml:space="preserve">Przygotowanie wzoru karty obserwacji klinicznej oraz instrukcji dotyczących jej wypełniania na podstawie protokołu łącznie ze strukturą danych (zaprogramowanie </w:t>
      </w:r>
      <w:proofErr w:type="spellStart"/>
      <w:r w:rsidRPr="00C23F04">
        <w:rPr>
          <w:rFonts w:eastAsia="Arial"/>
        </w:rPr>
        <w:t>eCRF</w:t>
      </w:r>
      <w:proofErr w:type="spellEnd"/>
      <w:r w:rsidRPr="00C23F04">
        <w:rPr>
          <w:rFonts w:eastAsia="Arial"/>
        </w:rPr>
        <w:t xml:space="preserve">, przygotowanie instrukcji dla użytkowników </w:t>
      </w:r>
      <w:proofErr w:type="spellStart"/>
      <w:r w:rsidRPr="00C23F04">
        <w:rPr>
          <w:rFonts w:eastAsia="Arial"/>
        </w:rPr>
        <w:t>eCRF</w:t>
      </w:r>
      <w:proofErr w:type="spellEnd"/>
      <w:r w:rsidRPr="00C23F04">
        <w:rPr>
          <w:rFonts w:eastAsia="Arial"/>
        </w:rPr>
        <w:t xml:space="preserve">). </w:t>
      </w:r>
    </w:p>
    <w:p w:rsidR="007B7000" w:rsidRPr="00C23F04" w:rsidRDefault="00A21BFD" w:rsidP="00002F75">
      <w:pPr>
        <w:pStyle w:val="Style"/>
        <w:numPr>
          <w:ilvl w:val="0"/>
          <w:numId w:val="4"/>
        </w:numPr>
        <w:tabs>
          <w:tab w:val="left" w:pos="851"/>
        </w:tabs>
        <w:spacing w:line="264" w:lineRule="exact"/>
        <w:ind w:left="426" w:hanging="426"/>
        <w:jc w:val="both"/>
        <w:textAlignment w:val="baseline"/>
      </w:pPr>
      <w:r w:rsidRPr="00C23F04">
        <w:rPr>
          <w:rFonts w:eastAsia="Arial"/>
        </w:rPr>
        <w:t xml:space="preserve">Zakontraktowanie systemu IWRS/IVRS dla nadawania kodu identyfikacyjnego pacjenta oraz gospodarki lekiem badanym, raportowania i monitorowania poważnych zdarzeń niepożądanych; </w:t>
      </w:r>
    </w:p>
    <w:p w:rsidR="007B7000" w:rsidRPr="00C23F04" w:rsidRDefault="00A21BFD" w:rsidP="00002F75">
      <w:pPr>
        <w:pStyle w:val="Style"/>
        <w:numPr>
          <w:ilvl w:val="0"/>
          <w:numId w:val="4"/>
        </w:numPr>
        <w:tabs>
          <w:tab w:val="left" w:pos="851"/>
        </w:tabs>
        <w:spacing w:before="4" w:line="269" w:lineRule="exact"/>
        <w:ind w:left="426" w:hanging="426"/>
        <w:jc w:val="both"/>
        <w:textAlignment w:val="baseline"/>
      </w:pPr>
      <w:r w:rsidRPr="00C23F04">
        <w:rPr>
          <w:rFonts w:eastAsia="Arial"/>
        </w:rPr>
        <w:t xml:space="preserve">Przygotowanie/skompletowanie wszystkich wymaganych </w:t>
      </w:r>
      <w:r w:rsidR="005125F9">
        <w:rPr>
          <w:rFonts w:eastAsia="Arial"/>
        </w:rPr>
        <w:t xml:space="preserve">dokumentów </w:t>
      </w:r>
      <w:r w:rsidRPr="00C23F04">
        <w:rPr>
          <w:rFonts w:eastAsia="Arial"/>
        </w:rPr>
        <w:t xml:space="preserve">do zgłoszenia do Komisji Bioetycznej (KE) </w:t>
      </w:r>
      <w:r w:rsidR="00EA7DD6">
        <w:rPr>
          <w:rFonts w:eastAsia="Arial"/>
        </w:rPr>
        <w:t>oraz złożenie</w:t>
      </w:r>
      <w:r w:rsidR="005125F9">
        <w:rPr>
          <w:rFonts w:eastAsia="Arial"/>
        </w:rPr>
        <w:t xml:space="preserve"> tych </w:t>
      </w:r>
      <w:r w:rsidR="00EA7DD6">
        <w:rPr>
          <w:rFonts w:eastAsia="Arial"/>
        </w:rPr>
        <w:t xml:space="preserve"> dokumentów do właściwej K</w:t>
      </w:r>
      <w:r w:rsidR="007F7429">
        <w:rPr>
          <w:rFonts w:eastAsia="Arial"/>
        </w:rPr>
        <w:t>E</w:t>
      </w:r>
      <w:r w:rsidR="00EA7DD6">
        <w:rPr>
          <w:rFonts w:eastAsia="Arial"/>
        </w:rPr>
        <w:t xml:space="preserve"> w imieniu Sponsora</w:t>
      </w:r>
      <w:r w:rsidR="006353C4">
        <w:rPr>
          <w:rFonts w:eastAsia="Arial"/>
        </w:rPr>
        <w:t xml:space="preserve"> (POLATOM)</w:t>
      </w:r>
      <w:r w:rsidRPr="00C23F04">
        <w:rPr>
          <w:rFonts w:eastAsia="Arial"/>
        </w:rPr>
        <w:t xml:space="preserve">; </w:t>
      </w:r>
    </w:p>
    <w:p w:rsidR="007B7000" w:rsidRPr="00C23F04" w:rsidRDefault="00A21BFD" w:rsidP="00002F75">
      <w:pPr>
        <w:pStyle w:val="Style"/>
        <w:numPr>
          <w:ilvl w:val="0"/>
          <w:numId w:val="4"/>
        </w:numPr>
        <w:tabs>
          <w:tab w:val="left" w:pos="851"/>
        </w:tabs>
        <w:spacing w:line="264" w:lineRule="exact"/>
        <w:ind w:left="426" w:hanging="426"/>
        <w:jc w:val="both"/>
        <w:textAlignment w:val="baseline"/>
      </w:pPr>
      <w:r w:rsidRPr="00C23F04">
        <w:rPr>
          <w:rFonts w:eastAsia="Arial"/>
        </w:rPr>
        <w:t>Przygotowanie/skompletowanie wszystkich wymaganych dokumentów do rejestracji badania w Urzędzie Rejestracji Produktów Leczniczych, Wyrobów Medycznych i Produktów Biobójczych (URPL)</w:t>
      </w:r>
      <w:r w:rsidR="005125F9">
        <w:rPr>
          <w:rFonts w:eastAsia="Arial"/>
        </w:rPr>
        <w:t xml:space="preserve"> oraz złożenie tych dokumentów do URPL w imieniu Sponsora</w:t>
      </w:r>
      <w:r w:rsidR="006353C4">
        <w:rPr>
          <w:rFonts w:eastAsia="Arial"/>
        </w:rPr>
        <w:t xml:space="preserve"> (POLATOM)</w:t>
      </w:r>
      <w:r w:rsidRPr="00C23F04">
        <w:rPr>
          <w:rFonts w:eastAsia="Arial"/>
        </w:rPr>
        <w:t xml:space="preserve">; </w:t>
      </w:r>
    </w:p>
    <w:p w:rsidR="007B7000" w:rsidRPr="00C23F04" w:rsidRDefault="00EB4477" w:rsidP="00002F75">
      <w:pPr>
        <w:pStyle w:val="Style"/>
        <w:numPr>
          <w:ilvl w:val="0"/>
          <w:numId w:val="4"/>
        </w:numPr>
        <w:tabs>
          <w:tab w:val="left" w:pos="851"/>
        </w:tabs>
        <w:spacing w:line="264" w:lineRule="exact"/>
        <w:ind w:left="426" w:hanging="426"/>
        <w:jc w:val="both"/>
        <w:textAlignment w:val="baseline"/>
      </w:pPr>
      <w:r>
        <w:rPr>
          <w:rFonts w:eastAsia="Arial"/>
        </w:rPr>
        <w:t>Wskazanie i rekomendacja</w:t>
      </w:r>
      <w:r w:rsidR="00A21BFD" w:rsidRPr="00C23F04">
        <w:rPr>
          <w:rFonts w:eastAsia="Arial"/>
        </w:rPr>
        <w:t xml:space="preserve"> koordynatora badania, ośrodka badawczego, głównych badaczy oraz badaczy radiologów, którzy będą odpowiedzialni za ocenę zdjęć radiologicznych według protokołu badania; </w:t>
      </w:r>
    </w:p>
    <w:p w:rsidR="007B7000" w:rsidRPr="00C23F04" w:rsidRDefault="00A21BFD" w:rsidP="00002F75">
      <w:pPr>
        <w:pStyle w:val="Style"/>
        <w:numPr>
          <w:ilvl w:val="0"/>
          <w:numId w:val="4"/>
        </w:numPr>
        <w:tabs>
          <w:tab w:val="left" w:pos="851"/>
        </w:tabs>
        <w:spacing w:line="264" w:lineRule="exact"/>
        <w:ind w:left="426" w:hanging="426"/>
        <w:jc w:val="both"/>
        <w:textAlignment w:val="baseline"/>
      </w:pPr>
      <w:r w:rsidRPr="00C23F04">
        <w:rPr>
          <w:rFonts w:eastAsia="Arial"/>
        </w:rPr>
        <w:t>Przygotowanie</w:t>
      </w:r>
      <w:r w:rsidR="00EB4477">
        <w:rPr>
          <w:rFonts w:eastAsia="Arial"/>
        </w:rPr>
        <w:t xml:space="preserve"> projektów umów</w:t>
      </w:r>
      <w:r w:rsidRPr="00C23F04">
        <w:rPr>
          <w:rFonts w:eastAsia="Arial"/>
        </w:rPr>
        <w:t xml:space="preserve">, </w:t>
      </w:r>
      <w:r w:rsidR="00EB4477">
        <w:rPr>
          <w:rFonts w:eastAsia="Arial"/>
        </w:rPr>
        <w:t xml:space="preserve">pomoc przy </w:t>
      </w:r>
      <w:r w:rsidRPr="00C23F04">
        <w:rPr>
          <w:rFonts w:eastAsia="Arial"/>
        </w:rPr>
        <w:t>negocjacj</w:t>
      </w:r>
      <w:r w:rsidR="00EB4477">
        <w:rPr>
          <w:rFonts w:eastAsia="Arial"/>
        </w:rPr>
        <w:t>ach</w:t>
      </w:r>
      <w:r w:rsidRPr="00C23F04">
        <w:rPr>
          <w:rFonts w:eastAsia="Arial"/>
        </w:rPr>
        <w:t xml:space="preserve"> i zawierani</w:t>
      </w:r>
      <w:r w:rsidR="00EB4477">
        <w:rPr>
          <w:rFonts w:eastAsia="Arial"/>
        </w:rPr>
        <w:t xml:space="preserve">u </w:t>
      </w:r>
      <w:r w:rsidRPr="00C23F04">
        <w:rPr>
          <w:rFonts w:eastAsia="Arial"/>
        </w:rPr>
        <w:t>umów z ośrodkami, badaczami, lokalnymi laboratoriami i innymi jednostkami/organizacjami niezbędnymi</w:t>
      </w:r>
      <w:r w:rsidR="005D0D2E">
        <w:rPr>
          <w:rFonts w:eastAsia="Arial"/>
        </w:rPr>
        <w:t xml:space="preserve"> </w:t>
      </w:r>
      <w:r w:rsidRPr="00C23F04">
        <w:rPr>
          <w:rFonts w:eastAsia="Arial"/>
        </w:rPr>
        <w:t>do realizacji badania</w:t>
      </w:r>
      <w:r w:rsidR="0046169F">
        <w:rPr>
          <w:rFonts w:eastAsia="Arial"/>
        </w:rPr>
        <w:t>. W</w:t>
      </w:r>
      <w:r w:rsidRPr="00C23F04">
        <w:rPr>
          <w:rFonts w:eastAsia="Arial"/>
        </w:rPr>
        <w:t xml:space="preserve">ymagana jest finalizacja przynajmniej 1 Umowy z ośrodkiem i 1 </w:t>
      </w:r>
      <w:r w:rsidR="0046169F">
        <w:rPr>
          <w:rFonts w:eastAsia="Arial"/>
        </w:rPr>
        <w:t xml:space="preserve">z </w:t>
      </w:r>
      <w:r w:rsidRPr="00C23F04">
        <w:rPr>
          <w:rFonts w:eastAsia="Arial"/>
        </w:rPr>
        <w:t xml:space="preserve">badaczem - w tym krajowym koordynatorem badania, która umożliwi złożenie dokumentacji badania do URPL i KE; </w:t>
      </w:r>
    </w:p>
    <w:p w:rsidR="007B7000" w:rsidRPr="00C23F04" w:rsidRDefault="00A21BFD" w:rsidP="00002F75">
      <w:pPr>
        <w:pStyle w:val="Style"/>
        <w:numPr>
          <w:ilvl w:val="0"/>
          <w:numId w:val="4"/>
        </w:numPr>
        <w:tabs>
          <w:tab w:val="left" w:pos="851"/>
        </w:tabs>
        <w:spacing w:before="4" w:line="269" w:lineRule="exact"/>
        <w:ind w:left="426" w:hanging="426"/>
        <w:jc w:val="both"/>
        <w:textAlignment w:val="baseline"/>
      </w:pPr>
      <w:r w:rsidRPr="00C23F04">
        <w:rPr>
          <w:rFonts w:eastAsia="Arial"/>
        </w:rPr>
        <w:t>Przygotowanie</w:t>
      </w:r>
      <w:r w:rsidR="00EB4477">
        <w:rPr>
          <w:rFonts w:eastAsia="Arial"/>
        </w:rPr>
        <w:t xml:space="preserve"> </w:t>
      </w:r>
      <w:r w:rsidR="00EB4477" w:rsidRPr="00EB4477">
        <w:rPr>
          <w:rFonts w:eastAsia="Arial"/>
        </w:rPr>
        <w:t>projektów umów,</w:t>
      </w:r>
      <w:r w:rsidRPr="00C23F04">
        <w:rPr>
          <w:rFonts w:eastAsia="Arial"/>
        </w:rPr>
        <w:t xml:space="preserve"> negocjacje i </w:t>
      </w:r>
      <w:r w:rsidR="00EB4477">
        <w:rPr>
          <w:rFonts w:eastAsia="Arial"/>
        </w:rPr>
        <w:t xml:space="preserve">pomoc przy </w:t>
      </w:r>
      <w:r w:rsidRPr="00C23F04">
        <w:rPr>
          <w:rFonts w:eastAsia="Arial"/>
        </w:rPr>
        <w:t>zawierani</w:t>
      </w:r>
      <w:r w:rsidR="00EB4477">
        <w:rPr>
          <w:rFonts w:eastAsia="Arial"/>
        </w:rPr>
        <w:t>u</w:t>
      </w:r>
      <w:r w:rsidRPr="00C23F04">
        <w:rPr>
          <w:rFonts w:eastAsia="Arial"/>
        </w:rPr>
        <w:t xml:space="preserve"> umów z badaczami i/lub ośrodkami odpowiedzialnymi za ocenę badań radiologicznych; </w:t>
      </w:r>
    </w:p>
    <w:p w:rsidR="007B7000" w:rsidRPr="00C23F04" w:rsidRDefault="00A21BFD" w:rsidP="00002F75">
      <w:pPr>
        <w:pStyle w:val="Style"/>
        <w:numPr>
          <w:ilvl w:val="0"/>
          <w:numId w:val="4"/>
        </w:numPr>
        <w:tabs>
          <w:tab w:val="left" w:pos="851"/>
        </w:tabs>
        <w:spacing w:before="4" w:line="269" w:lineRule="exact"/>
        <w:ind w:left="426" w:hanging="426"/>
        <w:jc w:val="both"/>
        <w:textAlignment w:val="baseline"/>
      </w:pPr>
      <w:r w:rsidRPr="00C23F04">
        <w:rPr>
          <w:rFonts w:eastAsia="Arial"/>
        </w:rPr>
        <w:t xml:space="preserve">Bieżące administrowanie realizacją </w:t>
      </w:r>
      <w:r w:rsidR="00EB4477">
        <w:rPr>
          <w:rFonts w:eastAsia="Arial"/>
        </w:rPr>
        <w:t>Projektu</w:t>
      </w:r>
      <w:r w:rsidRPr="00C23F04">
        <w:rPr>
          <w:rFonts w:eastAsia="Arial"/>
        </w:rPr>
        <w:t xml:space="preserve"> obejmujące wszystkie działania niezbędne do utrzymania Projektu w określonych terminach, jakości i budżecie; </w:t>
      </w:r>
    </w:p>
    <w:p w:rsidR="007B7000" w:rsidRPr="00C23F04" w:rsidRDefault="00A21BFD" w:rsidP="00002F75">
      <w:pPr>
        <w:pStyle w:val="Style"/>
        <w:numPr>
          <w:ilvl w:val="0"/>
          <w:numId w:val="4"/>
        </w:numPr>
        <w:tabs>
          <w:tab w:val="left" w:pos="851"/>
        </w:tabs>
        <w:spacing w:before="4" w:line="269" w:lineRule="exact"/>
        <w:ind w:left="426" w:hanging="426"/>
        <w:jc w:val="both"/>
        <w:textAlignment w:val="baseline"/>
      </w:pPr>
      <w:r w:rsidRPr="00C23F04">
        <w:rPr>
          <w:rFonts w:eastAsia="Arial"/>
        </w:rPr>
        <w:t xml:space="preserve">Przygotowanie i przesyłanie miesięcznego sprawozdania do </w:t>
      </w:r>
      <w:r w:rsidR="006353C4">
        <w:rPr>
          <w:rFonts w:eastAsia="Arial"/>
        </w:rPr>
        <w:t>Sponsora (</w:t>
      </w:r>
      <w:r w:rsidRPr="00C23F04">
        <w:rPr>
          <w:rFonts w:eastAsia="Arial"/>
        </w:rPr>
        <w:t>POLATOM</w:t>
      </w:r>
      <w:r w:rsidR="006353C4">
        <w:rPr>
          <w:rFonts w:eastAsia="Arial"/>
        </w:rPr>
        <w:t>)</w:t>
      </w:r>
      <w:r w:rsidRPr="00C23F04">
        <w:rPr>
          <w:rFonts w:eastAsia="Arial"/>
        </w:rPr>
        <w:t xml:space="preserve"> z przebiegu realizowanych procesów w Projekcie; </w:t>
      </w:r>
    </w:p>
    <w:p w:rsidR="007B7000" w:rsidRPr="00C23F04" w:rsidRDefault="00A21BFD" w:rsidP="00002F75">
      <w:pPr>
        <w:pStyle w:val="Style"/>
        <w:numPr>
          <w:ilvl w:val="0"/>
          <w:numId w:val="4"/>
        </w:numPr>
        <w:tabs>
          <w:tab w:val="left" w:pos="851"/>
        </w:tabs>
        <w:spacing w:before="4" w:line="269" w:lineRule="exact"/>
        <w:ind w:left="426" w:hanging="426"/>
        <w:jc w:val="both"/>
        <w:textAlignment w:val="baseline"/>
      </w:pPr>
      <w:bookmarkStart w:id="2" w:name="_Hlk36801941"/>
      <w:r w:rsidRPr="00C23F04">
        <w:rPr>
          <w:rFonts w:eastAsia="Arial"/>
        </w:rPr>
        <w:t>Bieżąca komunikacja z URPL oraz Komisjami Bioetycznymi</w:t>
      </w:r>
      <w:bookmarkEnd w:id="2"/>
      <w:r w:rsidRPr="00C23F04">
        <w:rPr>
          <w:rFonts w:eastAsia="Arial"/>
        </w:rPr>
        <w:t xml:space="preserve">; </w:t>
      </w:r>
    </w:p>
    <w:p w:rsidR="007B7000" w:rsidRPr="00C23F04" w:rsidRDefault="00A21BFD" w:rsidP="00002F75">
      <w:pPr>
        <w:pStyle w:val="Style"/>
        <w:numPr>
          <w:ilvl w:val="0"/>
          <w:numId w:val="4"/>
        </w:numPr>
        <w:tabs>
          <w:tab w:val="left" w:pos="851"/>
        </w:tabs>
        <w:spacing w:before="4" w:line="269" w:lineRule="exact"/>
        <w:ind w:left="426" w:hanging="426"/>
        <w:jc w:val="both"/>
        <w:textAlignment w:val="baseline"/>
      </w:pPr>
      <w:r w:rsidRPr="00EB4477">
        <w:rPr>
          <w:rFonts w:eastAsia="Arial"/>
        </w:rPr>
        <w:t>Opracowanie niezbędnych dokumentów do prowadzenia Projektu oraz planów Projektu obejmujących m.in</w:t>
      </w:r>
      <w:r w:rsidR="00EB4477">
        <w:rPr>
          <w:rFonts w:eastAsia="Arial"/>
        </w:rPr>
        <w:t>.:</w:t>
      </w:r>
      <w:r w:rsidRPr="00EB4477">
        <w:rPr>
          <w:rFonts w:eastAsia="Arial"/>
        </w:rPr>
        <w:t xml:space="preserve"> </w:t>
      </w:r>
    </w:p>
    <w:p w:rsidR="007B7000" w:rsidRPr="00C23F04" w:rsidRDefault="00A21BFD" w:rsidP="009A72BF">
      <w:pPr>
        <w:pStyle w:val="Style"/>
        <w:numPr>
          <w:ilvl w:val="0"/>
          <w:numId w:val="5"/>
        </w:numPr>
        <w:spacing w:line="283" w:lineRule="exact"/>
        <w:jc w:val="both"/>
        <w:textAlignment w:val="baseline"/>
      </w:pPr>
      <w:r w:rsidRPr="00C23F04">
        <w:rPr>
          <w:rFonts w:eastAsia="Arial"/>
        </w:rPr>
        <w:t xml:space="preserve">plan Projektu; </w:t>
      </w:r>
    </w:p>
    <w:p w:rsidR="007B7000" w:rsidRPr="00C23F04" w:rsidRDefault="00A21BFD" w:rsidP="009A72BF">
      <w:pPr>
        <w:pStyle w:val="Style"/>
        <w:numPr>
          <w:ilvl w:val="0"/>
          <w:numId w:val="5"/>
        </w:numPr>
        <w:spacing w:line="283" w:lineRule="exact"/>
        <w:jc w:val="both"/>
        <w:textAlignment w:val="baseline"/>
      </w:pPr>
      <w:r w:rsidRPr="00C23F04">
        <w:rPr>
          <w:rFonts w:eastAsia="Arial"/>
        </w:rPr>
        <w:t xml:space="preserve">plan monitoringu; </w:t>
      </w:r>
    </w:p>
    <w:p w:rsidR="007B7000" w:rsidRPr="00C23F04" w:rsidRDefault="00A21BFD" w:rsidP="009A72BF">
      <w:pPr>
        <w:pStyle w:val="Style"/>
        <w:numPr>
          <w:ilvl w:val="0"/>
          <w:numId w:val="5"/>
        </w:numPr>
        <w:spacing w:line="283" w:lineRule="exact"/>
        <w:jc w:val="both"/>
        <w:textAlignment w:val="baseline"/>
      </w:pPr>
      <w:r w:rsidRPr="00C23F04">
        <w:rPr>
          <w:rFonts w:eastAsia="Arial"/>
        </w:rPr>
        <w:t xml:space="preserve">plan komunikacji w Projekcie; </w:t>
      </w:r>
    </w:p>
    <w:p w:rsidR="007B7000" w:rsidRPr="00C23F04" w:rsidRDefault="00A21BFD" w:rsidP="009A72BF">
      <w:pPr>
        <w:pStyle w:val="Style"/>
        <w:numPr>
          <w:ilvl w:val="0"/>
          <w:numId w:val="5"/>
        </w:numPr>
        <w:spacing w:line="283" w:lineRule="exact"/>
        <w:jc w:val="both"/>
        <w:textAlignment w:val="baseline"/>
      </w:pPr>
      <w:r w:rsidRPr="00C23F04">
        <w:rPr>
          <w:rFonts w:eastAsia="Arial"/>
        </w:rPr>
        <w:t xml:space="preserve">plan utrzymywania i bieżącej archiwizacji dokumentacji Projektu; </w:t>
      </w:r>
    </w:p>
    <w:p w:rsidR="007B7000" w:rsidRPr="00C23F04" w:rsidRDefault="00A21BFD" w:rsidP="009A72BF">
      <w:pPr>
        <w:pStyle w:val="Style"/>
        <w:numPr>
          <w:ilvl w:val="0"/>
          <w:numId w:val="5"/>
        </w:numPr>
        <w:spacing w:line="283" w:lineRule="exact"/>
        <w:jc w:val="both"/>
        <w:textAlignment w:val="baseline"/>
      </w:pPr>
      <w:r w:rsidRPr="00C23F04">
        <w:rPr>
          <w:rFonts w:eastAsia="Arial"/>
        </w:rPr>
        <w:lastRenderedPageBreak/>
        <w:t xml:space="preserve">plan rekrutacji pacjentów (obejmujący 50 pacjentów włączonych do badania </w:t>
      </w:r>
      <w:r w:rsidR="00963A5A">
        <w:t xml:space="preserve">i </w:t>
      </w:r>
      <w:r w:rsidRPr="00963A5A">
        <w:rPr>
          <w:rFonts w:eastAsia="Arial"/>
        </w:rPr>
        <w:t xml:space="preserve">podlegających analizie danych oraz przewidywany odsetek niepowodzenia włączenia pacjentów do badania na etapie wizyty przesiewowej); </w:t>
      </w:r>
    </w:p>
    <w:p w:rsidR="007B7000" w:rsidRPr="00C23F04" w:rsidRDefault="00A21BFD" w:rsidP="009A72BF">
      <w:pPr>
        <w:pStyle w:val="Style"/>
        <w:numPr>
          <w:ilvl w:val="0"/>
          <w:numId w:val="5"/>
        </w:numPr>
        <w:spacing w:before="13" w:line="269" w:lineRule="exact"/>
        <w:jc w:val="both"/>
        <w:textAlignment w:val="baseline"/>
      </w:pPr>
      <w:r w:rsidRPr="00C23F04">
        <w:rPr>
          <w:rFonts w:eastAsia="Arial"/>
        </w:rPr>
        <w:t xml:space="preserve">plan monitoringu danych badania obejmujący przygotowanie oraz administrowanie bazą danych (dokument powinien obejmować konfigurację systemu, instalację i użytkowanie, powinien opisywać walidację systemu i testowanie funkcjonalności, zbieranie i postępowanie z danymi, utrzymanie systemu, środki bezpieczeństwa systemu, kontrolę zmian, tworzenie kopii zapasowych danych, odzyskiwanie danych, planowanie awaryjne i likwidację). </w:t>
      </w:r>
    </w:p>
    <w:p w:rsidR="00EB4477" w:rsidRPr="00EB4477" w:rsidRDefault="00A21BFD" w:rsidP="00C77C07">
      <w:pPr>
        <w:pStyle w:val="Style"/>
        <w:spacing w:before="273" w:line="269" w:lineRule="exact"/>
        <w:jc w:val="both"/>
        <w:textAlignment w:val="baseline"/>
      </w:pPr>
      <w:r w:rsidRPr="00C23F04">
        <w:rPr>
          <w:rFonts w:eastAsia="Arial"/>
          <w:b/>
        </w:rPr>
        <w:t xml:space="preserve">Etap </w:t>
      </w:r>
      <w:r w:rsidR="006353C4">
        <w:rPr>
          <w:rFonts w:eastAsia="Arial"/>
          <w:b/>
        </w:rPr>
        <w:t xml:space="preserve">II </w:t>
      </w:r>
      <w:r w:rsidRPr="00C23F04">
        <w:rPr>
          <w:rFonts w:eastAsia="Arial"/>
          <w:b/>
        </w:rPr>
        <w:t>b</w:t>
      </w:r>
      <w:r w:rsidR="006353C4">
        <w:rPr>
          <w:rFonts w:eastAsia="Arial"/>
          <w:b/>
        </w:rPr>
        <w:t xml:space="preserve">: </w:t>
      </w:r>
      <w:r w:rsidRPr="00C23F04">
        <w:rPr>
          <w:rFonts w:eastAsia="Arial"/>
          <w:b/>
        </w:rPr>
        <w:t xml:space="preserve">Inicjowanie badań fazy klinicznej </w:t>
      </w:r>
      <w:r w:rsidR="00051F41">
        <w:rPr>
          <w:rFonts w:eastAsia="Arial"/>
          <w:b/>
        </w:rPr>
        <w:t>I/II</w:t>
      </w:r>
      <w:r w:rsidRPr="00C23F04">
        <w:rPr>
          <w:rFonts w:eastAsia="Arial"/>
          <w:b/>
        </w:rPr>
        <w:t xml:space="preserve"> nad skutecznością i bezpieczeństwem stosowania substancji farmaceutycznej PSMA-T4 po wyznakowaniu tej substancji technetem-99m w diagnostyce u chorych z potwierdzonym rakiem stercza. </w:t>
      </w:r>
    </w:p>
    <w:p w:rsidR="007B7000" w:rsidRPr="00C23F04" w:rsidRDefault="00A21BFD" w:rsidP="00C77C07">
      <w:pPr>
        <w:pStyle w:val="Style"/>
        <w:spacing w:before="273" w:line="269" w:lineRule="exact"/>
        <w:jc w:val="both"/>
        <w:textAlignment w:val="baseline"/>
      </w:pPr>
      <w:r w:rsidRPr="00C23F04">
        <w:rPr>
          <w:rFonts w:eastAsia="Arial"/>
        </w:rPr>
        <w:t xml:space="preserve">Zakres zadań w ramach Etapu </w:t>
      </w:r>
      <w:r w:rsidR="006353C4">
        <w:rPr>
          <w:w w:val="76"/>
        </w:rPr>
        <w:t xml:space="preserve">II </w:t>
      </w:r>
      <w:r w:rsidRPr="00C23F04">
        <w:rPr>
          <w:rFonts w:eastAsia="Arial"/>
        </w:rPr>
        <w:t xml:space="preserve">b będzie obejmował przeprowadzenie procedur niezbędnych do rozpoczęcia badania klinicznego po złożeniu niezbędnej dokumentacji do URPL i KE, tj.: </w:t>
      </w:r>
    </w:p>
    <w:p w:rsidR="007B7000" w:rsidRPr="00C23F04" w:rsidRDefault="00A21BFD" w:rsidP="00876397">
      <w:pPr>
        <w:pStyle w:val="Style"/>
        <w:numPr>
          <w:ilvl w:val="0"/>
          <w:numId w:val="6"/>
        </w:numPr>
        <w:spacing w:before="13" w:line="269" w:lineRule="exact"/>
        <w:ind w:left="426" w:hanging="426"/>
        <w:jc w:val="both"/>
        <w:textAlignment w:val="baseline"/>
      </w:pPr>
      <w:r w:rsidRPr="00C23F04">
        <w:rPr>
          <w:rFonts w:eastAsia="Arial"/>
        </w:rPr>
        <w:t xml:space="preserve">Organizacja spotkania badaczy </w:t>
      </w:r>
      <w:r w:rsidR="00C77C07" w:rsidRPr="00C77C07">
        <w:rPr>
          <w:rFonts w:eastAsia="Arial"/>
          <w:b/>
        </w:rPr>
        <w:t>(</w:t>
      </w:r>
      <w:r w:rsidRPr="00C77C07">
        <w:rPr>
          <w:rFonts w:eastAsia="Arial"/>
          <w:b/>
        </w:rPr>
        <w:t>instruktaż merytoryczny tj. przekazanie instrukcji dotyczących badania monitorom badań klinicznych</w:t>
      </w:r>
      <w:r w:rsidR="00C77C07">
        <w:rPr>
          <w:rFonts w:eastAsia="Arial"/>
          <w:b/>
        </w:rPr>
        <w:t>,</w:t>
      </w:r>
      <w:r w:rsidRPr="00C77C07">
        <w:rPr>
          <w:rFonts w:eastAsia="Arial"/>
          <w:b/>
        </w:rPr>
        <w:t xml:space="preserve"> badaczom i innym niezbędnym do realizacji badania osobom</w:t>
      </w:r>
      <w:r w:rsidR="00C77C07" w:rsidRPr="00C77C07">
        <w:rPr>
          <w:rFonts w:eastAsia="Arial"/>
          <w:b/>
        </w:rPr>
        <w:t>)</w:t>
      </w:r>
      <w:r w:rsidRPr="00C23F04">
        <w:rPr>
          <w:rFonts w:eastAsia="Arial"/>
        </w:rPr>
        <w:t xml:space="preserve">; </w:t>
      </w:r>
    </w:p>
    <w:p w:rsidR="0018366D" w:rsidRPr="00C23F04" w:rsidRDefault="00A21BFD" w:rsidP="00876397">
      <w:pPr>
        <w:pStyle w:val="Style"/>
        <w:numPr>
          <w:ilvl w:val="0"/>
          <w:numId w:val="6"/>
        </w:numPr>
        <w:spacing w:line="283" w:lineRule="exact"/>
        <w:ind w:left="426" w:hanging="426"/>
        <w:jc w:val="both"/>
        <w:textAlignment w:val="baseline"/>
      </w:pPr>
      <w:r w:rsidRPr="00C23F04">
        <w:rPr>
          <w:rFonts w:eastAsia="Arial"/>
        </w:rPr>
        <w:t xml:space="preserve">Przygotowanie dokumentacji badania w tym m.in. Trial Master File, ISF dla Ośrodka; </w:t>
      </w:r>
    </w:p>
    <w:p w:rsidR="007B7000" w:rsidRPr="00C23F04" w:rsidRDefault="00A21BFD" w:rsidP="00876397">
      <w:pPr>
        <w:pStyle w:val="Style"/>
        <w:numPr>
          <w:ilvl w:val="0"/>
          <w:numId w:val="6"/>
        </w:numPr>
        <w:spacing w:line="269" w:lineRule="exact"/>
        <w:ind w:left="426" w:hanging="426"/>
        <w:jc w:val="both"/>
        <w:textAlignment w:val="baseline"/>
      </w:pPr>
      <w:r w:rsidRPr="00C23F04">
        <w:rPr>
          <w:rFonts w:eastAsia="Arial"/>
        </w:rPr>
        <w:t>Przygotowanie</w:t>
      </w:r>
      <w:r w:rsidR="00EB4477">
        <w:rPr>
          <w:rFonts w:eastAsia="Arial"/>
        </w:rPr>
        <w:t xml:space="preserve"> projektów umów</w:t>
      </w:r>
      <w:r w:rsidRPr="00C23F04">
        <w:rPr>
          <w:rFonts w:eastAsia="Arial"/>
        </w:rPr>
        <w:t>,</w:t>
      </w:r>
      <w:r w:rsidR="00EB4477">
        <w:rPr>
          <w:rFonts w:eastAsia="Arial"/>
        </w:rPr>
        <w:t xml:space="preserve"> pomoc w </w:t>
      </w:r>
      <w:r w:rsidRPr="00C23F04">
        <w:rPr>
          <w:rFonts w:eastAsia="Arial"/>
        </w:rPr>
        <w:t xml:space="preserve"> negocjacj</w:t>
      </w:r>
      <w:r w:rsidR="00EB4477">
        <w:rPr>
          <w:rFonts w:eastAsia="Arial"/>
        </w:rPr>
        <w:t xml:space="preserve">ach </w:t>
      </w:r>
      <w:r w:rsidRPr="00C23F04">
        <w:rPr>
          <w:rFonts w:eastAsia="Arial"/>
        </w:rPr>
        <w:t xml:space="preserve"> i zawierani</w:t>
      </w:r>
      <w:r w:rsidR="00EB4477">
        <w:rPr>
          <w:rFonts w:eastAsia="Arial"/>
        </w:rPr>
        <w:t>u</w:t>
      </w:r>
      <w:r w:rsidRPr="00C23F04">
        <w:rPr>
          <w:rFonts w:eastAsia="Arial"/>
        </w:rPr>
        <w:t xml:space="preserve"> umów z pozostałymi Ośrodkami i Badaczami wybranymi do współpracy; </w:t>
      </w:r>
    </w:p>
    <w:p w:rsidR="007B7000" w:rsidRPr="00DA1EAA" w:rsidRDefault="00A21BFD" w:rsidP="00273D35">
      <w:pPr>
        <w:pStyle w:val="Style"/>
        <w:numPr>
          <w:ilvl w:val="0"/>
          <w:numId w:val="6"/>
        </w:numPr>
        <w:spacing w:line="269" w:lineRule="exact"/>
        <w:ind w:left="426" w:hanging="426"/>
        <w:jc w:val="both"/>
        <w:textAlignment w:val="baseline"/>
        <w:rPr>
          <w:rFonts w:eastAsia="Arial"/>
          <w:lang w:val="pl-PL"/>
        </w:rPr>
      </w:pPr>
      <w:r w:rsidRPr="00C23F04">
        <w:rPr>
          <w:rFonts w:eastAsia="Arial"/>
        </w:rPr>
        <w:t xml:space="preserve">Złożenie </w:t>
      </w:r>
      <w:r w:rsidR="00273D35">
        <w:rPr>
          <w:rFonts w:eastAsia="Arial"/>
        </w:rPr>
        <w:t>wymaganej</w:t>
      </w:r>
      <w:r w:rsidRPr="00C23F04">
        <w:rPr>
          <w:rFonts w:eastAsia="Arial"/>
        </w:rPr>
        <w:t xml:space="preserve"> dokumentacji do URPL i Komisji Bioetycznych</w:t>
      </w:r>
      <w:r w:rsidR="00273D35">
        <w:rPr>
          <w:rFonts w:eastAsia="Arial"/>
        </w:rPr>
        <w:t xml:space="preserve"> w przypadku </w:t>
      </w:r>
      <w:r w:rsidR="007F7429">
        <w:rPr>
          <w:rFonts w:eastAsia="Arial"/>
        </w:rPr>
        <w:t xml:space="preserve">zgłoszenia </w:t>
      </w:r>
      <w:r w:rsidR="00273D35">
        <w:rPr>
          <w:rFonts w:eastAsia="Arial"/>
        </w:rPr>
        <w:t>zmian istotnych dot. badanego produktu leczniczego oraz</w:t>
      </w:r>
      <w:r w:rsidRPr="00C23F04">
        <w:rPr>
          <w:rFonts w:eastAsia="Arial"/>
        </w:rPr>
        <w:t xml:space="preserve"> dotyczących nowych Ośrodków i Bad</w:t>
      </w:r>
      <w:r w:rsidRPr="00273D35">
        <w:rPr>
          <w:rFonts w:eastAsia="Arial"/>
        </w:rPr>
        <w:t xml:space="preserve">aczy; </w:t>
      </w:r>
    </w:p>
    <w:p w:rsidR="007B7000" w:rsidRPr="00C23F04" w:rsidRDefault="00A21BFD" w:rsidP="00876397">
      <w:pPr>
        <w:pStyle w:val="Style"/>
        <w:numPr>
          <w:ilvl w:val="0"/>
          <w:numId w:val="6"/>
        </w:numPr>
        <w:spacing w:line="269" w:lineRule="exact"/>
        <w:ind w:left="426" w:hanging="426"/>
        <w:jc w:val="both"/>
        <w:textAlignment w:val="baseline"/>
      </w:pPr>
      <w:r w:rsidRPr="00C23F04">
        <w:rPr>
          <w:rFonts w:eastAsia="Arial"/>
        </w:rPr>
        <w:t xml:space="preserve">Bieżące administrowanie realizacją </w:t>
      </w:r>
      <w:r w:rsidR="00EB4477">
        <w:rPr>
          <w:rFonts w:eastAsia="Arial"/>
        </w:rPr>
        <w:t>Projektu</w:t>
      </w:r>
      <w:r w:rsidRPr="00C23F04">
        <w:rPr>
          <w:rFonts w:eastAsia="Arial"/>
        </w:rPr>
        <w:t xml:space="preserve"> obejmujące wszystkie działania niezbędne do utrzymania Projektu w określonych terminach, jakości i budżecie; </w:t>
      </w:r>
    </w:p>
    <w:p w:rsidR="007B7000" w:rsidRPr="00C23F04" w:rsidRDefault="00A21BFD" w:rsidP="00876397">
      <w:pPr>
        <w:pStyle w:val="Style"/>
        <w:numPr>
          <w:ilvl w:val="0"/>
          <w:numId w:val="6"/>
        </w:numPr>
        <w:spacing w:line="269" w:lineRule="exact"/>
        <w:ind w:left="426" w:hanging="426"/>
        <w:jc w:val="both"/>
        <w:textAlignment w:val="baseline"/>
      </w:pPr>
      <w:r w:rsidRPr="00C23F04">
        <w:rPr>
          <w:rFonts w:eastAsia="Arial"/>
        </w:rPr>
        <w:t xml:space="preserve">Bieżąca komunikacja z URPL oraz Komisją Bioetyczną. </w:t>
      </w:r>
    </w:p>
    <w:p w:rsidR="007B7000" w:rsidRPr="00C23F04" w:rsidRDefault="007B7000" w:rsidP="00C77C07">
      <w:pPr>
        <w:pStyle w:val="Style"/>
        <w:spacing w:line="260" w:lineRule="atLeast"/>
        <w:jc w:val="both"/>
      </w:pPr>
    </w:p>
    <w:p w:rsidR="00EB4477" w:rsidRDefault="00A21BFD" w:rsidP="00C77C07">
      <w:pPr>
        <w:pStyle w:val="Style"/>
        <w:spacing w:line="269" w:lineRule="exact"/>
        <w:jc w:val="both"/>
        <w:textAlignment w:val="baseline"/>
        <w:rPr>
          <w:rFonts w:eastAsia="Arial"/>
          <w:b/>
        </w:rPr>
      </w:pPr>
      <w:r w:rsidRPr="00C23F04">
        <w:rPr>
          <w:rFonts w:eastAsia="Arial"/>
          <w:b/>
        </w:rPr>
        <w:t>Etap</w:t>
      </w:r>
      <w:r w:rsidR="006353C4">
        <w:rPr>
          <w:rFonts w:eastAsia="Arial"/>
          <w:b/>
        </w:rPr>
        <w:t xml:space="preserve"> III: </w:t>
      </w:r>
      <w:r w:rsidRPr="00C23F04">
        <w:rPr>
          <w:rFonts w:eastAsia="Arial"/>
          <w:b/>
        </w:rPr>
        <w:t xml:space="preserve"> Przeprowadzenie i monitorowanie badań fazy klinicznej </w:t>
      </w:r>
      <w:r w:rsidR="00051F41">
        <w:rPr>
          <w:rFonts w:eastAsia="Arial"/>
          <w:b/>
        </w:rPr>
        <w:t>I/II</w:t>
      </w:r>
      <w:r w:rsidRPr="00C23F04">
        <w:rPr>
          <w:rFonts w:eastAsia="Arial"/>
          <w:b/>
        </w:rPr>
        <w:t xml:space="preserve"> nad skutecznością i bezpieczeństwem stosowania substancji farmaceutycznej PSMA-T4 po wyznakowaniu tej substancji technetem-99m w diagnostyce u chorych z potwierdzonym rakiem stercza. </w:t>
      </w:r>
    </w:p>
    <w:p w:rsidR="00EB4477" w:rsidRDefault="00EB4477" w:rsidP="00C77C07">
      <w:pPr>
        <w:pStyle w:val="Style"/>
        <w:spacing w:line="269" w:lineRule="exact"/>
        <w:jc w:val="both"/>
        <w:textAlignment w:val="baseline"/>
        <w:rPr>
          <w:rFonts w:eastAsia="Arial"/>
        </w:rPr>
      </w:pPr>
    </w:p>
    <w:p w:rsidR="007B7000" w:rsidRPr="00C23F04" w:rsidRDefault="00A21BFD" w:rsidP="00C77C07">
      <w:pPr>
        <w:pStyle w:val="Style"/>
        <w:spacing w:line="269" w:lineRule="exact"/>
        <w:jc w:val="both"/>
        <w:textAlignment w:val="baseline"/>
      </w:pPr>
      <w:r w:rsidRPr="00C23F04">
        <w:rPr>
          <w:rFonts w:eastAsia="Arial"/>
        </w:rPr>
        <w:t xml:space="preserve">Etap może rozpocząć się pod warunkiem uprzedniego uzyskania pozytywnej opinii Komisji Bioetycznej na prowadzenie prac w ramach badania i uzyskanie zezwolenia na rozpoczęcie badania klinicznego z URPL. Bieżące monitorowanie badania obejmować będzie: </w:t>
      </w:r>
    </w:p>
    <w:p w:rsidR="007B7000" w:rsidRPr="00C23F04" w:rsidRDefault="00A21BFD" w:rsidP="00876397">
      <w:pPr>
        <w:pStyle w:val="Style"/>
        <w:numPr>
          <w:ilvl w:val="0"/>
          <w:numId w:val="7"/>
        </w:numPr>
        <w:spacing w:before="9" w:line="269" w:lineRule="exact"/>
        <w:ind w:left="426"/>
        <w:jc w:val="both"/>
        <w:textAlignment w:val="baseline"/>
      </w:pPr>
      <w:r w:rsidRPr="00F55014">
        <w:rPr>
          <w:rFonts w:eastAsia="Arial"/>
        </w:rPr>
        <w:t xml:space="preserve">Przeprowadzenie co najmniej 4 wizyt </w:t>
      </w:r>
      <w:r w:rsidR="006B4AFD" w:rsidRPr="00F55014">
        <w:rPr>
          <w:rFonts w:eastAsia="Arial"/>
        </w:rPr>
        <w:t xml:space="preserve">monitorujących </w:t>
      </w:r>
      <w:r w:rsidRPr="00F55014">
        <w:rPr>
          <w:rFonts w:eastAsia="Arial"/>
        </w:rPr>
        <w:t>w Ośrodku</w:t>
      </w:r>
      <w:r w:rsidR="006353C4" w:rsidRPr="00F55014">
        <w:rPr>
          <w:rFonts w:eastAsia="Arial"/>
        </w:rPr>
        <w:t xml:space="preserve"> </w:t>
      </w:r>
      <w:r w:rsidR="00E70BAD" w:rsidRPr="001150EC">
        <w:rPr>
          <w:rFonts w:eastAsia="Arial"/>
        </w:rPr>
        <w:t xml:space="preserve">w </w:t>
      </w:r>
      <w:r w:rsidR="00C40D5A" w:rsidRPr="001150EC">
        <w:rPr>
          <w:rFonts w:eastAsia="Arial"/>
        </w:rPr>
        <w:t>okresie</w:t>
      </w:r>
      <w:r w:rsidR="00E70BAD" w:rsidRPr="001150EC">
        <w:rPr>
          <w:rFonts w:eastAsia="Arial"/>
        </w:rPr>
        <w:t xml:space="preserve"> trwania każdego etapu </w:t>
      </w:r>
      <w:r w:rsidRPr="00C23F04">
        <w:rPr>
          <w:rFonts w:eastAsia="Arial"/>
        </w:rPr>
        <w:t xml:space="preserve">oraz bieżący monitoring elektroniczny, weryfikacja dokumentacji badania w Ośrodku na poziomie pozwalającym na rzetelną weryfikację danych źródłowych, w tym 100% weryfikację kryteriów włączenia i wyłączenia badania oraz wszystkich danych dotyczących bezpieczeństwa każdego pacjenta uczestniczącego w badaniu; </w:t>
      </w:r>
    </w:p>
    <w:p w:rsidR="007B7000" w:rsidRPr="00C23F04" w:rsidRDefault="00A21BFD" w:rsidP="00876397">
      <w:pPr>
        <w:pStyle w:val="Style"/>
        <w:numPr>
          <w:ilvl w:val="0"/>
          <w:numId w:val="7"/>
        </w:numPr>
        <w:spacing w:line="269" w:lineRule="exact"/>
        <w:ind w:left="426"/>
        <w:jc w:val="both"/>
        <w:textAlignment w:val="baseline"/>
      </w:pPr>
      <w:r w:rsidRPr="00C23F04">
        <w:rPr>
          <w:rFonts w:eastAsia="Arial"/>
        </w:rPr>
        <w:t xml:space="preserve">Utrzymywanie bieżącego kontaktu z ośrodkiem (w tym kontakt telefoniczny, mailowy); </w:t>
      </w:r>
    </w:p>
    <w:p w:rsidR="007B7000" w:rsidRPr="00C23F04" w:rsidRDefault="00A21BFD" w:rsidP="00876397">
      <w:pPr>
        <w:pStyle w:val="Style"/>
        <w:numPr>
          <w:ilvl w:val="0"/>
          <w:numId w:val="7"/>
        </w:numPr>
        <w:spacing w:line="269" w:lineRule="exact"/>
        <w:ind w:left="426"/>
        <w:jc w:val="both"/>
        <w:textAlignment w:val="baseline"/>
      </w:pPr>
      <w:r w:rsidRPr="00C23F04">
        <w:rPr>
          <w:rFonts w:eastAsia="Arial"/>
        </w:rPr>
        <w:t xml:space="preserve">Bieżące rozwiązywanie zapytań dla ośrodka w bazie danych; </w:t>
      </w:r>
    </w:p>
    <w:p w:rsidR="007B7000" w:rsidRPr="00C23F04" w:rsidRDefault="00A05990" w:rsidP="00876397">
      <w:pPr>
        <w:pStyle w:val="Style"/>
        <w:numPr>
          <w:ilvl w:val="0"/>
          <w:numId w:val="7"/>
        </w:numPr>
        <w:spacing w:before="9" w:line="269" w:lineRule="exact"/>
        <w:ind w:left="426"/>
        <w:jc w:val="both"/>
        <w:textAlignment w:val="baseline"/>
      </w:pPr>
      <w:r>
        <w:rPr>
          <w:rFonts w:eastAsia="Arial"/>
        </w:rPr>
        <w:t>W porozumieniu z Zamawiającym wsparcie w p</w:t>
      </w:r>
      <w:r w:rsidR="00A21BFD" w:rsidRPr="00C23F04">
        <w:rPr>
          <w:rFonts w:eastAsia="Arial"/>
        </w:rPr>
        <w:t>rowadzeni</w:t>
      </w:r>
      <w:r>
        <w:rPr>
          <w:rFonts w:eastAsia="Arial"/>
        </w:rPr>
        <w:t>u</w:t>
      </w:r>
      <w:r w:rsidR="00A21BFD" w:rsidRPr="00C23F04">
        <w:rPr>
          <w:rFonts w:eastAsia="Arial"/>
        </w:rPr>
        <w:t xml:space="preserve"> kompleksowej gospodarki lekiem badanym w tym m.in. zapewnienie produktu badanego zgodnie z postępem rekrutacji w ośrodku, utrzymywanie pełnej, niezbędnej i aktualnej dokumentacji związanej z gospodarką produktem badanym m.in. wytwarzaniem, pakowaniem, transportem, badaniem serii, oceną zgodności dokumentacji z zatwierdzonym skróconym IMPD oraz inną dokumentacją badania klinicznego; wystawienie certyfikatu serii, zwolnienie serii do badania klinicznego; </w:t>
      </w:r>
    </w:p>
    <w:p w:rsidR="007B7000" w:rsidRPr="00C23F04" w:rsidRDefault="00A21BFD" w:rsidP="00876397">
      <w:pPr>
        <w:pStyle w:val="Style"/>
        <w:numPr>
          <w:ilvl w:val="0"/>
          <w:numId w:val="7"/>
        </w:numPr>
        <w:spacing w:before="9" w:line="269" w:lineRule="exact"/>
        <w:ind w:left="426"/>
        <w:jc w:val="both"/>
        <w:textAlignment w:val="baseline"/>
      </w:pPr>
      <w:r w:rsidRPr="00C23F04">
        <w:rPr>
          <w:rFonts w:eastAsia="Arial"/>
        </w:rPr>
        <w:t xml:space="preserve">Bieżące administrowanie bazą danych badania (min. sprawdzanie poprawności danych, rozwiązywanie rozbieżności i zapytań, kodowanie zdarzeń niepożądanych i leczenia dodatkowego); </w:t>
      </w:r>
    </w:p>
    <w:p w:rsidR="007B7000" w:rsidRPr="00C23F04" w:rsidRDefault="00A21BFD" w:rsidP="00876397">
      <w:pPr>
        <w:pStyle w:val="Style"/>
        <w:numPr>
          <w:ilvl w:val="0"/>
          <w:numId w:val="7"/>
        </w:numPr>
        <w:spacing w:before="9" w:line="269" w:lineRule="exact"/>
        <w:ind w:left="426"/>
        <w:jc w:val="both"/>
        <w:textAlignment w:val="baseline"/>
      </w:pPr>
      <w:bookmarkStart w:id="3" w:name="_Hlk36814333"/>
      <w:r w:rsidRPr="00C23F04">
        <w:rPr>
          <w:rFonts w:eastAsia="Arial"/>
        </w:rPr>
        <w:t xml:space="preserve">Monitoring bezpieczeństwa pacjentów uczestniczących w badaniu i monitoring medyczny obejmujący m.in. </w:t>
      </w:r>
      <w:r w:rsidRPr="00C23F04">
        <w:rPr>
          <w:w w:val="85"/>
        </w:rPr>
        <w:t xml:space="preserve"> </w:t>
      </w:r>
      <w:r w:rsidRPr="00C23F04">
        <w:rPr>
          <w:rFonts w:eastAsia="Arial"/>
        </w:rPr>
        <w:t xml:space="preserve">zgłaszane zdarzenia niepożądane, w tym poważne zdarzenia niepożądane (SAE), </w:t>
      </w:r>
      <w:r w:rsidRPr="00C23F04">
        <w:rPr>
          <w:w w:val="85"/>
        </w:rPr>
        <w:t xml:space="preserve">(i) </w:t>
      </w:r>
      <w:r w:rsidRPr="00C23F04">
        <w:rPr>
          <w:rFonts w:eastAsia="Arial"/>
        </w:rPr>
        <w:t xml:space="preserve">odbieranie formularzy SAE od zespołów badawczych, </w:t>
      </w:r>
      <w:r w:rsidRPr="00C23F04">
        <w:rPr>
          <w:w w:val="91"/>
        </w:rPr>
        <w:t xml:space="preserve">(ii) </w:t>
      </w:r>
      <w:r w:rsidRPr="00C23F04">
        <w:rPr>
          <w:rFonts w:eastAsia="Arial"/>
        </w:rPr>
        <w:t xml:space="preserve">przeglądanie w celu </w:t>
      </w:r>
      <w:r w:rsidRPr="00C23F04">
        <w:rPr>
          <w:rFonts w:eastAsia="Arial"/>
        </w:rPr>
        <w:lastRenderedPageBreak/>
        <w:t xml:space="preserve">uzyskania ich kompletności i spójności, </w:t>
      </w:r>
      <w:r w:rsidRPr="00DA1EAA">
        <w:rPr>
          <w:rFonts w:eastAsia="Arial"/>
        </w:rPr>
        <w:t>(i</w:t>
      </w:r>
      <w:r w:rsidR="007F7429" w:rsidRPr="00DA1EAA">
        <w:rPr>
          <w:rFonts w:eastAsia="Arial"/>
        </w:rPr>
        <w:t>ii</w:t>
      </w:r>
      <w:r w:rsidRPr="00DA1EAA">
        <w:rPr>
          <w:rFonts w:eastAsia="Arial"/>
        </w:rPr>
        <w:t>)</w:t>
      </w:r>
      <w:r w:rsidRPr="00C23F04">
        <w:rPr>
          <w:rFonts w:eastAsia="Arial"/>
          <w:b/>
        </w:rPr>
        <w:t xml:space="preserve"> </w:t>
      </w:r>
      <w:r w:rsidRPr="00C23F04">
        <w:rPr>
          <w:rFonts w:eastAsia="Arial"/>
        </w:rPr>
        <w:t>kontakt z badaczem w celu uzyskania brakujących informacji i/lub informacji wymagających wyjaśnienia,</w:t>
      </w:r>
      <w:r w:rsidRPr="007F7429">
        <w:rPr>
          <w:rFonts w:eastAsia="Arial"/>
        </w:rPr>
        <w:t xml:space="preserve"> </w:t>
      </w:r>
      <w:r w:rsidRPr="00DA1EAA">
        <w:rPr>
          <w:rFonts w:eastAsia="Arial"/>
        </w:rPr>
        <w:t>(</w:t>
      </w:r>
      <w:r w:rsidR="007F7429" w:rsidRPr="00DA1EAA">
        <w:rPr>
          <w:rFonts w:eastAsia="Arial"/>
        </w:rPr>
        <w:t>i</w:t>
      </w:r>
      <w:r w:rsidRPr="00DA1EAA">
        <w:rPr>
          <w:rFonts w:eastAsia="Arial"/>
        </w:rPr>
        <w:t>v)</w:t>
      </w:r>
      <w:r w:rsidRPr="00C23F04">
        <w:rPr>
          <w:rFonts w:eastAsia="Arial"/>
          <w:b/>
        </w:rPr>
        <w:t xml:space="preserve"> </w:t>
      </w:r>
      <w:r w:rsidRPr="00C23F04">
        <w:rPr>
          <w:rFonts w:eastAsia="Arial"/>
        </w:rPr>
        <w:t xml:space="preserve">przeprowadzenie </w:t>
      </w:r>
      <w:r w:rsidR="00273D35">
        <w:rPr>
          <w:rFonts w:eastAsia="Arial"/>
        </w:rPr>
        <w:t>analizy/</w:t>
      </w:r>
      <w:r w:rsidRPr="00C23F04">
        <w:rPr>
          <w:rFonts w:eastAsia="Arial"/>
        </w:rPr>
        <w:t xml:space="preserve">oceny </w:t>
      </w:r>
      <w:r w:rsidR="00273D35">
        <w:rPr>
          <w:rFonts w:eastAsia="Arial"/>
        </w:rPr>
        <w:t xml:space="preserve">zgłoszenia </w:t>
      </w:r>
      <w:r w:rsidRPr="00C23F04">
        <w:rPr>
          <w:rFonts w:eastAsia="Arial"/>
        </w:rPr>
        <w:t>/</w:t>
      </w:r>
      <w:r w:rsidRPr="009651D4">
        <w:rPr>
          <w:rFonts w:eastAsia="Arial"/>
        </w:rPr>
        <w:t xml:space="preserve"> SAE</w:t>
      </w:r>
      <w:r w:rsidRPr="004176A8">
        <w:rPr>
          <w:rFonts w:eastAsia="Arial"/>
        </w:rPr>
        <w:t xml:space="preserve"> </w:t>
      </w:r>
      <w:r w:rsidRPr="00C23F04">
        <w:rPr>
          <w:rFonts w:eastAsia="Arial"/>
        </w:rPr>
        <w:t>i oceny związku przyczynowego SAE z produktem badania oraz zapewnienie monitorowania medycznego</w:t>
      </w:r>
      <w:r w:rsidR="00273D35">
        <w:rPr>
          <w:rFonts w:eastAsia="Arial"/>
        </w:rPr>
        <w:t xml:space="preserve">, (v) </w:t>
      </w:r>
      <w:r w:rsidR="00CD6893">
        <w:rPr>
          <w:rFonts w:eastAsia="Arial"/>
        </w:rPr>
        <w:t xml:space="preserve">kodowanie i terminowe </w:t>
      </w:r>
      <w:r w:rsidR="00273D35">
        <w:rPr>
          <w:rFonts w:eastAsia="Arial"/>
        </w:rPr>
        <w:t xml:space="preserve">zgłaszanie raportów SAE do bazy </w:t>
      </w:r>
      <w:proofErr w:type="spellStart"/>
      <w:r w:rsidR="00273D35">
        <w:rPr>
          <w:rFonts w:eastAsia="Arial"/>
        </w:rPr>
        <w:t>Pharmacovigilance</w:t>
      </w:r>
      <w:proofErr w:type="spellEnd"/>
      <w:r w:rsidR="00273D35">
        <w:rPr>
          <w:rFonts w:eastAsia="Arial"/>
        </w:rPr>
        <w:t xml:space="preserve"> oraz do URPL i KE</w:t>
      </w:r>
      <w:r w:rsidR="00CD6893">
        <w:rPr>
          <w:rFonts w:eastAsia="Arial"/>
        </w:rPr>
        <w:t xml:space="preserve"> zgodnie z wymaganiami</w:t>
      </w:r>
      <w:r w:rsidRPr="00C23F04">
        <w:rPr>
          <w:rFonts w:eastAsia="Arial"/>
        </w:rPr>
        <w:t xml:space="preserve">; </w:t>
      </w:r>
    </w:p>
    <w:bookmarkEnd w:id="3"/>
    <w:p w:rsidR="007B7000" w:rsidRPr="00C23F04" w:rsidRDefault="00A21BFD" w:rsidP="00876397">
      <w:pPr>
        <w:pStyle w:val="Style"/>
        <w:numPr>
          <w:ilvl w:val="0"/>
          <w:numId w:val="7"/>
        </w:numPr>
        <w:spacing w:line="269" w:lineRule="exact"/>
        <w:ind w:left="426"/>
        <w:jc w:val="both"/>
        <w:textAlignment w:val="baseline"/>
      </w:pPr>
      <w:r w:rsidRPr="00C23F04">
        <w:rPr>
          <w:rFonts w:eastAsia="Arial"/>
        </w:rPr>
        <w:t>Przygotowanie</w:t>
      </w:r>
      <w:r w:rsidR="00CD6893">
        <w:rPr>
          <w:rFonts w:eastAsia="Arial"/>
        </w:rPr>
        <w:t xml:space="preserve"> okresowych </w:t>
      </w:r>
      <w:r w:rsidRPr="00C23F04">
        <w:rPr>
          <w:rFonts w:eastAsia="Arial"/>
        </w:rPr>
        <w:t xml:space="preserve">raportów </w:t>
      </w:r>
      <w:r w:rsidR="00CD6893">
        <w:rPr>
          <w:rFonts w:eastAsia="Arial"/>
        </w:rPr>
        <w:t>nt.</w:t>
      </w:r>
      <w:r w:rsidRPr="00C23F04">
        <w:rPr>
          <w:rFonts w:eastAsia="Arial"/>
        </w:rPr>
        <w:t xml:space="preserve"> bezpieczeństw</w:t>
      </w:r>
      <w:r w:rsidR="00CD6893">
        <w:rPr>
          <w:rFonts w:eastAsia="Arial"/>
        </w:rPr>
        <w:t xml:space="preserve">a pacjentów oraz przesyłanie ich </w:t>
      </w:r>
      <w:r w:rsidRPr="00C23F04">
        <w:rPr>
          <w:rFonts w:eastAsia="Arial"/>
        </w:rPr>
        <w:t xml:space="preserve"> do odpowiedzialnych organów regulacyjnych oraz komisji bioetycznych; </w:t>
      </w:r>
    </w:p>
    <w:p w:rsidR="007B7000" w:rsidRPr="00C23F04" w:rsidRDefault="00A21BFD" w:rsidP="00876397">
      <w:pPr>
        <w:pStyle w:val="Style"/>
        <w:numPr>
          <w:ilvl w:val="0"/>
          <w:numId w:val="7"/>
        </w:numPr>
        <w:spacing w:line="269" w:lineRule="exact"/>
        <w:ind w:left="426"/>
        <w:jc w:val="both"/>
        <w:textAlignment w:val="baseline"/>
      </w:pPr>
      <w:r w:rsidRPr="00C23F04">
        <w:rPr>
          <w:rFonts w:eastAsia="Arial"/>
        </w:rPr>
        <w:t xml:space="preserve">Przygotowanie </w:t>
      </w:r>
      <w:r w:rsidR="00CD6893">
        <w:rPr>
          <w:rFonts w:eastAsia="Arial"/>
        </w:rPr>
        <w:t>rocznego</w:t>
      </w:r>
      <w:r w:rsidRPr="00C23F04">
        <w:rPr>
          <w:rFonts w:eastAsia="Arial"/>
        </w:rPr>
        <w:t xml:space="preserve"> </w:t>
      </w:r>
      <w:r w:rsidR="00CD6893">
        <w:rPr>
          <w:rFonts w:eastAsia="Arial"/>
        </w:rPr>
        <w:t>sprawozdania o postępie badania klinicznego</w:t>
      </w:r>
      <w:r w:rsidRPr="00C23F04">
        <w:rPr>
          <w:rFonts w:eastAsia="Arial"/>
        </w:rPr>
        <w:t xml:space="preserve">; </w:t>
      </w:r>
    </w:p>
    <w:p w:rsidR="007B7000" w:rsidRPr="001150EC" w:rsidRDefault="00A21BFD" w:rsidP="00876397">
      <w:pPr>
        <w:pStyle w:val="Style"/>
        <w:numPr>
          <w:ilvl w:val="0"/>
          <w:numId w:val="7"/>
        </w:numPr>
        <w:spacing w:line="269" w:lineRule="exact"/>
        <w:ind w:left="426"/>
        <w:jc w:val="both"/>
        <w:textAlignment w:val="baseline"/>
        <w:rPr>
          <w:color w:val="000000" w:themeColor="text1"/>
        </w:rPr>
      </w:pPr>
      <w:r w:rsidRPr="00C23F04">
        <w:rPr>
          <w:rFonts w:eastAsia="Arial"/>
        </w:rPr>
        <w:t xml:space="preserve">Przygotowanie i przesyłanie (dystrybucja) powiadomień do badaczy oraz do </w:t>
      </w:r>
      <w:r w:rsidR="006353C4">
        <w:rPr>
          <w:rFonts w:eastAsia="Arial"/>
        </w:rPr>
        <w:t xml:space="preserve">Sponsora </w:t>
      </w:r>
      <w:r w:rsidR="006353C4" w:rsidRPr="001150EC">
        <w:rPr>
          <w:rFonts w:eastAsia="Arial"/>
          <w:color w:val="000000" w:themeColor="text1"/>
        </w:rPr>
        <w:t>(</w:t>
      </w:r>
      <w:r w:rsidRPr="001150EC">
        <w:rPr>
          <w:rFonts w:eastAsia="Arial"/>
          <w:color w:val="000000" w:themeColor="text1"/>
        </w:rPr>
        <w:t>POLATOM</w:t>
      </w:r>
      <w:r w:rsidR="006353C4" w:rsidRPr="001150EC">
        <w:rPr>
          <w:rFonts w:eastAsia="Arial"/>
          <w:color w:val="000000" w:themeColor="text1"/>
        </w:rPr>
        <w:t xml:space="preserve">) </w:t>
      </w:r>
      <w:r w:rsidRPr="001150EC">
        <w:rPr>
          <w:rFonts w:eastAsia="Arial"/>
          <w:color w:val="000000" w:themeColor="text1"/>
        </w:rPr>
        <w:t xml:space="preserve"> raportów o bezpieczeństwie; </w:t>
      </w:r>
    </w:p>
    <w:p w:rsidR="007B7000" w:rsidRPr="001150EC" w:rsidRDefault="0014487D" w:rsidP="00876397">
      <w:pPr>
        <w:pStyle w:val="Style"/>
        <w:numPr>
          <w:ilvl w:val="0"/>
          <w:numId w:val="7"/>
        </w:numPr>
        <w:spacing w:line="269" w:lineRule="exact"/>
        <w:ind w:left="426"/>
        <w:jc w:val="both"/>
        <w:textAlignment w:val="baseline"/>
        <w:rPr>
          <w:color w:val="000000" w:themeColor="text1"/>
        </w:rPr>
      </w:pPr>
      <w:r w:rsidRPr="001150EC">
        <w:rPr>
          <w:rFonts w:eastAsia="Arial"/>
          <w:color w:val="000000" w:themeColor="text1"/>
        </w:rPr>
        <w:t>Bieżąca realizacja planu zapewni</w:t>
      </w:r>
      <w:r w:rsidR="00A05990" w:rsidRPr="001150EC">
        <w:rPr>
          <w:rFonts w:eastAsia="Arial"/>
          <w:color w:val="000000" w:themeColor="text1"/>
        </w:rPr>
        <w:t>e</w:t>
      </w:r>
      <w:r w:rsidRPr="001150EC">
        <w:rPr>
          <w:rFonts w:eastAsia="Arial"/>
          <w:color w:val="000000" w:themeColor="text1"/>
        </w:rPr>
        <w:t>nia jakości badania - w tym min. 1 dwudniowy audyt niezależny badania obejmujący Sponsora (POLATOM) CRO oraz Ośrodek Badawczy</w:t>
      </w:r>
      <w:r w:rsidR="00A05990" w:rsidRPr="001150EC">
        <w:rPr>
          <w:rFonts w:eastAsia="Arial"/>
          <w:color w:val="000000" w:themeColor="text1"/>
        </w:rPr>
        <w:t xml:space="preserve"> w tym zakresie</w:t>
      </w:r>
      <w:r w:rsidR="00A21BFD" w:rsidRPr="001150EC">
        <w:rPr>
          <w:rFonts w:eastAsia="Arial"/>
          <w:color w:val="000000" w:themeColor="text1"/>
        </w:rPr>
        <w:t xml:space="preserve">; </w:t>
      </w:r>
    </w:p>
    <w:p w:rsidR="007B7000" w:rsidRPr="00C23F04" w:rsidRDefault="00A21BFD" w:rsidP="00876397">
      <w:pPr>
        <w:pStyle w:val="Style"/>
        <w:numPr>
          <w:ilvl w:val="0"/>
          <w:numId w:val="7"/>
        </w:numPr>
        <w:spacing w:line="269" w:lineRule="exact"/>
        <w:ind w:left="426"/>
        <w:jc w:val="both"/>
        <w:textAlignment w:val="baseline"/>
      </w:pPr>
      <w:r w:rsidRPr="001150EC">
        <w:rPr>
          <w:rFonts w:eastAsia="Arial"/>
          <w:color w:val="000000" w:themeColor="text1"/>
        </w:rPr>
        <w:t xml:space="preserve">Bieżąca komunikacja </w:t>
      </w:r>
      <w:r w:rsidRPr="00C23F04">
        <w:rPr>
          <w:rFonts w:eastAsia="Arial"/>
        </w:rPr>
        <w:t xml:space="preserve">z URPL oraz Komisją Bioetyczną; </w:t>
      </w:r>
    </w:p>
    <w:p w:rsidR="007B7000" w:rsidRPr="00C23F04" w:rsidRDefault="00A21BFD" w:rsidP="00876397">
      <w:pPr>
        <w:pStyle w:val="Style"/>
        <w:numPr>
          <w:ilvl w:val="0"/>
          <w:numId w:val="7"/>
        </w:numPr>
        <w:spacing w:line="269" w:lineRule="exact"/>
        <w:ind w:left="426"/>
        <w:jc w:val="both"/>
        <w:textAlignment w:val="baseline"/>
      </w:pPr>
      <w:r w:rsidRPr="00C23F04">
        <w:rPr>
          <w:rFonts w:eastAsia="Arial"/>
        </w:rPr>
        <w:t xml:space="preserve">Bieżące monitorowanie bazy danych; </w:t>
      </w:r>
    </w:p>
    <w:p w:rsidR="007B7000" w:rsidRPr="00C23F04" w:rsidRDefault="00A21BFD" w:rsidP="00876397">
      <w:pPr>
        <w:pStyle w:val="Style"/>
        <w:numPr>
          <w:ilvl w:val="0"/>
          <w:numId w:val="7"/>
        </w:numPr>
        <w:spacing w:line="269" w:lineRule="exact"/>
        <w:ind w:left="426"/>
        <w:jc w:val="both"/>
        <w:textAlignment w:val="baseline"/>
      </w:pPr>
      <w:r w:rsidRPr="00C23F04">
        <w:rPr>
          <w:rFonts w:eastAsia="Arial"/>
        </w:rPr>
        <w:t xml:space="preserve">Okresowa analiza statystyczna bazy danych; </w:t>
      </w:r>
    </w:p>
    <w:p w:rsidR="0018366D" w:rsidRPr="00C23F04" w:rsidRDefault="00A21BFD" w:rsidP="00876397">
      <w:pPr>
        <w:pStyle w:val="Style"/>
        <w:numPr>
          <w:ilvl w:val="0"/>
          <w:numId w:val="7"/>
        </w:numPr>
        <w:spacing w:line="0" w:lineRule="atLeast"/>
        <w:ind w:left="426"/>
        <w:jc w:val="both"/>
        <w:textAlignment w:val="baseline"/>
      </w:pPr>
      <w:r w:rsidRPr="00C23F04">
        <w:rPr>
          <w:rFonts w:eastAsia="Arial"/>
        </w:rPr>
        <w:t xml:space="preserve">Bieżąca współpraca z organizacjami, instytucjami zaangażowanymi w prowadzenie badania w tym laboratorium centralne i laboratoria lokalne; </w:t>
      </w:r>
    </w:p>
    <w:p w:rsidR="007B7000" w:rsidRPr="00C23F04" w:rsidRDefault="00A21BFD" w:rsidP="00876397">
      <w:pPr>
        <w:pStyle w:val="Style"/>
        <w:numPr>
          <w:ilvl w:val="0"/>
          <w:numId w:val="7"/>
        </w:numPr>
        <w:spacing w:line="269" w:lineRule="exact"/>
        <w:ind w:left="426"/>
        <w:jc w:val="both"/>
        <w:textAlignment w:val="baseline"/>
      </w:pPr>
      <w:r w:rsidRPr="00C23F04">
        <w:rPr>
          <w:rFonts w:eastAsia="Arial"/>
        </w:rPr>
        <w:t xml:space="preserve">Bieżące administrowanie realizacją Usługi obejmujące wszystkie działania niezbędne do utrzymania Projektu w określonych terminach, jakości i budżecie; </w:t>
      </w:r>
    </w:p>
    <w:p w:rsidR="007B7000" w:rsidRPr="00C23F04" w:rsidRDefault="00A21BFD" w:rsidP="00876397">
      <w:pPr>
        <w:pStyle w:val="Style"/>
        <w:numPr>
          <w:ilvl w:val="0"/>
          <w:numId w:val="7"/>
        </w:numPr>
        <w:spacing w:line="269" w:lineRule="exact"/>
        <w:ind w:left="426"/>
        <w:jc w:val="both"/>
        <w:textAlignment w:val="baseline"/>
      </w:pPr>
      <w:r w:rsidRPr="00C23F04">
        <w:rPr>
          <w:rFonts w:eastAsia="Arial"/>
        </w:rPr>
        <w:t xml:space="preserve">Bieżąca realizacja Projektu według wszystkich standardowych procedur postępowania oraz planów projektowych; </w:t>
      </w:r>
    </w:p>
    <w:p w:rsidR="007B7000" w:rsidRPr="00C23F04" w:rsidRDefault="00A21BFD" w:rsidP="00876397">
      <w:pPr>
        <w:pStyle w:val="Style"/>
        <w:numPr>
          <w:ilvl w:val="0"/>
          <w:numId w:val="7"/>
        </w:numPr>
        <w:spacing w:line="269" w:lineRule="exact"/>
        <w:ind w:left="426"/>
        <w:jc w:val="both"/>
        <w:textAlignment w:val="baseline"/>
      </w:pPr>
      <w:r w:rsidRPr="00C23F04">
        <w:rPr>
          <w:rFonts w:eastAsia="Arial"/>
        </w:rPr>
        <w:t xml:space="preserve">Przygotowanie i przesyłanie </w:t>
      </w:r>
      <w:bookmarkStart w:id="4" w:name="_Hlk36815220"/>
      <w:r w:rsidRPr="00C23F04">
        <w:rPr>
          <w:rFonts w:eastAsia="Arial"/>
        </w:rPr>
        <w:t xml:space="preserve">miesięcznego sprawozdania do </w:t>
      </w:r>
      <w:r w:rsidR="0014487D">
        <w:rPr>
          <w:rFonts w:eastAsia="Arial"/>
        </w:rPr>
        <w:t>Sponsora (</w:t>
      </w:r>
      <w:r w:rsidRPr="00C23F04">
        <w:rPr>
          <w:rFonts w:eastAsia="Arial"/>
        </w:rPr>
        <w:t>POLATOM</w:t>
      </w:r>
      <w:r w:rsidR="0014487D">
        <w:rPr>
          <w:rFonts w:eastAsia="Arial"/>
        </w:rPr>
        <w:t xml:space="preserve">) </w:t>
      </w:r>
      <w:r w:rsidRPr="00C23F04">
        <w:rPr>
          <w:rFonts w:eastAsia="Arial"/>
        </w:rPr>
        <w:t>z przebiegu realizowanych procesów</w:t>
      </w:r>
      <w:r w:rsidRPr="007F7429">
        <w:rPr>
          <w:rFonts w:eastAsia="Arial"/>
        </w:rPr>
        <w:t xml:space="preserve"> </w:t>
      </w:r>
      <w:r w:rsidRPr="00DA1EAA">
        <w:t>w</w:t>
      </w:r>
      <w:r w:rsidRPr="00C23F04">
        <w:rPr>
          <w:b/>
        </w:rPr>
        <w:t xml:space="preserve"> </w:t>
      </w:r>
      <w:r w:rsidRPr="00C23F04">
        <w:rPr>
          <w:rFonts w:eastAsia="Arial"/>
        </w:rPr>
        <w:t>Projekcie</w:t>
      </w:r>
      <w:bookmarkEnd w:id="4"/>
      <w:r w:rsidRPr="00C23F04">
        <w:rPr>
          <w:rFonts w:eastAsia="Arial"/>
        </w:rPr>
        <w:t xml:space="preserve">. </w:t>
      </w:r>
    </w:p>
    <w:p w:rsidR="007B7000" w:rsidRPr="00C23F04" w:rsidRDefault="007B7000" w:rsidP="00C77C07">
      <w:pPr>
        <w:pStyle w:val="Style"/>
        <w:spacing w:line="260" w:lineRule="atLeast"/>
        <w:jc w:val="both"/>
      </w:pPr>
    </w:p>
    <w:p w:rsidR="00EB4477" w:rsidRDefault="00A21BFD" w:rsidP="00C77C07">
      <w:pPr>
        <w:pStyle w:val="Style"/>
        <w:spacing w:line="264" w:lineRule="exact"/>
        <w:ind w:right="840"/>
        <w:jc w:val="both"/>
        <w:textAlignment w:val="baseline"/>
        <w:rPr>
          <w:rFonts w:eastAsia="Arial"/>
          <w:b/>
        </w:rPr>
      </w:pPr>
      <w:r w:rsidRPr="00C23F04">
        <w:rPr>
          <w:rFonts w:eastAsia="Arial"/>
          <w:b/>
        </w:rPr>
        <w:t xml:space="preserve">Etap IV - Przeprowadzenie analizy statystycznej wyników badań fazy klinicznej. </w:t>
      </w:r>
    </w:p>
    <w:p w:rsidR="00EB4477" w:rsidRDefault="00EB4477" w:rsidP="00C77C07">
      <w:pPr>
        <w:pStyle w:val="Style"/>
        <w:spacing w:line="264" w:lineRule="exact"/>
        <w:ind w:right="840"/>
        <w:jc w:val="both"/>
        <w:textAlignment w:val="baseline"/>
        <w:rPr>
          <w:rFonts w:eastAsia="Arial"/>
          <w:b/>
        </w:rPr>
      </w:pPr>
    </w:p>
    <w:p w:rsidR="007B7000" w:rsidRPr="00C23F04" w:rsidRDefault="00A21BFD" w:rsidP="00C77C07">
      <w:pPr>
        <w:pStyle w:val="Style"/>
        <w:spacing w:line="264" w:lineRule="exact"/>
        <w:ind w:right="840"/>
        <w:jc w:val="both"/>
        <w:textAlignment w:val="baseline"/>
      </w:pPr>
      <w:r w:rsidRPr="00C23F04">
        <w:rPr>
          <w:rFonts w:eastAsia="Arial"/>
        </w:rPr>
        <w:t xml:space="preserve">Zakres prac w ramach Etapu IV obejmuje: </w:t>
      </w:r>
    </w:p>
    <w:p w:rsidR="007B7000" w:rsidRPr="00C23F04" w:rsidRDefault="00A21BFD" w:rsidP="009A72BF">
      <w:pPr>
        <w:pStyle w:val="Style"/>
        <w:numPr>
          <w:ilvl w:val="0"/>
          <w:numId w:val="8"/>
        </w:numPr>
        <w:spacing w:line="269" w:lineRule="exact"/>
        <w:ind w:left="426"/>
        <w:jc w:val="both"/>
        <w:textAlignment w:val="baseline"/>
      </w:pPr>
      <w:r w:rsidRPr="00C23F04">
        <w:rPr>
          <w:rFonts w:eastAsia="Arial"/>
        </w:rPr>
        <w:t xml:space="preserve">Zamkniecie bazy danych oraz analiza danych z badania; </w:t>
      </w:r>
    </w:p>
    <w:p w:rsidR="007B7000" w:rsidRPr="00C23F04" w:rsidRDefault="00A21BFD" w:rsidP="009A72BF">
      <w:pPr>
        <w:pStyle w:val="Style"/>
        <w:numPr>
          <w:ilvl w:val="0"/>
          <w:numId w:val="8"/>
        </w:numPr>
        <w:spacing w:line="269" w:lineRule="exact"/>
        <w:ind w:left="426"/>
        <w:jc w:val="both"/>
        <w:textAlignment w:val="baseline"/>
      </w:pPr>
      <w:r w:rsidRPr="00C23F04">
        <w:rPr>
          <w:rFonts w:eastAsia="Arial"/>
        </w:rPr>
        <w:t>Przygotowanie raportu końcowego badania i przekazanie odnośnym władzom</w:t>
      </w:r>
      <w:r w:rsidR="00EC5088">
        <w:rPr>
          <w:rFonts w:eastAsia="Arial"/>
        </w:rPr>
        <w:t xml:space="preserve"> wraz z zawiadomieniem o zakończeniu badania</w:t>
      </w:r>
      <w:r w:rsidRPr="00C23F04">
        <w:rPr>
          <w:rFonts w:eastAsia="Arial"/>
        </w:rPr>
        <w:t xml:space="preserve">; </w:t>
      </w:r>
    </w:p>
    <w:p w:rsidR="007B7000" w:rsidRPr="00C23F04" w:rsidRDefault="00A21BFD" w:rsidP="009A72BF">
      <w:pPr>
        <w:pStyle w:val="Style"/>
        <w:numPr>
          <w:ilvl w:val="0"/>
          <w:numId w:val="8"/>
        </w:numPr>
        <w:spacing w:line="274" w:lineRule="exact"/>
        <w:ind w:left="426"/>
        <w:jc w:val="both"/>
        <w:textAlignment w:val="baseline"/>
      </w:pPr>
      <w:r w:rsidRPr="00C23F04">
        <w:rPr>
          <w:rFonts w:eastAsia="Arial"/>
        </w:rPr>
        <w:t xml:space="preserve">Współudział w napisaniu publikacji z badania; </w:t>
      </w:r>
    </w:p>
    <w:p w:rsidR="007B7000" w:rsidRPr="00EB4477" w:rsidRDefault="00A21BFD" w:rsidP="009A72BF">
      <w:pPr>
        <w:pStyle w:val="Style"/>
        <w:numPr>
          <w:ilvl w:val="0"/>
          <w:numId w:val="8"/>
        </w:numPr>
        <w:spacing w:line="269" w:lineRule="exact"/>
        <w:ind w:left="426"/>
        <w:jc w:val="both"/>
        <w:textAlignment w:val="baseline"/>
      </w:pPr>
      <w:r w:rsidRPr="00C23F04">
        <w:rPr>
          <w:rFonts w:eastAsia="Arial"/>
        </w:rPr>
        <w:t xml:space="preserve">Przygotowanie dokumentacji badania do archiwizacji. </w:t>
      </w:r>
    </w:p>
    <w:p w:rsidR="00EB4477" w:rsidRDefault="00EB4477" w:rsidP="00C77C07">
      <w:pPr>
        <w:pStyle w:val="Style"/>
        <w:spacing w:line="269" w:lineRule="exact"/>
        <w:jc w:val="both"/>
        <w:textAlignment w:val="baseline"/>
      </w:pPr>
    </w:p>
    <w:p w:rsidR="00436141" w:rsidRDefault="00D3785C" w:rsidP="00C77C07">
      <w:pPr>
        <w:pStyle w:val="Style"/>
        <w:spacing w:line="269" w:lineRule="exact"/>
        <w:jc w:val="both"/>
        <w:textAlignment w:val="baseline"/>
        <w:rPr>
          <w:b/>
        </w:rPr>
      </w:pPr>
      <w:r>
        <w:rPr>
          <w:b/>
        </w:rPr>
        <w:t>O</w:t>
      </w:r>
      <w:r w:rsidR="00436141">
        <w:rPr>
          <w:b/>
        </w:rPr>
        <w:t>raz</w:t>
      </w:r>
    </w:p>
    <w:p w:rsidR="00D3785C" w:rsidRDefault="00D3785C" w:rsidP="00C77C07">
      <w:pPr>
        <w:pStyle w:val="Style"/>
        <w:spacing w:line="269" w:lineRule="exact"/>
        <w:jc w:val="both"/>
        <w:textAlignment w:val="baseline"/>
        <w:rPr>
          <w:b/>
        </w:rPr>
      </w:pPr>
    </w:p>
    <w:p w:rsidR="00436141" w:rsidRDefault="00F46D37" w:rsidP="00C77C07">
      <w:pPr>
        <w:pStyle w:val="Style"/>
        <w:spacing w:line="269" w:lineRule="exact"/>
        <w:jc w:val="both"/>
        <w:textAlignment w:val="baseline"/>
        <w:rPr>
          <w:b/>
        </w:rPr>
      </w:pPr>
      <w:r>
        <w:rPr>
          <w:b/>
        </w:rPr>
        <w:t>Inne działania:</w:t>
      </w:r>
    </w:p>
    <w:p w:rsidR="00436141" w:rsidRPr="00E058C0" w:rsidRDefault="00436141" w:rsidP="009A72BF">
      <w:pPr>
        <w:pStyle w:val="Style"/>
        <w:numPr>
          <w:ilvl w:val="0"/>
          <w:numId w:val="1"/>
        </w:numPr>
        <w:spacing w:before="4" w:line="264" w:lineRule="exact"/>
        <w:ind w:left="355" w:hanging="355"/>
        <w:jc w:val="both"/>
        <w:textAlignment w:val="baseline"/>
      </w:pPr>
      <w:r w:rsidRPr="00E058C0">
        <w:rPr>
          <w:rFonts w:eastAsia="Arial"/>
        </w:rPr>
        <w:t xml:space="preserve">Wykonawca zapewni Hosting, administrację serwerem i bezpieczeństwem. </w:t>
      </w:r>
    </w:p>
    <w:p w:rsidR="00436141" w:rsidRPr="00E058C0" w:rsidRDefault="00E058C0" w:rsidP="009A72BF">
      <w:pPr>
        <w:pStyle w:val="Style"/>
        <w:numPr>
          <w:ilvl w:val="0"/>
          <w:numId w:val="1"/>
        </w:numPr>
        <w:spacing w:before="4" w:line="264" w:lineRule="exact"/>
        <w:ind w:left="355" w:hanging="350"/>
        <w:jc w:val="both"/>
        <w:textAlignment w:val="baseline"/>
      </w:pPr>
      <w:r w:rsidRPr="00E058C0">
        <w:rPr>
          <w:rFonts w:eastAsia="Arial"/>
        </w:rPr>
        <w:t>Wykonawca opracuje projekt ewentualnych zmian harmonogramu Usługi z uwzględnieniem już wykonanych czynności i terminów ich zakończenia.</w:t>
      </w:r>
      <w:r w:rsidR="00436141" w:rsidRPr="00E058C0">
        <w:rPr>
          <w:rFonts w:eastAsia="Arial"/>
        </w:rPr>
        <w:t xml:space="preserve"> </w:t>
      </w:r>
    </w:p>
    <w:p w:rsidR="00436141" w:rsidRPr="00E058C0" w:rsidRDefault="00436141" w:rsidP="009A72BF">
      <w:pPr>
        <w:pStyle w:val="Style"/>
        <w:numPr>
          <w:ilvl w:val="0"/>
          <w:numId w:val="1"/>
        </w:numPr>
        <w:spacing w:line="269" w:lineRule="exact"/>
        <w:ind w:left="360" w:hanging="355"/>
        <w:jc w:val="both"/>
        <w:textAlignment w:val="baseline"/>
      </w:pPr>
      <w:r w:rsidRPr="00E058C0">
        <w:rPr>
          <w:rFonts w:eastAsia="Arial"/>
        </w:rPr>
        <w:t xml:space="preserve">Wykonawca dostarczy pełną dokumentację dotyczącą prowadzonych badań w formie wydruku oraz w wersji elektronicznej (na nośniku), przesłanej w formacie do odczytu i edycji w pakiecie MS Office, w dwóch wersjach językowych (polskiej i angielskiej): </w:t>
      </w:r>
    </w:p>
    <w:p w:rsidR="00436141" w:rsidRPr="00C23F04" w:rsidRDefault="00436141" w:rsidP="009A72BF">
      <w:pPr>
        <w:pStyle w:val="Style"/>
        <w:numPr>
          <w:ilvl w:val="0"/>
          <w:numId w:val="2"/>
        </w:numPr>
        <w:spacing w:before="23" w:line="269" w:lineRule="exact"/>
        <w:ind w:left="859" w:hanging="365"/>
        <w:jc w:val="both"/>
        <w:textAlignment w:val="baseline"/>
      </w:pPr>
      <w:r w:rsidRPr="00C23F04">
        <w:rPr>
          <w:rFonts w:eastAsia="Arial"/>
        </w:rPr>
        <w:t xml:space="preserve">Raportów częściowych </w:t>
      </w:r>
      <w:r w:rsidR="00A05990">
        <w:rPr>
          <w:rFonts w:eastAsia="Arial"/>
        </w:rPr>
        <w:t>–</w:t>
      </w:r>
      <w:r w:rsidRPr="00C23F04">
        <w:rPr>
          <w:rFonts w:eastAsia="Arial"/>
        </w:rPr>
        <w:t xml:space="preserve"> </w:t>
      </w:r>
      <w:r w:rsidR="00A05990">
        <w:rPr>
          <w:rFonts w:eastAsia="Arial"/>
        </w:rPr>
        <w:t xml:space="preserve">zapisów/notatek </w:t>
      </w:r>
      <w:r w:rsidRPr="00C23F04">
        <w:rPr>
          <w:rFonts w:eastAsia="Arial"/>
        </w:rPr>
        <w:t>z regularnych telekonferencji Sponsor</w:t>
      </w:r>
      <w:r w:rsidR="001C4692">
        <w:rPr>
          <w:rFonts w:eastAsia="Arial"/>
        </w:rPr>
        <w:t xml:space="preserve"> (POLATOM)</w:t>
      </w:r>
      <w:r w:rsidRPr="00C23F04">
        <w:rPr>
          <w:rFonts w:eastAsia="Arial"/>
        </w:rPr>
        <w:t xml:space="preserve"> vs CRO oraz raport</w:t>
      </w:r>
      <w:r w:rsidR="00A05990">
        <w:rPr>
          <w:rFonts w:eastAsia="Arial"/>
        </w:rPr>
        <w:t>ów</w:t>
      </w:r>
      <w:r w:rsidRPr="00C23F04">
        <w:rPr>
          <w:rFonts w:eastAsia="Arial"/>
        </w:rPr>
        <w:t xml:space="preserve"> z systemów </w:t>
      </w:r>
      <w:proofErr w:type="spellStart"/>
      <w:r w:rsidRPr="00C23F04">
        <w:rPr>
          <w:rFonts w:eastAsia="Arial"/>
        </w:rPr>
        <w:t>eCRF</w:t>
      </w:r>
      <w:proofErr w:type="spellEnd"/>
      <w:r w:rsidRPr="00C23F04">
        <w:rPr>
          <w:rFonts w:eastAsia="Arial"/>
        </w:rPr>
        <w:t xml:space="preserve">, IWRS/IVRS </w:t>
      </w:r>
    </w:p>
    <w:p w:rsidR="00436141" w:rsidRPr="00B63A6F" w:rsidRDefault="00436141" w:rsidP="009A72BF">
      <w:pPr>
        <w:pStyle w:val="Style"/>
        <w:numPr>
          <w:ilvl w:val="0"/>
          <w:numId w:val="2"/>
        </w:numPr>
        <w:spacing w:before="23" w:line="269" w:lineRule="exact"/>
        <w:ind w:left="859" w:hanging="374"/>
        <w:jc w:val="both"/>
        <w:textAlignment w:val="baseline"/>
      </w:pPr>
      <w:r w:rsidRPr="00C23F04">
        <w:rPr>
          <w:rFonts w:eastAsia="Arial"/>
        </w:rPr>
        <w:t>Raportu końcowego - CSR - raport końcowy z badania klinicznego, przekazany nie później niż 5 miesięcy od z</w:t>
      </w:r>
      <w:r w:rsidR="009646CC">
        <w:rPr>
          <w:rFonts w:eastAsia="Arial"/>
        </w:rPr>
        <w:t>am</w:t>
      </w:r>
      <w:r w:rsidRPr="00C23F04">
        <w:rPr>
          <w:rFonts w:eastAsia="Arial"/>
        </w:rPr>
        <w:t xml:space="preserve">knięcia bazy danych </w:t>
      </w:r>
    </w:p>
    <w:p w:rsidR="00436141" w:rsidRDefault="00436141" w:rsidP="00C77C07">
      <w:pPr>
        <w:pStyle w:val="Style"/>
        <w:spacing w:line="269" w:lineRule="exact"/>
        <w:jc w:val="both"/>
        <w:textAlignment w:val="baseline"/>
        <w:rPr>
          <w:b/>
        </w:rPr>
      </w:pPr>
    </w:p>
    <w:p w:rsidR="00EB4477" w:rsidRDefault="00EB4477" w:rsidP="00C77C07">
      <w:pPr>
        <w:pStyle w:val="Style"/>
        <w:spacing w:line="269" w:lineRule="exact"/>
        <w:jc w:val="both"/>
        <w:textAlignment w:val="baseline"/>
      </w:pPr>
    </w:p>
    <w:p w:rsidR="007B7000" w:rsidRDefault="00B63A6F" w:rsidP="00C77C07">
      <w:pPr>
        <w:pStyle w:val="Style"/>
        <w:spacing w:line="280" w:lineRule="atLeast"/>
        <w:jc w:val="both"/>
        <w:rPr>
          <w:b/>
        </w:rPr>
      </w:pPr>
      <w:r w:rsidRPr="00B63A6F">
        <w:rPr>
          <w:b/>
        </w:rPr>
        <w:t>Zakres Działań i obowiązków Zamawiającego:</w:t>
      </w:r>
    </w:p>
    <w:p w:rsidR="00B63A6F" w:rsidRPr="00B63A6F" w:rsidRDefault="00B63A6F" w:rsidP="00C77C07">
      <w:pPr>
        <w:pStyle w:val="Style"/>
        <w:spacing w:line="280" w:lineRule="atLeast"/>
        <w:jc w:val="both"/>
        <w:rPr>
          <w:b/>
        </w:rPr>
      </w:pPr>
    </w:p>
    <w:p w:rsidR="007B7000" w:rsidRPr="00C23F04" w:rsidRDefault="00A21BFD" w:rsidP="009A72BF">
      <w:pPr>
        <w:pStyle w:val="Style"/>
        <w:numPr>
          <w:ilvl w:val="0"/>
          <w:numId w:val="9"/>
        </w:numPr>
        <w:spacing w:line="269" w:lineRule="exact"/>
        <w:ind w:left="426"/>
        <w:jc w:val="both"/>
        <w:textAlignment w:val="baseline"/>
      </w:pPr>
      <w:r w:rsidRPr="00C23F04">
        <w:rPr>
          <w:rFonts w:eastAsia="Arial"/>
        </w:rPr>
        <w:t xml:space="preserve">Zamawiający zapewni substancję badaną PSMA-T4 w formie zestawu do znakowania </w:t>
      </w:r>
      <w:proofErr w:type="spellStart"/>
      <w:r w:rsidRPr="00C23F04">
        <w:rPr>
          <w:rFonts w:eastAsia="Arial"/>
        </w:rPr>
        <w:t>radiofarmaceutycznego</w:t>
      </w:r>
      <w:proofErr w:type="spellEnd"/>
      <w:r w:rsidRPr="00C23F04">
        <w:rPr>
          <w:rFonts w:eastAsia="Arial"/>
        </w:rPr>
        <w:t xml:space="preserve"> oraz instrukcję znakowania tego zestawu roztworem </w:t>
      </w:r>
      <w:proofErr w:type="spellStart"/>
      <w:r w:rsidRPr="00C23F04">
        <w:rPr>
          <w:rFonts w:eastAsia="Arial"/>
        </w:rPr>
        <w:t>nadtechnecjanu</w:t>
      </w:r>
      <w:proofErr w:type="spellEnd"/>
      <w:r w:rsidRPr="00C23F04">
        <w:rPr>
          <w:rFonts w:eastAsia="Arial"/>
        </w:rPr>
        <w:t xml:space="preserve"> </w:t>
      </w:r>
      <w:r w:rsidRPr="00C23F04">
        <w:t>[</w:t>
      </w:r>
      <w:r w:rsidRPr="00C23F04">
        <w:rPr>
          <w:vertAlign w:val="superscript"/>
        </w:rPr>
        <w:t>99</w:t>
      </w:r>
      <w:r w:rsidRPr="00D3785C">
        <w:rPr>
          <w:rFonts w:eastAsia="Arial"/>
          <w:vertAlign w:val="superscript"/>
        </w:rPr>
        <w:t>m</w:t>
      </w:r>
      <w:r w:rsidRPr="00C23F04">
        <w:rPr>
          <w:rFonts w:eastAsia="Arial"/>
        </w:rPr>
        <w:t xml:space="preserve">Tc] sodu, eluatem z generatora </w:t>
      </w:r>
      <w:proofErr w:type="spellStart"/>
      <w:r w:rsidRPr="00C23F04">
        <w:rPr>
          <w:rFonts w:eastAsia="Arial"/>
        </w:rPr>
        <w:t>radionuklidowego</w:t>
      </w:r>
      <w:proofErr w:type="spellEnd"/>
      <w:r w:rsidRPr="00C23F04">
        <w:rPr>
          <w:rFonts w:eastAsia="Arial"/>
        </w:rPr>
        <w:t xml:space="preserve"> </w:t>
      </w:r>
      <w:r w:rsidRPr="00C23F04">
        <w:rPr>
          <w:vertAlign w:val="superscript"/>
        </w:rPr>
        <w:t>99</w:t>
      </w:r>
      <w:r w:rsidRPr="00C23F04">
        <w:rPr>
          <w:rFonts w:eastAsia="Arial"/>
        </w:rPr>
        <w:t>Mo/</w:t>
      </w:r>
      <w:r w:rsidRPr="00C23F04">
        <w:rPr>
          <w:vertAlign w:val="superscript"/>
        </w:rPr>
        <w:t>99</w:t>
      </w:r>
      <w:r w:rsidRPr="00B63A6F">
        <w:rPr>
          <w:rFonts w:eastAsia="Arial"/>
          <w:vertAlign w:val="superscript"/>
        </w:rPr>
        <w:t>m</w:t>
      </w:r>
      <w:r w:rsidRPr="00C23F04">
        <w:rPr>
          <w:rFonts w:eastAsia="Arial"/>
        </w:rPr>
        <w:t xml:space="preserve">Tc oraz instrukcją oznaczania czystości radiochemicznej/zwalniania wyznakowanego </w:t>
      </w:r>
      <w:r w:rsidRPr="00C23F04">
        <w:rPr>
          <w:vertAlign w:val="superscript"/>
        </w:rPr>
        <w:t>99</w:t>
      </w:r>
      <w:r w:rsidRPr="00B63A6F">
        <w:rPr>
          <w:rFonts w:eastAsia="Arial"/>
          <w:vertAlign w:val="superscript"/>
        </w:rPr>
        <w:t>m</w:t>
      </w:r>
      <w:r w:rsidRPr="00C23F04">
        <w:rPr>
          <w:rFonts w:eastAsia="Arial"/>
        </w:rPr>
        <w:t xml:space="preserve">Tc-PSMA-T4 do przeprowadzenia badania. </w:t>
      </w:r>
    </w:p>
    <w:p w:rsidR="007B7000" w:rsidRPr="00436141" w:rsidRDefault="00A21BFD" w:rsidP="009A72BF">
      <w:pPr>
        <w:pStyle w:val="Style"/>
        <w:numPr>
          <w:ilvl w:val="0"/>
          <w:numId w:val="9"/>
        </w:numPr>
        <w:spacing w:before="4" w:line="264" w:lineRule="exact"/>
        <w:ind w:left="426"/>
        <w:jc w:val="both"/>
        <w:textAlignment w:val="baseline"/>
      </w:pPr>
      <w:r w:rsidRPr="00C23F04">
        <w:rPr>
          <w:rFonts w:eastAsia="Arial"/>
        </w:rPr>
        <w:lastRenderedPageBreak/>
        <w:t xml:space="preserve">Zamawiający zapewni transport materiału badawczego i dokumentacji badawczej podczas trwania Usługi. </w:t>
      </w:r>
    </w:p>
    <w:p w:rsidR="00436141" w:rsidRPr="00C23F04" w:rsidRDefault="00436141" w:rsidP="009A72BF">
      <w:pPr>
        <w:pStyle w:val="Style"/>
        <w:numPr>
          <w:ilvl w:val="0"/>
          <w:numId w:val="9"/>
        </w:numPr>
        <w:spacing w:before="4" w:line="264" w:lineRule="exact"/>
        <w:ind w:left="426"/>
        <w:jc w:val="both"/>
        <w:textAlignment w:val="baseline"/>
      </w:pPr>
      <w:r>
        <w:t>Zamawiający podejmuje decyzje o kontynuacji lub rezygnacji z kontynuowania projektu</w:t>
      </w:r>
      <w:r w:rsidR="00393AF9">
        <w:t xml:space="preserve"> biorąc pod uwagę otrzymane dotychczas wyniki badań, wymagania prawne</w:t>
      </w:r>
      <w:r w:rsidR="00401F57">
        <w:t xml:space="preserve"> lub względy ekonomiczne.</w:t>
      </w:r>
    </w:p>
    <w:bookmarkEnd w:id="0"/>
    <w:p w:rsidR="00460A70" w:rsidRDefault="00460A70" w:rsidP="00E34736">
      <w:pPr>
        <w:pStyle w:val="Style"/>
        <w:spacing w:line="283" w:lineRule="exact"/>
        <w:textAlignment w:val="baseline"/>
      </w:pPr>
    </w:p>
    <w:sectPr w:rsidR="00460A70">
      <w:headerReference w:type="default" r:id="rId8"/>
      <w:type w:val="continuous"/>
      <w:pgSz w:w="11900" w:h="16840"/>
      <w:pgMar w:top="1296" w:right="1416" w:bottom="360" w:left="104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D47" w:rsidRDefault="003B0D47" w:rsidP="00944C6A">
      <w:r>
        <w:separator/>
      </w:r>
    </w:p>
  </w:endnote>
  <w:endnote w:type="continuationSeparator" w:id="0">
    <w:p w:rsidR="003B0D47" w:rsidRDefault="003B0D47" w:rsidP="0094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D47" w:rsidRDefault="003B0D47" w:rsidP="00944C6A">
      <w:r>
        <w:separator/>
      </w:r>
    </w:p>
  </w:footnote>
  <w:footnote w:type="continuationSeparator" w:id="0">
    <w:p w:rsidR="003B0D47" w:rsidRDefault="003B0D47" w:rsidP="00944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C6A" w:rsidRDefault="00944C6A">
    <w:pPr>
      <w:pStyle w:val="Nagwek"/>
    </w:pPr>
  </w:p>
  <w:p w:rsidR="00944C6A" w:rsidRPr="00944C6A" w:rsidRDefault="00944C6A" w:rsidP="00944C6A">
    <w:pPr>
      <w:outlineLvl w:val="0"/>
      <w:rPr>
        <w:rFonts w:ascii="Times New Roman" w:eastAsia="Times New Roman" w:hAnsi="Times New Roman" w:cs="Times New Roman"/>
        <w:b/>
        <w:sz w:val="24"/>
        <w:szCs w:val="24"/>
        <w:lang w:val="pl-PL" w:eastAsia="pl-PL"/>
      </w:rPr>
    </w:pPr>
    <w:r w:rsidRPr="00944C6A">
      <w:rPr>
        <w:rFonts w:ascii="Calibri" w:eastAsia="Times New Roman" w:hAnsi="Calibri" w:cs="Times New Roman"/>
        <w:b/>
        <w:lang w:val="pl-PL" w:eastAsia="pl-PL"/>
      </w:rPr>
      <w:t>OR.DZP.270.</w:t>
    </w:r>
    <w:r w:rsidR="006C7DBD">
      <w:rPr>
        <w:rFonts w:ascii="Calibri" w:eastAsia="Times New Roman" w:hAnsi="Calibri" w:cs="Times New Roman"/>
        <w:b/>
        <w:lang w:val="pl-PL" w:eastAsia="pl-PL"/>
      </w:rPr>
      <w:t>15</w:t>
    </w:r>
    <w:r w:rsidRPr="00944C6A">
      <w:rPr>
        <w:rFonts w:ascii="Calibri" w:eastAsia="Times New Roman" w:hAnsi="Calibri" w:cs="Times New Roman"/>
        <w:b/>
        <w:lang w:val="pl-PL" w:eastAsia="pl-PL"/>
      </w:rPr>
      <w:t>.2020.</w:t>
    </w:r>
  </w:p>
  <w:p w:rsidR="00944C6A" w:rsidRDefault="00944C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056CC"/>
    <w:multiLevelType w:val="singleLevel"/>
    <w:tmpl w:val="4424A6F8"/>
    <w:lvl w:ilvl="0">
      <w:start w:val="1"/>
      <w:numFmt w:val="lowerLetter"/>
      <w:lvlText w:val="%1)"/>
      <w:legacy w:legacy="1" w:legacySpace="0" w:legacyIndent="0"/>
      <w:lvlJc w:val="left"/>
      <w:rPr>
        <w:rFonts w:ascii="Arial" w:hAnsi="Arial" w:cs="Arial" w:hint="default"/>
        <w:sz w:val="19"/>
        <w:szCs w:val="19"/>
      </w:rPr>
    </w:lvl>
  </w:abstractNum>
  <w:abstractNum w:abstractNumId="1" w15:restartNumberingAfterBreak="0">
    <w:nsid w:val="32F51965"/>
    <w:multiLevelType w:val="hybridMultilevel"/>
    <w:tmpl w:val="B6DEF0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310E8"/>
    <w:multiLevelType w:val="hybridMultilevel"/>
    <w:tmpl w:val="D0D07592"/>
    <w:lvl w:ilvl="0" w:tplc="BD42455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B0A03"/>
    <w:multiLevelType w:val="singleLevel"/>
    <w:tmpl w:val="8AF8B8AE"/>
    <w:lvl w:ilvl="0">
      <w:start w:val="1"/>
      <w:numFmt w:val="decimal"/>
      <w:lvlText w:val="%1."/>
      <w:legacy w:legacy="1" w:legacySpace="0" w:legacyIndent="0"/>
      <w:lvlJc w:val="left"/>
      <w:rPr>
        <w:rFonts w:ascii="Times New Roman" w:eastAsia="Arial" w:hAnsi="Times New Roman" w:cs="Times New Roman"/>
        <w:b/>
        <w:sz w:val="24"/>
        <w:szCs w:val="24"/>
      </w:rPr>
    </w:lvl>
  </w:abstractNum>
  <w:abstractNum w:abstractNumId="4" w15:restartNumberingAfterBreak="0">
    <w:nsid w:val="437B0E62"/>
    <w:multiLevelType w:val="hybridMultilevel"/>
    <w:tmpl w:val="D4C4F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8101A"/>
    <w:multiLevelType w:val="hybridMultilevel"/>
    <w:tmpl w:val="BFEC7B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735FE"/>
    <w:multiLevelType w:val="multilevel"/>
    <w:tmpl w:val="4350E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431009A"/>
    <w:multiLevelType w:val="hybridMultilevel"/>
    <w:tmpl w:val="738082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416BF"/>
    <w:multiLevelType w:val="hybridMultilevel"/>
    <w:tmpl w:val="AA38983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FE6D1D"/>
    <w:multiLevelType w:val="hybridMultilevel"/>
    <w:tmpl w:val="92043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2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000"/>
    <w:rsid w:val="00002F75"/>
    <w:rsid w:val="00016C95"/>
    <w:rsid w:val="00051F41"/>
    <w:rsid w:val="000D2039"/>
    <w:rsid w:val="00101C86"/>
    <w:rsid w:val="001150EC"/>
    <w:rsid w:val="0014487D"/>
    <w:rsid w:val="001606C6"/>
    <w:rsid w:val="0018366D"/>
    <w:rsid w:val="001C4692"/>
    <w:rsid w:val="001E3214"/>
    <w:rsid w:val="001F1D92"/>
    <w:rsid w:val="0026375D"/>
    <w:rsid w:val="00273D35"/>
    <w:rsid w:val="002F13CE"/>
    <w:rsid w:val="002F70BF"/>
    <w:rsid w:val="00306346"/>
    <w:rsid w:val="003631DD"/>
    <w:rsid w:val="003719F8"/>
    <w:rsid w:val="00393AF9"/>
    <w:rsid w:val="003B0D47"/>
    <w:rsid w:val="00401F57"/>
    <w:rsid w:val="004050A0"/>
    <w:rsid w:val="004176A8"/>
    <w:rsid w:val="00436141"/>
    <w:rsid w:val="004470BD"/>
    <w:rsid w:val="00460A70"/>
    <w:rsid w:val="0046169F"/>
    <w:rsid w:val="00465CAB"/>
    <w:rsid w:val="004C68E7"/>
    <w:rsid w:val="004D6E8A"/>
    <w:rsid w:val="005125F9"/>
    <w:rsid w:val="005678AD"/>
    <w:rsid w:val="005D0D2E"/>
    <w:rsid w:val="0061337F"/>
    <w:rsid w:val="006353C4"/>
    <w:rsid w:val="006A3CE7"/>
    <w:rsid w:val="006A4FC5"/>
    <w:rsid w:val="006B2A85"/>
    <w:rsid w:val="006B4AFD"/>
    <w:rsid w:val="006C7DBD"/>
    <w:rsid w:val="006E2383"/>
    <w:rsid w:val="006F1D8A"/>
    <w:rsid w:val="007226B3"/>
    <w:rsid w:val="00750E8A"/>
    <w:rsid w:val="007739B7"/>
    <w:rsid w:val="007B1EE0"/>
    <w:rsid w:val="007B7000"/>
    <w:rsid w:val="007F7429"/>
    <w:rsid w:val="00876397"/>
    <w:rsid w:val="008C07EC"/>
    <w:rsid w:val="00944C6A"/>
    <w:rsid w:val="00963A5A"/>
    <w:rsid w:val="009646CC"/>
    <w:rsid w:val="009651D4"/>
    <w:rsid w:val="00970621"/>
    <w:rsid w:val="009A374D"/>
    <w:rsid w:val="009A72BF"/>
    <w:rsid w:val="009B1A8F"/>
    <w:rsid w:val="00A05990"/>
    <w:rsid w:val="00A21BFD"/>
    <w:rsid w:val="00A432F2"/>
    <w:rsid w:val="00A67034"/>
    <w:rsid w:val="00A8797C"/>
    <w:rsid w:val="00B12ABB"/>
    <w:rsid w:val="00B2435E"/>
    <w:rsid w:val="00B448A0"/>
    <w:rsid w:val="00B63A6F"/>
    <w:rsid w:val="00B82580"/>
    <w:rsid w:val="00BB6BCF"/>
    <w:rsid w:val="00C02B3D"/>
    <w:rsid w:val="00C109BA"/>
    <w:rsid w:val="00C204F5"/>
    <w:rsid w:val="00C23F04"/>
    <w:rsid w:val="00C24124"/>
    <w:rsid w:val="00C27696"/>
    <w:rsid w:val="00C40D5A"/>
    <w:rsid w:val="00C63819"/>
    <w:rsid w:val="00C77C07"/>
    <w:rsid w:val="00CA4672"/>
    <w:rsid w:val="00CD6893"/>
    <w:rsid w:val="00CE2C22"/>
    <w:rsid w:val="00D20DE8"/>
    <w:rsid w:val="00D232F7"/>
    <w:rsid w:val="00D3785C"/>
    <w:rsid w:val="00D75371"/>
    <w:rsid w:val="00D87985"/>
    <w:rsid w:val="00DA1EAA"/>
    <w:rsid w:val="00DD5F40"/>
    <w:rsid w:val="00E058C0"/>
    <w:rsid w:val="00E26868"/>
    <w:rsid w:val="00E34736"/>
    <w:rsid w:val="00E4515E"/>
    <w:rsid w:val="00E458FF"/>
    <w:rsid w:val="00E524F7"/>
    <w:rsid w:val="00E70BAD"/>
    <w:rsid w:val="00EA3EAC"/>
    <w:rsid w:val="00EA7DD6"/>
    <w:rsid w:val="00EB4477"/>
    <w:rsid w:val="00EC5088"/>
    <w:rsid w:val="00ED7740"/>
    <w:rsid w:val="00F13032"/>
    <w:rsid w:val="00F23634"/>
    <w:rsid w:val="00F46D37"/>
    <w:rsid w:val="00F55014"/>
    <w:rsid w:val="00F87003"/>
    <w:rsid w:val="00FC4D42"/>
    <w:rsid w:val="00FD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FF57"/>
  <w15:docId w15:val="{ACEB3D69-9208-4522-BECE-7B3A51C9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63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4C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4C6A"/>
  </w:style>
  <w:style w:type="paragraph" w:styleId="Stopka">
    <w:name w:val="footer"/>
    <w:basedOn w:val="Normalny"/>
    <w:link w:val="StopkaZnak"/>
    <w:uiPriority w:val="99"/>
    <w:unhideWhenUsed/>
    <w:rsid w:val="00944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C6A"/>
  </w:style>
  <w:style w:type="paragraph" w:styleId="Tekstdymka">
    <w:name w:val="Balloon Text"/>
    <w:basedOn w:val="Normalny"/>
    <w:link w:val="TekstdymkaZnak"/>
    <w:uiPriority w:val="99"/>
    <w:semiHidden/>
    <w:unhideWhenUsed/>
    <w:rsid w:val="00C276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69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31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31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31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31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31DD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A46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3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8D882-D5D9-47A4-B2D7-556B2ECE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1978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Małetka</dc:creator>
  <cp:lastModifiedBy>Małgorzata Pisarek</cp:lastModifiedBy>
  <cp:revision>3</cp:revision>
  <dcterms:created xsi:type="dcterms:W3CDTF">2020-06-18T11:01:00Z</dcterms:created>
  <dcterms:modified xsi:type="dcterms:W3CDTF">2020-06-19T07:20:00Z</dcterms:modified>
</cp:coreProperties>
</file>