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hanging="0"/>
        <w:jc w:val="right"/>
        <w:rPr>
          <w:rFonts w:eastAsia="Times New Roman" w:cs="Arial" w:asciiTheme="majorHAnsi" w:hAnsiTheme="majorHAnsi"/>
          <w:lang w:eastAsia="pl-PL"/>
        </w:rPr>
      </w:pPr>
      <w:r>
        <w:rPr/>
        <w:drawing>
          <wp:inline distT="0" distB="0" distL="0" distR="0">
            <wp:extent cx="5076825" cy="533400"/>
            <wp:effectExtent l="0" t="0" r="0" b="0"/>
            <wp:docPr id="1" name="Obraz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tabs>
          <w:tab w:val="clear" w:pos="709"/>
          <w:tab w:val="center" w:pos="7655" w:leader="none"/>
          <w:tab w:val="right" w:pos="9072" w:leader="none"/>
        </w:tabs>
        <w:bidi w:val="0"/>
        <w:spacing w:lineRule="auto" w:line="240" w:before="0" w:after="0"/>
        <w:ind w:left="-284" w:hanging="0"/>
        <w:jc w:val="center"/>
        <w:rPr>
          <w:rFonts w:ascii="Calibri" w:hAnsi="Calibri" w:eastAsia="Ubuntu" w:cs="Calibri"/>
          <w:i/>
          <w:i/>
          <w:color w:val="auto"/>
          <w:sz w:val="20"/>
          <w:szCs w:val="20"/>
          <w:lang w:eastAsia="en-US" w:bidi="ar-SA"/>
        </w:rPr>
      </w:pPr>
      <w:r>
        <w:rPr>
          <w:rFonts w:eastAsia="Ubuntu" w:cs="Calibri" w:ascii="Calibri" w:hAnsi="Calibri"/>
          <w:i/>
          <w:color w:val="auto"/>
          <w:sz w:val="20"/>
          <w:szCs w:val="20"/>
          <w:lang w:eastAsia="en-US" w:bidi="ar-SA"/>
        </w:rPr>
        <w:t>Sfinansowano w ramach reakcji Unii na pandemię COVID-19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  <w:t>Włodawa, dnia 10</w:t>
      </w:r>
      <w:r>
        <w:rPr>
          <w:rFonts w:eastAsia="Times New Roman" w:cs="Arial" w:asciiTheme="majorHAnsi" w:hAnsiTheme="majorHAnsi"/>
          <w:color w:val="auto"/>
          <w:kern w:val="2"/>
          <w:sz w:val="24"/>
          <w:szCs w:val="24"/>
          <w:lang w:val="pl-PL" w:eastAsia="pl-PL" w:bidi="hi-IN"/>
        </w:rPr>
        <w:t>.10.2022 r.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  <w:t>ZPA.271.14.2022</w:t>
      </w:r>
      <w:r>
        <w:rPr>
          <w:rFonts w:eastAsia="Times New Roman" w:cs="Times New Roman" w:asciiTheme="majorHAnsi" w:hAnsiTheme="majorHAnsi"/>
          <w:lang w:eastAsia="pl-PL"/>
        </w:rPr>
        <w:t xml:space="preserve">     </w:t>
      </w:r>
    </w:p>
    <w:p>
      <w:pPr>
        <w:pStyle w:val="Normal"/>
        <w:bidi w:val="0"/>
        <w:spacing w:lineRule="auto" w:line="240" w:before="0" w:after="0"/>
        <w:ind w:left="4956" w:firstLine="708"/>
        <w:jc w:val="left"/>
        <w:rPr>
          <w:rFonts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ind w:left="226" w:hanging="226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  <w:sz w:val="28"/>
          <w:szCs w:val="28"/>
        </w:rPr>
        <w:t xml:space="preserve">Zawiadomienie o unieważnieniu postępowania </w:t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="Cambria" w:hAnsi="Cambria"/>
          <w:b w:val="false"/>
          <w:bCs w:val="false"/>
        </w:rPr>
        <w:t xml:space="preserve">Dotyczy postępowania o udzielenie zamówienia publicznego pod nazwą: </w:t>
      </w:r>
      <w:r>
        <w:rPr>
          <w:rFonts w:eastAsia="Calibri" w:cs="Arial" w:ascii="Cambria" w:hAnsi="Cambria"/>
          <w:b/>
          <w:color w:val="002060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10" w:leader="none"/>
          <w:tab w:val="left" w:pos="1050" w:leader="none"/>
        </w:tabs>
        <w:bidi w:val="0"/>
        <w:spacing w:lineRule="auto" w:line="276" w:before="0" w:after="0"/>
        <w:ind w:left="735" w:right="0" w:hanging="0"/>
        <w:jc w:val="left"/>
        <w:rPr>
          <w:b/>
          <w:b/>
          <w:bCs/>
        </w:rPr>
      </w:pPr>
      <w:r>
        <w:rPr>
          <w:rFonts w:eastAsia="Calibri" w:cs="Times New Roman" w:ascii="Cambria" w:hAnsi="Cambria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Dostawa sprzętu informatycznego i oprogramowania związana z realizacją projektów w ramach grantu „Cyfrowa Gmina” oraz „Wsparcie dzieci z rodzin pegeerowskich w rozwoju cyfrowym – Granty PPGR”.</w:t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tabs>
          <w:tab w:val="clear" w:pos="709"/>
          <w:tab w:val="left" w:pos="708" w:leader="none"/>
          <w:tab w:val="center" w:pos="4536" w:leader="none"/>
          <w:tab w:val="right" w:pos="9072" w:leader="none"/>
        </w:tabs>
        <w:bidi w:val="0"/>
        <w:spacing w:lineRule="auto" w:line="240" w:before="0" w:after="0"/>
        <w:jc w:val="both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ab/>
        <w:t>Działając na podstawie art. 2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54 pkt. 2</w:t>
      </w:r>
      <w:r>
        <w:rPr>
          <w:rFonts w:eastAsia="Calibri" w:cs="Arial" w:ascii="Cambria" w:hAnsi="Cambria"/>
        </w:rPr>
        <w:t xml:space="preserve"> ustawy z 11 września 2019 r. – Prawo zamówień publicznych (Dz.U. z 2022r. poz. 1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710</w:t>
      </w:r>
      <w:r>
        <w:rPr>
          <w:rFonts w:eastAsia="Calibri" w:cs="Arial" w:ascii="Cambria" w:hAnsi="Cambria"/>
        </w:rPr>
        <w:t xml:space="preserve">) – dalej ustawa Pzp, Zamawiający informuje, że przedmiotowe postępowanie w zakresie obu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części</w:t>
      </w:r>
      <w:r>
        <w:rPr>
          <w:rFonts w:eastAsia="Calibri" w:cs="Arial" w:ascii="Cambria" w:hAnsi="Cambria"/>
        </w:rPr>
        <w:t xml:space="preserve"> zakończyło się unieważnieniem postępowania. 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ab/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  <w:b/>
        </w:rPr>
        <w:t>Uzasadnienie prawne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  <w:sz w:val="24"/>
          <w:szCs w:val="24"/>
        </w:rPr>
        <w:tab/>
        <w:t xml:space="preserve">Postępowanie w zakresie części 1 </w:t>
      </w:r>
      <w:r>
        <w:rPr>
          <w:rFonts w:eastAsia="Calibri" w:cs="Arial" w:ascii="Cambria" w:hAnsi="Cambria"/>
          <w:color w:val="auto"/>
          <w:kern w:val="2"/>
          <w:sz w:val="24"/>
          <w:szCs w:val="24"/>
          <w:lang w:val="pl-PL" w:eastAsia="zh-CN" w:bidi="hi-IN"/>
        </w:rPr>
        <w:t>podlega</w:t>
      </w:r>
      <w:r>
        <w:rPr>
          <w:rFonts w:eastAsia="Calibri" w:cs="Arial" w:ascii="Cambria" w:hAnsi="Cambria"/>
          <w:sz w:val="24"/>
          <w:szCs w:val="24"/>
        </w:rPr>
        <w:t xml:space="preserve"> unieważnieniu na mocy art. 255 pkt. 1 ustawy Pzp, który stanowi: „</w:t>
      </w:r>
      <w:r>
        <w:rPr>
          <w:rFonts w:eastAsia="Calibri" w:cs="Arial" w:ascii="Cambria" w:hAnsi="Cambria"/>
          <w:i/>
          <w:iCs/>
          <w:sz w:val="24"/>
          <w:szCs w:val="24"/>
        </w:rPr>
        <w:t xml:space="preserve">Zamawiający unieważnia postępowanie o udzielenie zamówienia, jeżeli </w:t>
      </w:r>
      <w:r>
        <w:rPr>
          <w:rFonts w:eastAsia="Calibri" w:cs="Arial" w:ascii="Cambria" w:hAnsi="Cambria"/>
          <w:i/>
          <w:iCs/>
          <w:color w:val="auto"/>
          <w:kern w:val="2"/>
          <w:sz w:val="24"/>
          <w:szCs w:val="24"/>
          <w:lang w:val="pl-PL" w:eastAsia="zh-CN" w:bidi="hi-IN"/>
        </w:rPr>
        <w:t>nie złożono żadnego wniosku o dopuszczenie do udziału w postępowaniu albo żadnej oferty</w:t>
      </w:r>
      <w:r>
        <w:rPr>
          <w:rFonts w:eastAsia="Calibri" w:cs="Arial" w:ascii="Cambria" w:hAnsi="Cambria"/>
          <w:sz w:val="24"/>
          <w:szCs w:val="24"/>
        </w:rPr>
        <w:t xml:space="preserve">.” </w:t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  <w:sz w:val="24"/>
          <w:szCs w:val="24"/>
        </w:rPr>
        <w:tab/>
      </w:r>
      <w:r>
        <w:rPr>
          <w:rFonts w:eastAsia="Calibri" w:cs="Arial" w:ascii="Cambria" w:hAnsi="Cambria"/>
          <w:sz w:val="24"/>
          <w:szCs w:val="24"/>
        </w:rPr>
        <w:t xml:space="preserve">Postępowanie w zakresie części 2 podlega unieważnieniu na mocy art. 255 pkt. 2 ustawy Pzp, który stanowi: </w:t>
      </w:r>
      <w:r>
        <w:rPr>
          <w:rFonts w:eastAsia="Calibri" w:cs="Arial" w:ascii="Cambria" w:hAnsi="Cambria"/>
          <w:i/>
          <w:iCs/>
          <w:sz w:val="24"/>
          <w:szCs w:val="24"/>
        </w:rPr>
        <w:t xml:space="preserve">„Zamawiający unieważnia postępowanie o udzielenie zamówienia, jeżeli wszystkie złożone wnioski o dopuszczenie do udziału w postępowaniu albo oferty podlegały odrzuceniu.” </w:t>
      </w:r>
    </w:p>
    <w:p>
      <w:pPr>
        <w:pStyle w:val="Normal"/>
        <w:widowControl w:val="false"/>
        <w:bidi w:val="0"/>
        <w:spacing w:lineRule="auto" w:line="360" w:before="0" w:after="0"/>
        <w:jc w:val="both"/>
        <w:rPr/>
      </w:pPr>
      <w:r>
        <w:rPr>
          <w:rFonts w:ascii="Cambria" w:hAnsi="Cambria"/>
          <w:i w:val="false"/>
          <w:iCs w:val="false"/>
        </w:rPr>
        <w:t>Oferta nr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1 na część nr 2 - złożona przez firmę ALLTECH Spółka Jawna Zdzisław Pająk, Artur Pająk, ul. Spółdzielcza 33, 09-407 Płock, podlega odrzuceniu  w trybie art. 226 ust. 1 pkt. 5 ustawy Pzp., który stanowi: „ Zamawiający odrzuca ofertę, jeżeli jej treść jest niezgodna z warunkami zamówienia”.</w:t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ascii="Cambria" w:hAnsi="Cambria" w:cs="Arial"/>
          <w:b/>
          <w:b/>
          <w:bCs/>
          <w:i w:val="false"/>
          <w:i w:val="false"/>
          <w:iCs w:val="false"/>
          <w:color w:val="000000"/>
          <w:kern w:val="2"/>
          <w:sz w:val="24"/>
          <w:szCs w:val="24"/>
          <w:lang w:val="pl-PL"/>
        </w:rPr>
      </w:pPr>
      <w:r>
        <w:rPr>
          <w:rFonts w:cs="Arial" w:ascii="Cambria" w:hAnsi="Cambria"/>
          <w:b/>
          <w:bCs/>
          <w:i w:val="false"/>
          <w:iCs w:val="false"/>
          <w:color w:val="000000"/>
          <w:kern w:val="2"/>
          <w:sz w:val="24"/>
          <w:szCs w:val="24"/>
          <w:lang w:val="pl-PL"/>
        </w:rPr>
      </w:r>
    </w:p>
    <w:p>
      <w:pPr>
        <w:pStyle w:val="Normal"/>
        <w:widowControl w:val="false"/>
        <w:bidi w:val="0"/>
        <w:spacing w:lineRule="auto" w:line="360" w:before="0" w:after="0"/>
        <w:jc w:val="both"/>
        <w:rPr>
          <w:rFonts w:eastAsia="Calibri" w:cs="Arial"/>
          <w:i/>
          <w:i/>
          <w:iCs/>
          <w:sz w:val="24"/>
          <w:szCs w:val="24"/>
        </w:rPr>
      </w:pPr>
      <w:r>
        <w:rPr>
          <w:rFonts w:eastAsia="Calibri" w:cs="Arial"/>
          <w:i/>
          <w:iCs/>
          <w:sz w:val="24"/>
          <w:szCs w:val="24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  <w:t>Uzasadnienie faktyczne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Theme="majorHAnsi" w:hAnsiTheme="majorHAnsi"/>
          <w:b/>
        </w:rPr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ab/>
        <w:t>Dla części 1: W wyznaczonym terminie składania ofert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nie wpłynęła żadna oferta.</w:t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eastAsia="Calibri" w:cs="Arial" w:asciiTheme="majorHAnsi" w:hAnsiTheme="majorHAnsi"/>
        </w:rPr>
      </w:pPr>
      <w:r>
        <w:rPr>
          <w:rFonts w:eastAsia="Calibri" w:cs="Arial" w:asciiTheme="majorHAnsi" w:hAnsiTheme="majorHAnsi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ab/>
      </w:r>
      <w:r>
        <w:rPr>
          <w:rFonts w:eastAsia="Calibri" w:cs="Arial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Dla części 2</w:t>
      </w:r>
      <w:r>
        <w:rPr>
          <w:rFonts w:eastAsia="Calibri" w:cs="Arial" w:asciiTheme="majorHAnsi" w:hAnsiTheme="majorHAnsi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: </w:t>
      </w:r>
      <w:r>
        <w:rPr>
          <w:rFonts w:eastAsia="Calibri" w:cs="Arial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W wyznaczonym terminie składania ofert tj. do dnia 23.09.2022r.  do Zamawiającego wpłynęła 1 oferta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złożona przez firmę ALLTECH Spółka Jawna Zdzisław Pająk, Artur Pająk, ul. Spółdzielcza 33, 09-407 Płock</w:t>
      </w:r>
      <w:r>
        <w:rPr>
          <w:rFonts w:eastAsia="Calibri" w:cs="Arial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. W związku z tym, że Wykonawca nie złożył wraz z ofertą wszystkich wymaganych przez Zamawiającego przedmiotowych środków dowodowych,  Zamawiający działając na podstawie art 107 ust. 2 ustawy z dnia 11 września 2019r. (Dz.U. z 2022r. poz. 1</w:t>
      </w:r>
      <w:r>
        <w:rPr>
          <w:rFonts w:eastAsia="Calibri" w:cs="Arial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h-CN" w:bidi="hi-IN"/>
        </w:rPr>
        <w:t>710</w:t>
      </w:r>
      <w:r>
        <w:rPr>
          <w:rFonts w:eastAsia="Calibri" w:cs="Arial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) – dalej ustawa Pzp, wezwał do ich złożenia dla zaoferowanego modelu laptopa . Wykonawca zgodnie z terminem wyznaczonym przez Zamawiającego uzupełnił przedmiotowe środki dowodowe, które nie potwierdziły warunków postawionych przez Zamawiającego odnośnie przedmiotu zamówienia. </w:t>
      </w:r>
    </w:p>
    <w:p>
      <w:pPr>
        <w:pStyle w:val="Normal"/>
        <w:widowControl w:val="false"/>
        <w:bidi w:val="0"/>
        <w:spacing w:lineRule="auto" w:line="360" w:before="0" w:after="0"/>
        <w:jc w:val="left"/>
        <w:rPr>
          <w:rFonts w:ascii="Cambria" w:hAnsi="Cambria" w:eastAsia="Calibri" w:cs="Arial"/>
        </w:rPr>
      </w:pPr>
      <w:r>
        <w:rPr>
          <w:rFonts w:eastAsia="Calibri" w:cs="Arial" w:ascii="Cambria" w:hAnsi="Cambria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  <w:t>Pouczenie: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</w:rPr>
      </w:pPr>
      <w:r>
        <w:rPr>
          <w:rFonts w:eastAsia="Calibri" w:cs="Arial" w:ascii="Cambria" w:hAnsi="Cambria"/>
        </w:rPr>
        <w:t>Na czynność unieważnienia postępowania,</w:t>
      </w:r>
      <w:r>
        <w:rPr>
          <w:rFonts w:eastAsia="" w:cs="" w:ascii="Cambria" w:hAnsi="Cambria" w:cstheme="majorBidi" w:eastAsiaTheme="majorEastAsia"/>
        </w:rPr>
        <w:t xml:space="preserve"> </w:t>
      </w:r>
      <w:r>
        <w:rPr>
          <w:rFonts w:eastAsia="Calibri" w:cs="Arial" w:ascii="Cambria" w:hAnsi="Cambria"/>
        </w:rPr>
        <w:t>przysługują środki ochrony prawnej na zasadach przewidzianych w Dziale IX ustawy Pzp (art. 505–590).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Theme="majorHAnsi" w:hAnsiTheme="majorHAnsi"/>
          <w:b/>
          <w:i/>
          <w:color w:val="002060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Theme="majorHAnsi" w:hAnsiTheme="majorHAnsi"/>
          <w:b/>
          <w:i/>
          <w:color w:val="002060"/>
        </w:rPr>
      </w:r>
    </w:p>
    <w:p>
      <w:pPr>
        <w:pStyle w:val="Normal"/>
        <w:bidi w:val="0"/>
        <w:spacing w:lineRule="atLeast" w:line="200" w:before="0" w:after="0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  <w:t>BURMISTRZ  WŁODAWY</w:t>
      </w:r>
    </w:p>
    <w:p>
      <w:pPr>
        <w:pStyle w:val="Normal"/>
        <w:bidi w:val="0"/>
        <w:spacing w:lineRule="atLeast" w:line="200" w:before="0" w:after="0"/>
        <w:jc w:val="right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(-) Wiesław Muszyński  </w:t>
      </w:r>
    </w:p>
    <w:p>
      <w:pPr>
        <w:pStyle w:val="Normal"/>
        <w:bidi w:val="0"/>
        <w:spacing w:lineRule="atLeast" w:line="200" w:before="0" w:after="0"/>
        <w:jc w:val="both"/>
        <w:rPr>
          <w:color w:val="000000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4248" w:firstLine="708"/>
        <w:jc w:val="right"/>
        <w:rPr>
          <w:rFonts w:eastAsia="Times New Roman" w:cs="Arial" w:asciiTheme="majorHAnsi" w:hAnsiTheme="majorHAnsi"/>
          <w:sz w:val="24"/>
          <w:szCs w:val="24"/>
        </w:rPr>
      </w:pPr>
      <w:r>
        <w:rPr/>
        <w:t xml:space="preserve">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rFonts w:cs="Times New Roman"/>
      <w:color w:val="954F7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473</TotalTime>
  <Application>LibreOffice/7.0.0.3$Windows_X86_64 LibreOffice_project/8061b3e9204bef6b321a21033174034a5e2ea88e</Application>
  <Pages>2</Pages>
  <Words>354</Words>
  <Characters>2202</Characters>
  <CharactersWithSpaces>2576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2022-04-19T11:21:42Z</dcterms:created>
  <dc:creator/>
  <dc:description/>
  <dc:language>pl-PL</dc:language>
  <cp:lastModifiedBy/>
  <cp:lastPrinted>2022-09-08T09:23:54Z</cp:lastPrinted>
  <dcterms:modified xsi:type="dcterms:W3CDTF">2022-10-10T14:04:22Z</dcterms:modified>
  <cp:revision>18</cp:revision>
  <dc:subject/>
  <dc:title/>
</cp:coreProperties>
</file>