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027F9816" w14:textId="5BCFBA3D" w:rsidR="00F046C0" w:rsidRDefault="00F046C0"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Wykaz </w:t>
      </w:r>
      <w:r w:rsidR="00D72BD6">
        <w:rPr>
          <w:rFonts w:ascii="Open Sans" w:hAnsi="Open Sans" w:cs="Open Sans"/>
          <w:color w:val="000000"/>
          <w:sz w:val="22"/>
          <w:szCs w:val="22"/>
        </w:rPr>
        <w:t xml:space="preserve">zrealizowanych </w:t>
      </w:r>
      <w:r>
        <w:rPr>
          <w:rFonts w:ascii="Open Sans" w:hAnsi="Open Sans" w:cs="Open Sans"/>
          <w:color w:val="000000"/>
          <w:sz w:val="22"/>
          <w:szCs w:val="22"/>
        </w:rPr>
        <w:t xml:space="preserve">dostaw.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466BB53C" w:rsidR="00EB1AA8" w:rsidRPr="00EB1AA8" w:rsidRDefault="00F7030D" w:rsidP="003749FB">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1" w:name="_Hlk126926511"/>
      <w:r w:rsidR="00AD6066">
        <w:rPr>
          <w:rFonts w:ascii="Open Sans" w:hAnsi="Open Sans" w:cstheme="minorHAnsi"/>
          <w:sz w:val="20"/>
          <w:szCs w:val="20"/>
        </w:rPr>
        <w:t xml:space="preserve"> </w:t>
      </w:r>
      <w:r w:rsidR="003749FB" w:rsidRPr="003749FB">
        <w:rPr>
          <w:rFonts w:ascii="Open Sans" w:hAnsi="Open Sans" w:cs="Open Sans"/>
          <w:i/>
          <w:iCs/>
          <w:color w:val="C45911" w:themeColor="accent2" w:themeShade="BF"/>
          <w:sz w:val="20"/>
          <w:szCs w:val="20"/>
          <w:u w:val="single"/>
        </w:rPr>
        <w:t xml:space="preserve">„Dostawa  nowego nadwozia piaskarko – solarki  wyposażonej w instalację zwilżania soli”.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2F20A084" w14:textId="77777777" w:rsidR="009274F6" w:rsidRDefault="009274F6"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0A4E6D7F" w14:textId="77777777" w:rsidR="004B7A2F" w:rsidRDefault="004B7A2F"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6BC9348D" w:rsidR="00EB1AA8" w:rsidRPr="00EB1AA8" w:rsidRDefault="00BD2371" w:rsidP="00BD2371">
      <w:pPr>
        <w:spacing w:line="360" w:lineRule="auto"/>
        <w:ind w:right="-427"/>
        <w:jc w:val="both"/>
        <w:rPr>
          <w:rFonts w:ascii="Open Sans" w:hAnsi="Open Sans" w:cs="Open Sans"/>
          <w:i/>
          <w:iCs/>
          <w:color w:val="C45911" w:themeColor="accent2" w:themeShade="BF"/>
          <w:sz w:val="20"/>
          <w:szCs w:val="20"/>
        </w:rPr>
      </w:pPr>
      <w:bookmarkStart w:id="3" w:name="_Hlk107386637"/>
      <w:r w:rsidRPr="00BD2371">
        <w:rPr>
          <w:rFonts w:ascii="Open Sans" w:hAnsi="Open Sans" w:cs="Open Sans"/>
          <w:i/>
          <w:iCs/>
          <w:color w:val="C45911" w:themeColor="accent2" w:themeShade="BF"/>
          <w:sz w:val="20"/>
          <w:szCs w:val="20"/>
          <w:u w:val="single"/>
        </w:rPr>
        <w:t xml:space="preserve">„Dostawa  nowego nadwozia piaskarko – solarki  wyposażonej w instalację zwilżania soli”.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E21CC2" w:rsidRPr="00E21CC2">
        <w:rPr>
          <w:rFonts w:ascii="Open Sans" w:hAnsi="Open Sans" w:cs="Open Sans"/>
          <w:i/>
          <w:iCs/>
          <w:color w:val="C45911" w:themeColor="accent2" w:themeShade="BF"/>
          <w:sz w:val="20"/>
          <w:szCs w:val="20"/>
          <w:u w:val="single"/>
        </w:rPr>
        <w:t xml:space="preserve">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3"/>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późń.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1F6C561A" w14:textId="77777777" w:rsidR="003757C0" w:rsidRDefault="003757C0"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1138E54"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 z późn.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7F09650D" w:rsidR="00EB1AA8" w:rsidRPr="00EC0C3E" w:rsidRDefault="0097780D" w:rsidP="00072CB3">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 xml:space="preserve">:  </w:t>
      </w:r>
      <w:r w:rsidR="00365BFC" w:rsidRPr="00365BFC">
        <w:rPr>
          <w:rFonts w:ascii="Open Sans" w:hAnsi="Open Sans" w:cs="Open Sans"/>
          <w:i/>
          <w:iCs/>
          <w:color w:val="C45911" w:themeColor="accent2" w:themeShade="BF"/>
          <w:sz w:val="20"/>
          <w:szCs w:val="20"/>
          <w:u w:val="single"/>
        </w:rPr>
        <w:t xml:space="preserve">„Dostawa  nowego nadwozia piaskarko – solarki  wyposażonej w instalację zwilżania soli”.                      </w:t>
      </w:r>
      <w:r w:rsidR="00072CB3" w:rsidRPr="00072CB3">
        <w:rPr>
          <w:rFonts w:ascii="Open Sans" w:hAnsi="Open Sans" w:cs="Open Sans"/>
          <w:i/>
          <w:iCs/>
          <w:color w:val="C45911" w:themeColor="accent2" w:themeShade="BF"/>
          <w:sz w:val="20"/>
          <w:szCs w:val="20"/>
          <w:u w:val="single"/>
        </w:rPr>
        <w:t xml:space="preserve">     </w:t>
      </w:r>
      <w:r w:rsidR="003757C0" w:rsidRPr="003757C0">
        <w:rPr>
          <w:rFonts w:ascii="Open Sans" w:hAnsi="Open Sans" w:cs="Open Sans"/>
          <w:i/>
          <w:iCs/>
          <w:color w:val="C45911" w:themeColor="accent2" w:themeShade="BF"/>
          <w:sz w:val="20"/>
          <w:szCs w:val="20"/>
          <w:u w:val="single"/>
        </w:rPr>
        <w:t xml:space="preserve">    </w:t>
      </w:r>
      <w:r w:rsidR="00855887" w:rsidRPr="00855887">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239D4B1A"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t.j.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436CF91D" w:rsidR="00EB1AA8" w:rsidRPr="00EB1AA8" w:rsidRDefault="0097780D" w:rsidP="00072CB3">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365BFC" w:rsidRPr="00365BFC">
        <w:rPr>
          <w:rFonts w:ascii="Open Sans" w:hAnsi="Open Sans" w:cs="Open Sans"/>
          <w:i/>
          <w:iCs/>
          <w:color w:val="C45911" w:themeColor="accent2" w:themeShade="BF"/>
          <w:sz w:val="20"/>
          <w:szCs w:val="20"/>
          <w:u w:val="single"/>
        </w:rPr>
        <w:t xml:space="preserve">„Dostawa  nowego nadwozia piaskarko – solarki  wyposażonej w instalację zwilżania soli”.                      </w:t>
      </w:r>
      <w:r w:rsidR="00072CB3" w:rsidRPr="00072CB3">
        <w:rPr>
          <w:rFonts w:ascii="Open Sans" w:hAnsi="Open Sans" w:cs="Open Sans"/>
          <w:i/>
          <w:iCs/>
          <w:color w:val="C45911" w:themeColor="accent2" w:themeShade="BF"/>
          <w:sz w:val="20"/>
          <w:szCs w:val="20"/>
          <w:u w:val="single"/>
        </w:rPr>
        <w:t xml:space="preserve">     </w:t>
      </w:r>
      <w:r w:rsidR="0079296F" w:rsidRPr="0079296F">
        <w:rPr>
          <w:rFonts w:ascii="Open Sans" w:hAnsi="Open Sans" w:cs="Open Sans"/>
          <w:i/>
          <w:iCs/>
          <w:color w:val="C45911" w:themeColor="accent2" w:themeShade="BF"/>
          <w:sz w:val="20"/>
          <w:szCs w:val="20"/>
          <w:u w:val="single"/>
        </w:rPr>
        <w:t xml:space="preserve">    </w:t>
      </w:r>
      <w:r w:rsidR="007D4D2D" w:rsidRPr="007D4D2D">
        <w:rPr>
          <w:rFonts w:ascii="Open Sans" w:hAnsi="Open Sans" w:cs="Open Sans"/>
          <w:i/>
          <w:iCs/>
          <w:color w:val="C45911" w:themeColor="accent2" w:themeShade="BF"/>
          <w:sz w:val="20"/>
          <w:szCs w:val="20"/>
          <w:u w:val="single"/>
        </w:rPr>
        <w:t xml:space="preserve">   </w:t>
      </w:r>
      <w:r w:rsidR="00E5721C" w:rsidRPr="00E5721C">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lastRenderedPageBreak/>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97780D">
      <w:pPr>
        <w:spacing w:before="120"/>
        <w:ind w:left="4678"/>
        <w:jc w:val="both"/>
        <w:rPr>
          <w:rFonts w:ascii="Arial" w:hAnsi="Arial" w:cs="Arial"/>
          <w:bCs/>
          <w:sz w:val="18"/>
          <w:szCs w:val="18"/>
        </w:rPr>
      </w:pPr>
    </w:p>
    <w:p w14:paraId="366D5026"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2143C71E" w14:textId="77777777" w:rsidR="002B4749" w:rsidRDefault="002B4749" w:rsidP="002B4749">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403A9653" w14:textId="77777777" w:rsidR="002B4749" w:rsidRDefault="002B4749" w:rsidP="002B4749">
      <w:pPr>
        <w:tabs>
          <w:tab w:val="left" w:pos="708"/>
        </w:tabs>
        <w:suppressAutoHyphens/>
        <w:jc w:val="center"/>
        <w:rPr>
          <w:rFonts w:ascii="Open Sans" w:hAnsi="Open Sans" w:cs="Open Sans"/>
          <w:b/>
          <w:bCs/>
          <w:iCs/>
          <w:lang w:eastAsia="zh-CN"/>
        </w:rPr>
      </w:pPr>
    </w:p>
    <w:p w14:paraId="22A5D27C" w14:textId="5638FEF8" w:rsidR="002B4749" w:rsidRPr="00EB1AA8" w:rsidRDefault="00BC3B42" w:rsidP="00072CB3">
      <w:pPr>
        <w:spacing w:line="360" w:lineRule="auto"/>
        <w:ind w:right="-427"/>
        <w:jc w:val="center"/>
        <w:rPr>
          <w:rFonts w:ascii="Open Sans" w:hAnsi="Open Sans" w:cs="Open Sans"/>
          <w:i/>
          <w:iCs/>
          <w:color w:val="C45911" w:themeColor="accent2" w:themeShade="BF"/>
          <w:sz w:val="20"/>
          <w:szCs w:val="20"/>
        </w:rPr>
      </w:pPr>
      <w:r w:rsidRPr="00BC3B42">
        <w:rPr>
          <w:rFonts w:ascii="Open Sans" w:hAnsi="Open Sans" w:cs="Open Sans"/>
          <w:i/>
          <w:iCs/>
          <w:color w:val="C45911" w:themeColor="accent2" w:themeShade="BF"/>
          <w:sz w:val="20"/>
          <w:szCs w:val="20"/>
          <w:u w:val="single"/>
        </w:rPr>
        <w:t xml:space="preserve">„Dostawa  nowego nadwozia piaskarko – solarki  wyposażonej w instalację zwilżania soli”.                      </w:t>
      </w:r>
      <w:r w:rsidR="00072CB3" w:rsidRPr="00072CB3">
        <w:rPr>
          <w:rFonts w:ascii="Open Sans" w:hAnsi="Open Sans" w:cs="Open Sans"/>
          <w:i/>
          <w:iCs/>
          <w:color w:val="C45911" w:themeColor="accent2" w:themeShade="BF"/>
          <w:sz w:val="20"/>
          <w:szCs w:val="20"/>
          <w:u w:val="single"/>
        </w:rPr>
        <w:t xml:space="preserve">     </w:t>
      </w:r>
      <w:r w:rsidR="009B7F28" w:rsidRPr="009B7F28">
        <w:rPr>
          <w:rFonts w:ascii="Open Sans" w:hAnsi="Open Sans" w:cs="Open Sans"/>
          <w:i/>
          <w:iCs/>
          <w:color w:val="C45911" w:themeColor="accent2" w:themeShade="BF"/>
          <w:sz w:val="20"/>
          <w:szCs w:val="20"/>
          <w:u w:val="single"/>
        </w:rPr>
        <w:t xml:space="preserve">    </w:t>
      </w:r>
      <w:r w:rsidR="00E35CDF" w:rsidRPr="00E35CDF">
        <w:rPr>
          <w:rFonts w:ascii="Open Sans" w:hAnsi="Open Sans" w:cs="Open Sans"/>
          <w:i/>
          <w:iCs/>
          <w:color w:val="C45911" w:themeColor="accent2" w:themeShade="BF"/>
          <w:sz w:val="20"/>
          <w:szCs w:val="20"/>
          <w:u w:val="single"/>
        </w:rPr>
        <w:t xml:space="preserve">   </w:t>
      </w:r>
      <w:r w:rsidR="00B57D32" w:rsidRPr="00B57D32">
        <w:rPr>
          <w:rFonts w:ascii="Open Sans" w:hAnsi="Open Sans" w:cs="Open Sans"/>
          <w:i/>
          <w:iCs/>
          <w:color w:val="C45911" w:themeColor="accent2" w:themeShade="BF"/>
          <w:sz w:val="20"/>
          <w:szCs w:val="20"/>
          <w:u w:val="single"/>
        </w:rPr>
        <w:t xml:space="preserve">       </w:t>
      </w:r>
    </w:p>
    <w:p w14:paraId="4E889AD7" w14:textId="77777777" w:rsidR="002B4749" w:rsidRDefault="002B4749" w:rsidP="002B4749">
      <w:pPr>
        <w:tabs>
          <w:tab w:val="left" w:pos="708"/>
        </w:tabs>
        <w:suppressAutoHyphens/>
        <w:jc w:val="center"/>
        <w:rPr>
          <w:rFonts w:ascii="Open Sans" w:hAnsi="Open Sans" w:cs="Open Sans"/>
          <w:b/>
          <w:bCs/>
          <w:iCs/>
          <w:lang w:eastAsia="zh-CN"/>
        </w:rPr>
      </w:pPr>
    </w:p>
    <w:p w14:paraId="69A901FE" w14:textId="77777777" w:rsidR="002B4749" w:rsidRDefault="002B4749" w:rsidP="002B4749">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2B4749" w14:paraId="5F5C069E" w14:textId="77777777" w:rsidTr="007D69EA">
        <w:trPr>
          <w:trHeight w:val="1609"/>
        </w:trPr>
        <w:tc>
          <w:tcPr>
            <w:tcW w:w="2440" w:type="dxa"/>
            <w:tcBorders>
              <w:top w:val="single" w:sz="4" w:space="0" w:color="00000A"/>
              <w:left w:val="single" w:sz="4" w:space="0" w:color="00000A"/>
              <w:bottom w:val="single" w:sz="4" w:space="0" w:color="00000A"/>
              <w:right w:val="nil"/>
            </w:tcBorders>
            <w:vAlign w:val="center"/>
          </w:tcPr>
          <w:p w14:paraId="13BE6FF4" w14:textId="77777777" w:rsidR="002B4749" w:rsidRDefault="002B4749" w:rsidP="007D69EA">
            <w:pPr>
              <w:snapToGrid w:val="0"/>
              <w:jc w:val="center"/>
              <w:rPr>
                <w:rFonts w:ascii="Open Sans" w:hAnsi="Open Sans" w:cs="Open Sans"/>
                <w:bCs/>
                <w:sz w:val="20"/>
                <w:szCs w:val="20"/>
                <w:lang w:eastAsia="zh-CN"/>
              </w:rPr>
            </w:pPr>
          </w:p>
          <w:p w14:paraId="0BD98EBA"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34453A0E"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5ED105AC" w14:textId="77777777" w:rsidR="002B4749" w:rsidRDefault="002B4749" w:rsidP="007D69EA">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13D3887B" w14:textId="77777777" w:rsidR="002B4749" w:rsidRDefault="002B4749" w:rsidP="007D69EA">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352786DD" w14:textId="77777777" w:rsidR="002B4749" w:rsidRDefault="002B4749" w:rsidP="007D69EA">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486D9E42" w14:textId="77777777" w:rsidR="002B4749" w:rsidRDefault="002B4749" w:rsidP="007D69E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305D18E1"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E902D7A"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7C2D94EE" w14:textId="77777777" w:rsidR="002B4749" w:rsidRDefault="002B4749" w:rsidP="007D69EA">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BB77926" w14:textId="3143CDB7" w:rsidR="002B4749" w:rsidRDefault="002B4749" w:rsidP="007D69EA">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w:t>
            </w:r>
            <w:r w:rsidR="00BC3B42">
              <w:rPr>
                <w:rFonts w:ascii="Open Sans" w:hAnsi="Open Sans" w:cs="Open Sans"/>
                <w:bCs/>
                <w:i/>
                <w:iCs/>
                <w:color w:val="FF0000"/>
                <w:sz w:val="20"/>
                <w:szCs w:val="20"/>
                <w:lang w:eastAsia="zh-CN"/>
              </w:rPr>
              <w:t>netto</w:t>
            </w:r>
            <w:r>
              <w:rPr>
                <w:rFonts w:ascii="Open Sans"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48AFAF66" w14:textId="77777777" w:rsidR="002B4749" w:rsidRDefault="002B4749" w:rsidP="007D69EA">
            <w:pPr>
              <w:tabs>
                <w:tab w:val="left" w:pos="708"/>
              </w:tabs>
              <w:snapToGrid w:val="0"/>
              <w:jc w:val="center"/>
              <w:rPr>
                <w:rFonts w:ascii="Open Sans" w:hAnsi="Open Sans" w:cs="Open Sans"/>
                <w:bCs/>
                <w:i/>
                <w:iCs/>
                <w:sz w:val="20"/>
                <w:szCs w:val="20"/>
                <w:lang w:eastAsia="en-US"/>
              </w:rPr>
            </w:pPr>
          </w:p>
          <w:p w14:paraId="16E8BAFE" w14:textId="77777777" w:rsidR="002B4749" w:rsidRDefault="002B4749" w:rsidP="007D69EA">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795A5B11" w14:textId="77777777" w:rsidR="002B4749" w:rsidRDefault="002B4749" w:rsidP="007D69EA">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A648F3E" w14:textId="77777777" w:rsidR="002B4749" w:rsidRDefault="002B4749" w:rsidP="007D69EA">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1ED7FEF0" w14:textId="77777777" w:rsidR="002B4749" w:rsidRDefault="002B4749" w:rsidP="007D69EA">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2B4749" w14:paraId="42A30170"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6876B589" w14:textId="77777777" w:rsidR="002B4749" w:rsidRDefault="002B4749" w:rsidP="007D69EA">
            <w:pPr>
              <w:tabs>
                <w:tab w:val="left" w:pos="708"/>
              </w:tabs>
              <w:suppressAutoHyphens/>
              <w:snapToGrid w:val="0"/>
              <w:rPr>
                <w:rFonts w:ascii="Open Sans" w:hAnsi="Open Sans" w:cs="Open Sans"/>
                <w:sz w:val="22"/>
                <w:szCs w:val="22"/>
                <w:lang w:eastAsia="zh-CN"/>
              </w:rPr>
            </w:pPr>
          </w:p>
          <w:p w14:paraId="2D1F3651" w14:textId="77777777" w:rsidR="002B4749" w:rsidRDefault="002B4749" w:rsidP="007D69EA">
            <w:pPr>
              <w:tabs>
                <w:tab w:val="left" w:pos="708"/>
              </w:tabs>
              <w:suppressAutoHyphens/>
              <w:rPr>
                <w:rFonts w:ascii="Open Sans" w:hAnsi="Open Sans" w:cs="Open Sans"/>
                <w:lang w:eastAsia="zh-CN"/>
              </w:rPr>
            </w:pPr>
          </w:p>
          <w:p w14:paraId="21738A55" w14:textId="77777777" w:rsidR="002B4749" w:rsidRDefault="002B4749" w:rsidP="007D69EA">
            <w:pPr>
              <w:tabs>
                <w:tab w:val="left" w:pos="708"/>
              </w:tabs>
              <w:suppressAutoHyphens/>
              <w:rPr>
                <w:rFonts w:ascii="Open Sans" w:hAnsi="Open Sans" w:cs="Open Sans"/>
                <w:lang w:eastAsia="zh-CN"/>
              </w:rPr>
            </w:pPr>
          </w:p>
          <w:p w14:paraId="688EAE9A" w14:textId="77777777" w:rsidR="002B4749" w:rsidRDefault="002B4749" w:rsidP="007D69EA">
            <w:pPr>
              <w:tabs>
                <w:tab w:val="left" w:pos="708"/>
              </w:tabs>
              <w:suppressAutoHyphens/>
              <w:rPr>
                <w:rFonts w:ascii="Open Sans" w:hAnsi="Open Sans" w:cs="Open Sans"/>
                <w:lang w:eastAsia="zh-CN"/>
              </w:rPr>
            </w:pPr>
          </w:p>
          <w:p w14:paraId="44CD2DFA" w14:textId="77777777" w:rsidR="002B4749" w:rsidRDefault="002B4749" w:rsidP="007D69EA">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E69961B" w14:textId="77777777" w:rsidR="002B4749" w:rsidRDefault="002B4749" w:rsidP="007D69EA">
            <w:pPr>
              <w:tabs>
                <w:tab w:val="left" w:pos="708"/>
              </w:tabs>
              <w:suppressAutoHyphens/>
              <w:snapToGrid w:val="0"/>
              <w:jc w:val="center"/>
              <w:rPr>
                <w:rFonts w:ascii="Open Sans" w:hAnsi="Open Sans" w:cs="Open Sans"/>
                <w:lang w:eastAsia="zh-CN"/>
              </w:rPr>
            </w:pPr>
          </w:p>
          <w:p w14:paraId="03B04BD3" w14:textId="77777777" w:rsidR="002B4749" w:rsidRDefault="002B4749" w:rsidP="007D69EA">
            <w:pPr>
              <w:tabs>
                <w:tab w:val="left" w:pos="708"/>
              </w:tabs>
              <w:suppressAutoHyphens/>
              <w:jc w:val="center"/>
              <w:rPr>
                <w:rFonts w:ascii="Open Sans" w:hAnsi="Open Sans" w:cs="Open Sans"/>
                <w:lang w:eastAsia="zh-CN"/>
              </w:rPr>
            </w:pPr>
          </w:p>
          <w:p w14:paraId="1D59921B" w14:textId="77777777" w:rsidR="002B4749" w:rsidRDefault="002B4749" w:rsidP="007D69EA">
            <w:pPr>
              <w:tabs>
                <w:tab w:val="left" w:pos="708"/>
              </w:tabs>
              <w:suppressAutoHyphens/>
              <w:rPr>
                <w:rFonts w:ascii="Open Sans" w:hAnsi="Open Sans" w:cs="Open Sans"/>
                <w:lang w:eastAsia="zh-CN"/>
              </w:rPr>
            </w:pPr>
          </w:p>
          <w:p w14:paraId="1046CEFB" w14:textId="77777777" w:rsidR="002B4749" w:rsidRDefault="002B4749" w:rsidP="007D69EA">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77F3D5E"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761EBE2" w14:textId="77777777" w:rsidR="002B4749" w:rsidRDefault="002B4749" w:rsidP="007D69EA">
            <w:pPr>
              <w:tabs>
                <w:tab w:val="left" w:pos="708"/>
              </w:tabs>
              <w:suppressAutoHyphens/>
              <w:snapToGrid w:val="0"/>
              <w:jc w:val="center"/>
              <w:rPr>
                <w:rFonts w:ascii="Open Sans" w:hAnsi="Open Sans" w:cs="Open Sans"/>
                <w:lang w:eastAsia="zh-CN"/>
              </w:rPr>
            </w:pPr>
          </w:p>
        </w:tc>
      </w:tr>
      <w:tr w:rsidR="002B4749" w14:paraId="74F90A13"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027AF258" w14:textId="77777777" w:rsidR="002B4749" w:rsidRDefault="002B4749" w:rsidP="007D69EA">
            <w:pPr>
              <w:tabs>
                <w:tab w:val="left" w:pos="708"/>
              </w:tabs>
              <w:suppressAutoHyphens/>
              <w:snapToGrid w:val="0"/>
              <w:rPr>
                <w:rFonts w:ascii="Open Sans" w:hAnsi="Open Sans" w:cs="Open Sans"/>
                <w:lang w:eastAsia="zh-CN"/>
              </w:rPr>
            </w:pPr>
          </w:p>
          <w:p w14:paraId="41AFC67A" w14:textId="77777777" w:rsidR="002B4749" w:rsidRDefault="002B4749" w:rsidP="007D69EA">
            <w:pPr>
              <w:tabs>
                <w:tab w:val="left" w:pos="708"/>
              </w:tabs>
              <w:suppressAutoHyphens/>
              <w:snapToGrid w:val="0"/>
              <w:rPr>
                <w:rFonts w:ascii="Open Sans" w:hAnsi="Open Sans" w:cs="Open Sans"/>
                <w:lang w:eastAsia="zh-CN"/>
              </w:rPr>
            </w:pPr>
          </w:p>
          <w:p w14:paraId="0F5E0C1E" w14:textId="77777777" w:rsidR="002B4749" w:rsidRDefault="002B4749" w:rsidP="007D69EA">
            <w:pPr>
              <w:tabs>
                <w:tab w:val="left" w:pos="708"/>
              </w:tabs>
              <w:suppressAutoHyphens/>
              <w:snapToGrid w:val="0"/>
              <w:rPr>
                <w:rFonts w:ascii="Open Sans" w:hAnsi="Open Sans" w:cs="Open Sans"/>
                <w:lang w:eastAsia="zh-CN"/>
              </w:rPr>
            </w:pPr>
          </w:p>
          <w:p w14:paraId="2603A48E" w14:textId="77777777" w:rsidR="002B4749" w:rsidRDefault="002B4749" w:rsidP="007D69EA">
            <w:pPr>
              <w:tabs>
                <w:tab w:val="left" w:pos="708"/>
              </w:tabs>
              <w:suppressAutoHyphens/>
              <w:snapToGrid w:val="0"/>
              <w:rPr>
                <w:rFonts w:ascii="Open Sans" w:hAnsi="Open Sans" w:cs="Open Sans"/>
                <w:lang w:eastAsia="zh-CN"/>
              </w:rPr>
            </w:pPr>
          </w:p>
          <w:p w14:paraId="74CCA443" w14:textId="77777777" w:rsidR="002B4749" w:rsidRDefault="002B4749" w:rsidP="007D69EA">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9C6A5E2" w14:textId="77777777" w:rsidR="002B4749" w:rsidRDefault="002B4749" w:rsidP="007D69EA">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4D6BF93"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D80102B" w14:textId="77777777" w:rsidR="002B4749" w:rsidRDefault="002B4749" w:rsidP="007D69EA">
            <w:pPr>
              <w:tabs>
                <w:tab w:val="left" w:pos="708"/>
              </w:tabs>
              <w:suppressAutoHyphens/>
              <w:snapToGrid w:val="0"/>
              <w:jc w:val="center"/>
              <w:rPr>
                <w:rFonts w:ascii="Open Sans" w:hAnsi="Open Sans" w:cs="Open Sans"/>
                <w:lang w:eastAsia="zh-CN"/>
              </w:rPr>
            </w:pPr>
          </w:p>
        </w:tc>
      </w:tr>
    </w:tbl>
    <w:p w14:paraId="11046D8C" w14:textId="77777777" w:rsidR="002B4749" w:rsidRDefault="002B4749" w:rsidP="002B4749">
      <w:pPr>
        <w:widowControl w:val="0"/>
        <w:tabs>
          <w:tab w:val="left" w:pos="708"/>
        </w:tabs>
        <w:suppressAutoHyphens/>
        <w:rPr>
          <w:rFonts w:ascii="Open Sans" w:hAnsi="Open Sans" w:cs="Open Sans"/>
          <w:b/>
          <w:color w:val="FF0000"/>
          <w:sz w:val="22"/>
          <w:szCs w:val="22"/>
          <w:u w:val="single"/>
          <w:lang w:eastAsia="zh-CN"/>
        </w:rPr>
      </w:pPr>
    </w:p>
    <w:p w14:paraId="71EB4409" w14:textId="77777777"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699E059A" w14:textId="50ACF965"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Rodzaj dostawy wykazany w tabeli powinien być opisany precyzyjnie i jednoznacznie odpowiadać warunkom postawionym przez Zamawiającego w SWZ</w:t>
      </w:r>
      <w:r w:rsidR="00B57D32">
        <w:rPr>
          <w:rFonts w:ascii="Open Sans" w:hAnsi="Open Sans" w:cs="Open Sans"/>
          <w:bCs/>
          <w:i/>
          <w:color w:val="FF0000"/>
          <w:sz w:val="20"/>
          <w:szCs w:val="20"/>
          <w:lang w:eastAsia="zh-CN"/>
        </w:rPr>
        <w:t xml:space="preserve">. </w:t>
      </w:r>
    </w:p>
    <w:p w14:paraId="6E49DA5B" w14:textId="77777777" w:rsidR="002B4749" w:rsidRPr="00FC3A6F" w:rsidRDefault="002B4749" w:rsidP="002B4749">
      <w:pPr>
        <w:widowControl w:val="0"/>
        <w:tabs>
          <w:tab w:val="left" w:pos="708"/>
        </w:tabs>
        <w:suppressAutoHyphens/>
        <w:rPr>
          <w:rFonts w:ascii="Open Sans" w:hAnsi="Open Sans" w:cs="Open Sans"/>
          <w:b/>
          <w:bCs/>
          <w:i/>
          <w:color w:val="FF0000"/>
          <w:lang w:eastAsia="zh-CN"/>
        </w:rPr>
      </w:pPr>
    </w:p>
    <w:p w14:paraId="224AC71A" w14:textId="77777777" w:rsidR="002B4749" w:rsidRPr="00FC3A6F" w:rsidRDefault="002B4749" w:rsidP="002B4749">
      <w:pPr>
        <w:tabs>
          <w:tab w:val="left" w:pos="708"/>
        </w:tabs>
        <w:suppressAutoHyphens/>
        <w:rPr>
          <w:rFonts w:ascii="Open Sans" w:hAnsi="Open Sans" w:cs="Open Sans"/>
          <w:i/>
          <w:iCs/>
          <w:color w:val="FF0000"/>
          <w:lang w:eastAsia="zh-CN"/>
        </w:rPr>
      </w:pPr>
    </w:p>
    <w:p w14:paraId="29C4F59B"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040F07E4"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p w14:paraId="5233F16E" w14:textId="77777777" w:rsidR="002B4749" w:rsidRPr="00A4435E" w:rsidRDefault="002B4749" w:rsidP="0097780D">
      <w:pPr>
        <w:spacing w:before="120"/>
        <w:ind w:left="4678"/>
        <w:jc w:val="both"/>
        <w:rPr>
          <w:rFonts w:ascii="Arial" w:hAnsi="Arial" w:cs="Arial"/>
          <w:bCs/>
          <w:i/>
          <w:sz w:val="18"/>
          <w:szCs w:val="18"/>
        </w:rPr>
      </w:pP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D572" w14:textId="77777777" w:rsidR="00A530F5" w:rsidRDefault="00A530F5" w:rsidP="00377D59">
      <w:r>
        <w:separator/>
      </w:r>
    </w:p>
  </w:endnote>
  <w:endnote w:type="continuationSeparator" w:id="0">
    <w:p w14:paraId="3B1ED758" w14:textId="77777777" w:rsidR="00A530F5" w:rsidRDefault="00A530F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D191" w14:textId="77777777" w:rsidR="00A530F5" w:rsidRDefault="00A530F5" w:rsidP="00377D59">
      <w:r>
        <w:separator/>
      </w:r>
    </w:p>
  </w:footnote>
  <w:footnote w:type="continuationSeparator" w:id="0">
    <w:p w14:paraId="657C40C4" w14:textId="77777777" w:rsidR="00A530F5" w:rsidRDefault="00A530F5"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D59"/>
    <w:rsid w:val="00382228"/>
    <w:rsid w:val="00384D60"/>
    <w:rsid w:val="00384FDA"/>
    <w:rsid w:val="0039612D"/>
    <w:rsid w:val="003A1F64"/>
    <w:rsid w:val="003A731F"/>
    <w:rsid w:val="003C4885"/>
    <w:rsid w:val="003C748D"/>
    <w:rsid w:val="003E7BE2"/>
    <w:rsid w:val="003F6682"/>
    <w:rsid w:val="003F6D1C"/>
    <w:rsid w:val="00402F3B"/>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E36EE"/>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9296F"/>
    <w:rsid w:val="007A5995"/>
    <w:rsid w:val="007B130C"/>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4F6"/>
    <w:rsid w:val="0092788C"/>
    <w:rsid w:val="00927DEB"/>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530F5"/>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57D32"/>
    <w:rsid w:val="00B84F98"/>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1983</Words>
  <Characters>11898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83</cp:revision>
  <cp:lastPrinted>2023-03-17T12:35:00Z</cp:lastPrinted>
  <dcterms:created xsi:type="dcterms:W3CDTF">2022-12-12T17:44:00Z</dcterms:created>
  <dcterms:modified xsi:type="dcterms:W3CDTF">2023-09-14T11:23:00Z</dcterms:modified>
</cp:coreProperties>
</file>