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3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32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33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  <w:r>
        <w:rPr>
          <w:sz w:val="22"/>
          <w:szCs w:val="22"/>
        </w:rPr>
        <w:br/>
        <w:t>Zadanie 2: Remont ciągu pieszego przy ul. Jana III Sobieskiego w Legionowie na terenie działki nr 157 obr. 66 przy bloku 102.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1: Remont ciągu pieszego przy ul. Jana III Sobieskiego w Legionowie na terenie działki nr 156 obr. 66 przy bloku 101, Zadanie 2: Remont ciągu pieszego przy ul. Jana III Sobieskiego w Legionowie na terenie działki nr 157 obr. 66 przy bloku 102.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Cena ofertowa brutto za Zadanie 2: Remont ciągu pieszego przy ul. Jana III Sobieskiego w Legionowie na terenie działki nr 157 obr. 66 przy bloku 102.: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34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35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okres gwarancji na roboty budowlane”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okres gwarancji na roboty budowlane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6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roboty budowlane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0 dni kalendarzowych od dnia wprowadzenia Wykonawcy na budowę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2021r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Zadanie 2: Remont ciągu pieszego przy ul. Jana III Sobieskiego w Legionowie na terenie działki nr 157 obr. 66 przy bloku 102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37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8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39" w:shapeid="control_shape_10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69.4pt;height:16.95pt" type="#_x0000_t75"/>
          <w:control r:id="rId13" w:name="unnamed1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85.65pt;height:16.95pt" type="#_x0000_t75"/>
          <w:control r:id="rId14" w:name="unnamed11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40" w:shapeid="control_shape_13"/>
        </w:objec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5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  <w:num w:numId="5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3</Pages>
  <Words>749</Words>
  <Characters>4718</Characters>
  <CharactersWithSpaces>5408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2021-10-21T11:17:49Z</dcterms:created>
  <dc:creator/>
  <dc:description/>
  <dc:language>pl-PL</dc:language>
  <cp:lastModifiedBy/>
  <dcterms:modified xsi:type="dcterms:W3CDTF">2021-10-21T11:33:57Z</dcterms:modified>
  <cp:revision>2</cp:revision>
  <dc:subject/>
  <dc:title/>
</cp:coreProperties>
</file>