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41" w:rsidRPr="00BF2652" w:rsidRDefault="00774FD0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</w:t>
      </w:r>
      <w:r w:rsidR="00FB1CFF" w:rsidRPr="00BF2652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 xml:space="preserve"> </w:t>
      </w:r>
      <w:r w:rsidR="00722A9F"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1</w:t>
      </w:r>
    </w:p>
    <w:p w:rsidR="00A33D41" w:rsidRPr="00BF2652" w:rsidRDefault="0061692F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61692F">
        <w:rPr>
          <w:rFonts w:asciiTheme="minorHAnsi" w:hAnsiTheme="minorHAnsi" w:cstheme="minorHAnsi"/>
          <w:sz w:val="20"/>
          <w:szCs w:val="20"/>
          <w:lang w:eastAsia="pl-PL"/>
        </w:rPr>
        <w:t>APARAT DO KRĄŻENIA POZAUSTROJOWEGO Z WYMIENNIKIEM CIEPŁA</w:t>
      </w:r>
      <w:r>
        <w:rPr>
          <w:rFonts w:asciiTheme="minorHAnsi" w:hAnsiTheme="minorHAnsi" w:cstheme="minorHAnsi"/>
          <w:sz w:val="20"/>
          <w:szCs w:val="20"/>
          <w:lang w:eastAsia="pl-PL"/>
        </w:rPr>
        <w:t xml:space="preserve"> -1szt. </w:t>
      </w:r>
    </w:p>
    <w:p w:rsidR="00CC138F" w:rsidRDefault="00CC138F" w:rsidP="00E7004C">
      <w:pPr>
        <w:spacing w:after="0" w:line="240" w:lineRule="auto"/>
        <w:rPr>
          <w:rFonts w:ascii="Century Gothic" w:hAnsi="Century Gothic"/>
          <w:b/>
        </w:rPr>
      </w:pPr>
    </w:p>
    <w:p w:rsidR="00FB0BD2" w:rsidRPr="00BF2652" w:rsidRDefault="00FB0BD2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BF2652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ZESTAWIENIE PARAMETRÓW TECHNICZNYCH</w:t>
      </w: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br/>
      </w:r>
    </w:p>
    <w:p w:rsidR="00A33D41" w:rsidRPr="00BF2652" w:rsidRDefault="00A33D41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BF2652">
        <w:rPr>
          <w:rFonts w:asciiTheme="minorHAnsi" w:hAnsiTheme="minorHAnsi" w:cstheme="minorHAnsi"/>
          <w:b/>
          <w:sz w:val="20"/>
          <w:szCs w:val="20"/>
          <w:lang w:eastAsia="pl-PL"/>
        </w:rPr>
        <w:t>Uwaga: Wymogi techniczne i użytkowe stanowią wymagania - nie spełnienie choćby jednego z w/w wymogów spowoduje odrzucenie oferty.</w:t>
      </w:r>
    </w:p>
    <w:p w:rsidR="00636E24" w:rsidRPr="00BF2652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5954"/>
        <w:gridCol w:w="1420"/>
        <w:gridCol w:w="1127"/>
      </w:tblGrid>
      <w:tr w:rsidR="00636E24" w:rsidRPr="00BF2652" w:rsidTr="00A5074F">
        <w:tc>
          <w:tcPr>
            <w:tcW w:w="310" w:type="pct"/>
            <w:vAlign w:val="center"/>
          </w:tcPr>
          <w:p w:rsidR="00636E24" w:rsidRPr="00BF2652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85" w:type="pct"/>
            <w:vAlign w:val="center"/>
          </w:tcPr>
          <w:p w:rsidR="00636E24" w:rsidRPr="00BF2652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783" w:type="pct"/>
            <w:vAlign w:val="center"/>
          </w:tcPr>
          <w:p w:rsidR="00636E24" w:rsidRPr="00BF2652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622" w:type="pct"/>
          </w:tcPr>
          <w:p w:rsidR="00636E24" w:rsidRPr="00BF2652" w:rsidRDefault="00636E24" w:rsidP="00636E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F26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1940E4" w:rsidRPr="00BF2652" w:rsidTr="00A5074F">
        <w:tc>
          <w:tcPr>
            <w:tcW w:w="310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5" w:type="pct"/>
            <w:vAlign w:val="center"/>
          </w:tcPr>
          <w:p w:rsidR="001940E4" w:rsidRPr="00A76B6F" w:rsidRDefault="001940E4" w:rsidP="009450F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783" w:type="pct"/>
            <w:vAlign w:val="center"/>
          </w:tcPr>
          <w:p w:rsidR="001940E4" w:rsidRPr="00A76B6F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2" w:type="pct"/>
          </w:tcPr>
          <w:p w:rsidR="001940E4" w:rsidRPr="00A76B6F" w:rsidRDefault="001940E4" w:rsidP="001940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  <w:vAlign w:val="center"/>
          </w:tcPr>
          <w:p w:rsidR="00636E24" w:rsidRPr="00A76B6F" w:rsidRDefault="007858E4" w:rsidP="00A51EF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6C5D47">
              <w:rPr>
                <w:rFonts w:asciiTheme="minorHAnsi" w:hAnsiTheme="minorHAnsi" w:cstheme="minorHAnsi"/>
                <w:sz w:val="20"/>
                <w:szCs w:val="20"/>
              </w:rPr>
              <w:t>2023</w:t>
            </w:r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, urządzenie fabrycznie nowe, nie </w:t>
            </w:r>
            <w:proofErr w:type="spellStart"/>
            <w:r w:rsidR="00636E24" w:rsidRPr="00A76B6F">
              <w:rPr>
                <w:rFonts w:asciiTheme="minorHAnsi" w:hAnsiTheme="minorHAnsi" w:cstheme="minorHAnsi"/>
                <w:sz w:val="20"/>
                <w:szCs w:val="20"/>
              </w:rPr>
              <w:t>rekondycjonowane</w:t>
            </w:r>
            <w:proofErr w:type="spellEnd"/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85" w:type="pct"/>
            <w:vAlign w:val="center"/>
          </w:tcPr>
          <w:p w:rsidR="00636E24" w:rsidRPr="0087150F" w:rsidRDefault="0087150F" w:rsidP="0087150F">
            <w:pPr>
              <w:pStyle w:val="Nagwek"/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gi określone w Ustawie z dnia 07.04.2022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r.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 wyrobach medycznych (DZ.U 2022 poz. 974</w:t>
            </w: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) oraz dyrektywami Unii Europejskiej  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  <w:vAlign w:val="center"/>
          </w:tcPr>
          <w:p w:rsidR="00960E2D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FB0BD2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  <w:vAlign w:val="center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A76B6F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783" w:type="pct"/>
            <w:vAlign w:val="center"/>
          </w:tcPr>
          <w:p w:rsidR="00636E24" w:rsidRPr="00A76B6F" w:rsidRDefault="000849DC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IP22 lub równoważna</w:t>
            </w: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:rsidRPr="00BF2652" w:rsidTr="00A5074F">
        <w:tc>
          <w:tcPr>
            <w:tcW w:w="310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5" w:type="pct"/>
            <w:vAlign w:val="center"/>
          </w:tcPr>
          <w:p w:rsidR="00636E24" w:rsidRPr="00A76B6F" w:rsidRDefault="00FB0BD2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783" w:type="pct"/>
            <w:vAlign w:val="center"/>
          </w:tcPr>
          <w:p w:rsidR="00636E24" w:rsidRPr="00A76B6F" w:rsidRDefault="00636E24" w:rsidP="00636E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2" w:type="pct"/>
            <w:vAlign w:val="bottom"/>
          </w:tcPr>
          <w:p w:rsidR="00636E24" w:rsidRPr="00A76B6F" w:rsidRDefault="00636E24" w:rsidP="00636E2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A5074F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85" w:type="pct"/>
            <w:vAlign w:val="center"/>
          </w:tcPr>
          <w:p w:rsidR="0061692F" w:rsidRPr="0061692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Zasilanie sieciowo-akumulatorowe 230V, 50Hz ±10%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A5074F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85" w:type="pct"/>
            <w:vAlign w:val="center"/>
          </w:tcPr>
          <w:p w:rsidR="0061692F" w:rsidRPr="0061692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Na wyposażeniu komplet niezbędnego wyposażenia umożliwiającego rozpoczęcie pracy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Konsola ruchoma czterostanowiskowa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ar-SA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System pełnego zasilania awaryjnego UPS, monitorujący stan naładowania akumulatorów oraz pozostały czas pracy systemu UPS z dopasowaniem do aktualnego obciążenia aparatu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ar-SA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uruchomienia aparatu bez zasilania sieciowego - na zasilaniu z systemu UPS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Czas pracy w systemie UPS minimum:</w:t>
            </w:r>
          </w:p>
          <w:p w:rsidR="0061692F" w:rsidRPr="0061692F" w:rsidRDefault="0061692F" w:rsidP="0061692F">
            <w:pPr>
              <w:pStyle w:val="Akapitzlist"/>
              <w:numPr>
                <w:ilvl w:val="0"/>
                <w:numId w:val="13"/>
              </w:numPr>
              <w:suppressAutoHyphens w:val="0"/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praca w pełnym obciążeniu (4 pompy) – minimum 15 minut</w:t>
            </w:r>
          </w:p>
          <w:p w:rsidR="0061692F" w:rsidRPr="0061692F" w:rsidRDefault="0061692F" w:rsidP="0061692F">
            <w:pPr>
              <w:pStyle w:val="Akapitzlist"/>
              <w:numPr>
                <w:ilvl w:val="0"/>
                <w:numId w:val="13"/>
              </w:numPr>
              <w:suppressAutoHyphens w:val="0"/>
              <w:autoSpaceDE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praca w częściowym obciążeniu (1 pompa) – minimum 80 minut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Automatyczny test pracy akumulatorów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System stelaży: dwa pionowe maszty teleskopowe  ze statywami o zmiennej konfiguracji, jeden ruchomy maszt teleskopowy, pręt pionowy i pręt poprzeczny do masztu ruchomego, uchwyty manewrowe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Pólka poprzeczna z minimum 3 gniazdami elektrycznymi 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Urządzenie wyposażone w system alarmów optycznych i dźwiękowych kontrolujących wszystkie parametry oraz system kontroli pomp dla układów monitorujących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  <w:vAlign w:val="bottom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Konsola przygotowana do współpracy z pompą centryfugalną: modułową oraz mobilną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Budowa modułowa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Zabezpieczenia przed zalaniem i uszkodzeniem elementów elektroniki IPX1 lub równoważne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Systemowy panel sterowania 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Panel systemowy  z gniazdami do zamocowania minimum  6-ciu modułów sterująco-wyświetlających z ekranami dotykowymi (kolorowe wyświetlacze LCD/TFT 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Sterowanie funkcjami zainstalowanych modułów hemodynamicznych poprzez ekrany dotykowe LCD/TFT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8E4D2E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6B6F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Menu w języku polskim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Pr="00A76B6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Kolorowe wyświetlacze LCD/TFT – 6szt.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Monitorowanie działania i sterowanie systemem UPS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Brak powiązania pomiędzy wyświetlaczami dotykowymi, a funkcjami aparatu. Wyświetlacze sprawujące jedynie funkcję monitora. W przypadku awarii możliwość wymiany samego wyświetlacza LCD lub ekranu dotykowego, również w trakcie pracy, bez zatrzymywania i wyłączania aparatu na nowy panel lub zamienny z innym mniej ważnym panelem na tablicy sterowania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Pompa rolkowa jednogłowicowa – 3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Zakres prędkości obrotowej w zakresie minimum od  0 do 250 RPM i przepływ w zakresie minimum od 0 do 11,2 LPM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Zakres wyświetlania ±5%: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1/8 cala w zakresie minimum od 0 do 0,83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3/16 cala w zakresie minimum od 0 do 1,79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1/4  cala w zakresie minimum od 0 do 3,12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5/16 cala w zakresie minimum od 0 do 4,70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3/8 cala w zakresie minimum od 0 do 6,50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1/2 cala w zakresie minimum od 0 do 11,2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Rozdzielczość - 1 obrót na minutę (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rpm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Akapitzlist"/>
              <w:ind w:left="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Dokładność nie gorsza niż ± 0,5% dla wartości ustawionych, ± 1% dla wszystkich rodzajów drenów przy maksymalnej prędkości (minimum 250 RPM)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Średnica bieżni pompy minimum 150mm, średnica rolki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okluzyjnej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minimum 30mm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zmiany kierunku przepływu z zabezpieczeniem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snapToGrid w:val="0"/>
              <w:spacing w:line="100" w:lineRule="atLeas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Kontrola domyślnego kierunku obrotu pompy. W przypadku zmiany kierunku przepływu w prawo lub w lewo alarm ostrzegawczy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Łatwa zmiana okluzji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spacing w:line="276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Obrotowa głowica pompy minimum 180 stopni, regulująca kierunek ustawienia drenów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Procentowe wyświetlanie przepływy bieżącego w stosunku do przepływu </w:t>
            </w:r>
            <w:r w:rsidRPr="0061692F">
              <w:rPr>
                <w:rFonts w:asciiTheme="minorHAnsi" w:hAnsiTheme="minorHAnsi" w:cstheme="minorHAnsi"/>
                <w:sz w:val="20"/>
                <w:szCs w:val="20"/>
              </w:rPr>
              <w:softHyphen/>
            </w:r>
            <w:r w:rsidRPr="0061692F">
              <w:rPr>
                <w:rFonts w:asciiTheme="minorHAnsi" w:hAnsiTheme="minorHAnsi" w:cstheme="minorHAnsi"/>
                <w:sz w:val="20"/>
                <w:szCs w:val="20"/>
              </w:rPr>
              <w:softHyphen/>
              <w:t>wyliczonego na podstawie współczynnika powierzchni ciała pacjenta (BSA)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Łatwa zamiana jednostek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zablokowania panelu dotykowego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konwersji RPM/LPM – wyświetlane jednocześnie na ekranie pompy podczas pracy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Zatrzymanie pompy podczas otwarcia pokrywy pompy oraz automatyczny start pompy po zamknięciu pokrywy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stosowania drenów o różnej średnicy w tym również nienormatywnej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rPr>
          <w:trHeight w:val="466"/>
        </w:trPr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Kalibracja przepływu dla danego rozmiaru drenów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czasowego zawieszenia zabezpieczeń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stosowania systemu pracy MASTER – SLAVE między dowolnymi jednostkami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A52CBC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pracy w trybie pulsacyjnym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pracy jednostki poza konsolą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Zatrzaskowy system mocowania drenów w okładzinach kalibrujących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Głowica pompy w kształcie greckiej  litery Ω . (kształt głowicy pozwala na utrzymanie odpowiednich/zadanych wartości ciśnienia w systemie drenów)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Dotykowy panel (LCD/TFT) sterowania  pompy na każdej pompie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Wyświetlanie na panelu  pompy informacji o kontroli jej pracy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oznaczenia domyślnego kierunku obrotów głowic pomp perystaltycznych oraz kontrola zgodności ustawienia aktualnego kierunku obrotu głowicy pompy z kierunkiem domyślnym zapamiętanym w systemie; kolorystyczne oznaczenie zgodności kierunku obrotów głowic pomp.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Napęd pompy: technologia typ: BLDC , silnik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bezszczotkowy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- nie wymagający przekładni oraz pasków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Pompa rolkowa dwugłowicowa –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Oddzielne sterowanie każdej głowicy,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Zakres prędkości obrotowej w zakresie minimum od  0 do 250 RPM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Zakres wyświetlania ±5%: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1/8 cala w zakresie minimum od 0 do 0,44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3/16 cala w zakresie minimum od 0 do 0,93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1/4 cala w zakresie minimum od 0 do 1,57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5/16 cala w zakresie minimum od 0 do 2,33 l/min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Rozdzielczość 1 obrót na minutę (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rpm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Dokładność nie gorsza niż ± 0,5% dla wartości ustawionych, ± 1% dla wszystkich rodzajów drenów przy maksymalnej prędkości (minimum 250 RPM)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zmiany kierunku przepływu z zabezpieczeniem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Kontrola domyślnego kierunku obrotu pompy. W przypadku zmiany kierunku przepływu w prawo lub w lewo alarm ostrzegawczy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Łatwość zmiany okluzji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Obrotowa głowica pomp minimum 240 stopni, regulująca kierunek ustawienia drenów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Wyświetlanie stanu pracy każdej pompy na jej panelu,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konwersji RPM/LPM – wyświetlane jednocześnie na ekranie pompy podczas pracy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Zatrzymanie pompy podczas otwarcia pokrywy pompy oraz automatyczny start pompy po zamknięciu pokrywy bez konieczności resetowania RPM do zera,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stosowania drenów o różnej średnicy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Kalibracja przepływu dla danego rozmiaru drenów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czasowego zawieszenia zabezpieczeń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Dotykowy  (LCD) podwójny panel sterowania dla każdej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Wyświetlanie na panelu  pompy informacji o kontroli jej pracy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oznaczenia domyślnego kierunku obrotów głowic pomp perystaltycznych oraz kontrola zgodności ustawienia aktualnego kierunku obrotu głowicy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Style w:val="FontStyle23"/>
                <w:rFonts w:asciiTheme="minorHAnsi" w:hAnsiTheme="minorHAnsi" w:cstheme="minorHAnsi"/>
                <w:sz w:val="20"/>
                <w:szCs w:val="20"/>
              </w:rPr>
              <w:t xml:space="preserve">Pompa centryfugalna modułowa,  zintegrowana z systemem  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Style w:val="FontStyle23"/>
                <w:rFonts w:asciiTheme="minorHAnsi" w:hAnsiTheme="minorHAnsi" w:cstheme="minorHAnsi"/>
                <w:sz w:val="20"/>
                <w:szCs w:val="20"/>
              </w:rPr>
              <w:t xml:space="preserve">Jednostka napędowa wraz z panelem sterującym, modułem czujnika przepływu, czujnikiem przepływu, przetwornikiem ciśnienia oraz systemem zabezpieczeń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Wszystkie funkcje sterowane z oddzielnego panelu sterującego (LCD) dedykowanego pompie centryfugalnej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Licznik obrotów (zakres od minimum 0 do 3500 RPM) Możliwość ustalenia kroku 1 RPM)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Przetwornik ciśnienia wraz z uchwytem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monitorowania ciśnienia (dwa kanały). Zakres ciśnień  w zakresie minimum od – 200 do + 800 mmHg. Dokładność nie gorsza niż ±5 mmHg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Czujnik przepływu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Zakres przepływów w zakresie minimum od  0,5 do 10 l/min z możliwością zmiany zakresu odczytu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Tryb kontrolowanego przepływu (przepływ utrzymywany na stałym poziomie, nawet jeżeli opór systemowy i/lub  ciśnienie zmieniają się podczas perfuzji)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Elektryczny  zacisk drenu na linii tętniczej– zabezpieczenie przed zapowietrzeniem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Zaciskowy uchwyt do urządzenia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Awaryjny manualny system napędu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Układy kontroli hemodynamicznej – moduły monitorujące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Moduł/sterownik  poziomu objętości z sensorem sterujący pompami w sposób automatyczny –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Dokładność detekcji poziomu nie gorsza niż ± 10 mm,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Funkcja automatycznej kontroli poziomu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perfuzatu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poprzez zmniejszenie prędkości obrotowej głowicy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kontroli 2 pomp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Moduł/sterownik  pomiaru temperatury - 1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Cztery niezależne kanały pomiaru temperatury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Zakres pomiaru w zakresie minimum od  0 do 50 ºC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Rozdzielczość minimum 0,1 ºC  dokładność pomiaru minimum: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 zakresie minimum 0,0-25,0 ºC ±0,2 ºC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 zakresie minimum 25,0-45,0 ºC ±0,1 ºC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 zakresie minimum 45,0-50,0 ºC ±0,2 ºC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Kontrola wartości granicznych temperatur dla wszystkich  kanałów pomiarowych.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Moduł pomiaru  czasu – potrójny stoper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wykorzystania do rejestracji całkowitego czasu krążenia pozaustrojowego lub czasu zaciśnięcia aorty zaciskiem itp. Po uruchomieniu zegar zlicza upływający czas (zakresy rejestracji: minimum w zakresie od 0 sekund do 999 minut i 59 sekund we wszystkich przypadkach)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Moduł/sterownik  pomiaru ciśnień – dwukanałowy –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Zakres pomiaru w zakresie minimum od -200 mmHg do +800 mmHg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Rozdzielczość pomiaru minimum 1mmHg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Dokładność pomiaru nie gorsza niż ± 5 mmHg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Wyposażony w dwa przetworniki ciśnień i trzymacz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Kontrola wartości ciśnienia poprzez automatyczną  regulację prędkości obrotowej głowicy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Moduł/sterownik </w:t>
            </w:r>
            <w:proofErr w:type="spellStart"/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kardioplegii</w:t>
            </w:r>
            <w:proofErr w:type="spellEnd"/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pomiarem ciśnienia, czasu podawania, detektorem mikrokatorów - 1szt.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Zakres pomiaru ciśnienia w zakresie minimum od - 200 do + 800 mmHg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Rozdzielczość pomiaru minimum 1mmHg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Dokładność pomiaru nie gorsza niż ±5 mmHg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Dozowanie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kardioplegii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automatyczne wg zadanej objętości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Dozowanie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kardioplegii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ręcznie podanej objętości dawki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Automatyczne odmierzanie czasu od podania ostatniej dawki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wyboru rodzaju podawanej dawki: podstawowej i uzupełniającej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Możliwość automatycznego zatrzymania podawania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kardioplegii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przypadku zatrzymania pompy głównej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Automatyczny , elektryczny system zamykania linii żylnej w sytuacjach alarmowych – 1szt.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System sterowany z własnego panelu sterowania oraz z  panelu systemowego urządzenia</w:t>
            </w:r>
          </w:p>
          <w:p w:rsidR="0061692F" w:rsidRPr="0061692F" w:rsidRDefault="0061692F" w:rsidP="0061692F">
            <w:pPr>
              <w:pStyle w:val="Bezodstpw"/>
              <w:numPr>
                <w:ilvl w:val="0"/>
                <w:numId w:val="14"/>
              </w:num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Współpraca z drenami w zakresie minimum od 3/16x 1/6 do 1/2x3/32</w:t>
            </w:r>
          </w:p>
          <w:p w:rsidR="0061692F" w:rsidRPr="0061692F" w:rsidRDefault="0061692F" w:rsidP="0061692F">
            <w:pPr>
              <w:pStyle w:val="Bezodstpw"/>
              <w:numPr>
                <w:ilvl w:val="0"/>
                <w:numId w:val="14"/>
              </w:num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manualnego zamknięcia/otwarcia linii żylnej</w:t>
            </w:r>
          </w:p>
          <w:p w:rsidR="0061692F" w:rsidRPr="0061692F" w:rsidRDefault="0061692F" w:rsidP="0061692F">
            <w:pPr>
              <w:pStyle w:val="Bezodstpw"/>
              <w:numPr>
                <w:ilvl w:val="0"/>
                <w:numId w:val="14"/>
              </w:numPr>
              <w:autoSpaceDN w:val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Możliwość regulacji zamknięcia linii żylnej w zakresie od 0 do 100%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61692F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  <w:lang w:eastAsia="ar-SA"/>
              </w:rPr>
              <w:t>Mieszacz gazów mechaniczny z wężami przyłączeniowymi i końcówkami wtykowymi typ SECHRIST –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Regulator podciśnienia do procedury VAVD –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System grzewczo – chłodniczy  – 1 szt.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Niezależny od źródła wody systemem grzewczo – chłodzący, zawierającym trzy oddzielne obwody wodne pracujące jako: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Dwa obwody dla pacjenta (dla koców grzewczo – chłodzących oraz dla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oksygenatora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).  Uzyskiwane temperatury w zakresie  minimum od 2 ºC do 41ºC ± 0,5ºC , objętość zbiornika 6l   ±1l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Wymienny obwód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grzejno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/chłodzący dla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kardioplegii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. Uzyskiwane  temperatury w zakresie minimum od 2 ºC do 10ºC ±2ºC (chłodzenie) i minimum w zakresie od 15 ºC do 41ºC ± 1ºC (grzanie) , objętość zbiornika 2x 3l ±0,5l 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Sterowanie: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 panelu  własnego  zarządzanie wszystkimi funkcjami sterującymi i monitorującymi: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Regulacja wartości nastawionych, uruchamianie i zatrzymywanie pomp, wyświetlanie wszystkich rzeczywistych i nastawionych temperatur, wyświetlanie poziomu wody i odpowiedniego alarmu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Z konsoli systemu do krążenia pozaustrojowego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Alarmy/ zabezpieczenie: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Rodzaje alarmów: niskiego poziomu cieczy w zbiorniku, temperatury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Układ zabezpieczający przed przekroczeniem temperatury powyżej 41°C±1°C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Alarm zmian temperatury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Serwisowy/wyświetlanie kodów błędów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Możliwość szybkiej zmiany temperatury podawanej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kardioplegii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Możliwość odsysania wody z węży przyłączeniowych do zbiorników wymiennika ciepła 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>System pomiaru parametrów krytycznych pacjenta w czasie rzeczywistym  – 1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Pomiar w czasie rzeczywistym parametrów minimum: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Sv0</w:t>
            </w:r>
            <w:r w:rsidRPr="0061692F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 xml:space="preserve">2 </w:t>
            </w: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 zakresie minimum od 40.0 do 99.9%, rozdzielczość 0,1%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Hct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w zakresie minimum od 13.0 do 48.0%, rozdzielczość 0,1%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Hb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143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Temperatura – linia żylna w zakresie minimum od 15.0 do 41.0°C, rozdzielczość 0,1°C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144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Pr="0061692F">
              <w:rPr>
                <w:rFonts w:asciiTheme="minorHAnsi" w:hAnsiTheme="minorHAnsi" w:cstheme="minorHAnsi"/>
                <w:sz w:val="20"/>
                <w:szCs w:val="20"/>
                <w:vertAlign w:val="subscript"/>
              </w:rPr>
              <w:t xml:space="preserve">2 </w:t>
            </w: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w zakresie minimum od 50 do 400mmHg, rozdzielczość 1mmHg, minimum 6.7-53.3kPa rozdzielczość 0,1kPa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145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Temperatura – linia tętnicza w zakresie minimum od 15.0 do 41.0°C, rozdzielczość 0,1°C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146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Wyposażenie dodatkowe 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147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Krzesło dla perfuzjonisty  (wysokość siedzenia i oparcia regulowana, wyposażone w kółka jezdne, dostosowane dla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sal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 operacyjnych, łatwe do czyszczenia)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148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Lampa LED 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149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Półki podręczne na konsoli pompy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150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Osłona na konsole pomp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151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Czujnik pomiaru krwi żylnej 1/2" i tętniczej 3/8” – min. po 30 szt.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BF2652" w:rsidTr="00787B92">
        <w:tc>
          <w:tcPr>
            <w:tcW w:w="310" w:type="pct"/>
            <w:vAlign w:val="center"/>
          </w:tcPr>
          <w:p w:rsidR="0061692F" w:rsidRDefault="0061692F" w:rsidP="0061692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152</w:t>
            </w:r>
          </w:p>
        </w:tc>
        <w:tc>
          <w:tcPr>
            <w:tcW w:w="3285" w:type="pct"/>
          </w:tcPr>
          <w:p w:rsidR="0061692F" w:rsidRPr="0061692F" w:rsidRDefault="0061692F" w:rsidP="0061692F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color w:val="333333"/>
                <w:sz w:val="20"/>
                <w:szCs w:val="20"/>
              </w:rPr>
            </w:pPr>
            <w:r w:rsidRPr="0061692F">
              <w:rPr>
                <w:rFonts w:asciiTheme="minorHAnsi" w:hAnsiTheme="minorHAnsi" w:cstheme="minorHAnsi"/>
                <w:sz w:val="20"/>
                <w:szCs w:val="20"/>
              </w:rPr>
              <w:t xml:space="preserve">Kable, łączniki, </w:t>
            </w:r>
            <w:proofErr w:type="spellStart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holdery</w:t>
            </w:r>
            <w:proofErr w:type="spellEnd"/>
            <w:r w:rsidRPr="0061692F">
              <w:rPr>
                <w:rFonts w:asciiTheme="minorHAnsi" w:hAnsiTheme="minorHAnsi" w:cstheme="minorHAnsi"/>
                <w:sz w:val="20"/>
                <w:szCs w:val="20"/>
              </w:rPr>
              <w:t>, niezbędne do prawidłowego działania systemu</w:t>
            </w:r>
          </w:p>
        </w:tc>
        <w:tc>
          <w:tcPr>
            <w:tcW w:w="783" w:type="pct"/>
          </w:tcPr>
          <w:p w:rsidR="0061692F" w:rsidRDefault="0061692F" w:rsidP="0061692F">
            <w:pPr>
              <w:jc w:val="center"/>
            </w:pPr>
            <w:r w:rsidRPr="00403CA6">
              <w:rPr>
                <w:rFonts w:asciiTheme="minorHAnsi" w:hAnsiTheme="minorHAnsi" w:cstheme="minorHAnsi"/>
                <w:sz w:val="20"/>
                <w:szCs w:val="20"/>
              </w:rPr>
              <w:t>Tak /Podać</w:t>
            </w:r>
          </w:p>
        </w:tc>
        <w:tc>
          <w:tcPr>
            <w:tcW w:w="622" w:type="pct"/>
          </w:tcPr>
          <w:p w:rsidR="0061692F" w:rsidRPr="00A76B6F" w:rsidRDefault="0061692F" w:rsidP="0061692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285" w:type="pct"/>
          </w:tcPr>
          <w:p w:rsidR="0061692F" w:rsidRPr="001573A3" w:rsidRDefault="0061692F" w:rsidP="0061692F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1573A3">
              <w:rPr>
                <w:rFonts w:cs="Calibr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Okres gwarancji w miesiącach (wymagany min. 24 m-ce) </w:t>
            </w:r>
            <w:r w:rsidRPr="001573A3">
              <w:rPr>
                <w:rFonts w:cs="Calibri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1573A3">
              <w:rPr>
                <w:rFonts w:cs="Calibri"/>
                <w:sz w:val="20"/>
                <w:szCs w:val="20"/>
              </w:rPr>
              <w:t>PenDrive</w:t>
            </w:r>
            <w:proofErr w:type="spellEnd"/>
            <w:r w:rsidRPr="001573A3">
              <w:rPr>
                <w:rFonts w:cs="Calibri"/>
                <w:sz w:val="20"/>
                <w:szCs w:val="20"/>
              </w:rPr>
              <w:t>.</w:t>
            </w:r>
          </w:p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i/>
                <w:iCs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 </w:t>
            </w:r>
          </w:p>
        </w:tc>
      </w:tr>
      <w:tr w:rsidR="0061692F" w:rsidRPr="00650551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  <w:lang w:eastAsia="pl-PL"/>
              </w:rPr>
            </w:pPr>
            <w:r w:rsidRPr="001573A3">
              <w:rPr>
                <w:rFonts w:cs="Calibri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783" w:type="pct"/>
          </w:tcPr>
          <w:p w:rsidR="0061692F" w:rsidRPr="00650551" w:rsidRDefault="0061692F" w:rsidP="0061692F">
            <w:r w:rsidRPr="001573A3">
              <w:rPr>
                <w:rFonts w:cs="Calibri"/>
                <w:sz w:val="20"/>
                <w:szCs w:val="20"/>
              </w:rPr>
              <w:t xml:space="preserve">Tak, podać </w:t>
            </w:r>
          </w:p>
        </w:tc>
        <w:tc>
          <w:tcPr>
            <w:tcW w:w="622" w:type="pct"/>
          </w:tcPr>
          <w:p w:rsidR="0061692F" w:rsidRPr="00650551" w:rsidRDefault="0061692F" w:rsidP="0061692F"/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Liczba napraw uprawniających do wymiany urządzenia na nowe (3 naprawy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tego samego modułu</w:t>
            </w:r>
            <w:r w:rsidRPr="00BF265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</w:p>
        </w:tc>
      </w:tr>
      <w:tr w:rsidR="0061692F" w:rsidRPr="001573A3" w:rsidTr="00A5074F">
        <w:tc>
          <w:tcPr>
            <w:tcW w:w="310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3285" w:type="pct"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Serwis na terenie Polski</w:t>
            </w:r>
          </w:p>
        </w:tc>
        <w:tc>
          <w:tcPr>
            <w:tcW w:w="783" w:type="pct"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Tak, podać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</w:p>
        </w:tc>
      </w:tr>
      <w:tr w:rsidR="0061692F" w:rsidRPr="001573A3" w:rsidTr="00A5074F">
        <w:tc>
          <w:tcPr>
            <w:tcW w:w="310" w:type="pct"/>
            <w:hideMark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3285" w:type="pct"/>
            <w:hideMark/>
          </w:tcPr>
          <w:p w:rsidR="0061692F" w:rsidRPr="001573A3" w:rsidRDefault="0061692F" w:rsidP="0061692F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Paszport techniczny </w:t>
            </w:r>
          </w:p>
        </w:tc>
        <w:tc>
          <w:tcPr>
            <w:tcW w:w="783" w:type="pct"/>
            <w:hideMark/>
          </w:tcPr>
          <w:p w:rsidR="0061692F" w:rsidRPr="001573A3" w:rsidRDefault="0061692F" w:rsidP="0061692F">
            <w:pPr>
              <w:jc w:val="center"/>
              <w:rPr>
                <w:rFonts w:cs="Calibri"/>
                <w:sz w:val="20"/>
                <w:szCs w:val="20"/>
              </w:rPr>
            </w:pPr>
            <w:r w:rsidRPr="001573A3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622" w:type="pct"/>
          </w:tcPr>
          <w:p w:rsidR="0061692F" w:rsidRPr="001573A3" w:rsidRDefault="0061692F" w:rsidP="0061692F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33D41" w:rsidRDefault="00A33D41" w:rsidP="00CC138F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:rsidR="00CC138F" w:rsidRPr="00650551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CC138F" w:rsidRDefault="00CC138F" w:rsidP="00CC138F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:rsidR="00CC138F" w:rsidRPr="00650551" w:rsidRDefault="00CC138F" w:rsidP="00CC138F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:rsidR="00CC138F" w:rsidRPr="00C42261" w:rsidRDefault="00CC138F" w:rsidP="00CC138F">
      <w:pPr>
        <w:jc w:val="right"/>
        <w:rPr>
          <w:rFonts w:ascii="Tahoma" w:hAnsi="Tahoma" w:cs="Tahoma"/>
          <w:sz w:val="20"/>
          <w:szCs w:val="20"/>
          <w:u w:val="single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  <w:bookmarkStart w:id="0" w:name="_GoBack"/>
      <w:bookmarkEnd w:id="0"/>
    </w:p>
    <w:sectPr w:rsidR="00CC138F" w:rsidRPr="00C42261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468" w:rsidRDefault="005E2468" w:rsidP="0087150F">
      <w:pPr>
        <w:spacing w:after="0" w:line="240" w:lineRule="auto"/>
      </w:pPr>
      <w:r>
        <w:separator/>
      </w:r>
    </w:p>
  </w:endnote>
  <w:endnote w:type="continuationSeparator" w:id="0">
    <w:p w:rsidR="005E2468" w:rsidRDefault="005E2468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261" w:rsidRPr="00C42261" w:rsidRDefault="00C42261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468" w:rsidRDefault="005E2468" w:rsidP="0087150F">
      <w:pPr>
        <w:spacing w:after="0" w:line="240" w:lineRule="auto"/>
      </w:pPr>
      <w:r>
        <w:separator/>
      </w:r>
    </w:p>
  </w:footnote>
  <w:footnote w:type="continuationSeparator" w:id="0">
    <w:p w:rsidR="005E2468" w:rsidRDefault="005E2468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D020A"/>
    <w:multiLevelType w:val="hybridMultilevel"/>
    <w:tmpl w:val="DCE6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80306A"/>
    <w:multiLevelType w:val="hybridMultilevel"/>
    <w:tmpl w:val="0F1C0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6"/>
  </w:num>
  <w:num w:numId="5">
    <w:abstractNumId w:val="4"/>
  </w:num>
  <w:num w:numId="6">
    <w:abstractNumId w:val="13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940E4"/>
    <w:rsid w:val="001D5427"/>
    <w:rsid w:val="001E2A02"/>
    <w:rsid w:val="001E5941"/>
    <w:rsid w:val="00204A16"/>
    <w:rsid w:val="00245BF9"/>
    <w:rsid w:val="002577E9"/>
    <w:rsid w:val="002669CE"/>
    <w:rsid w:val="002816C7"/>
    <w:rsid w:val="002908CB"/>
    <w:rsid w:val="00292CC6"/>
    <w:rsid w:val="00295A5B"/>
    <w:rsid w:val="002A1EB6"/>
    <w:rsid w:val="002A7485"/>
    <w:rsid w:val="00303567"/>
    <w:rsid w:val="003432E8"/>
    <w:rsid w:val="00357E70"/>
    <w:rsid w:val="00360A2B"/>
    <w:rsid w:val="00377EF0"/>
    <w:rsid w:val="0038209B"/>
    <w:rsid w:val="003A42C9"/>
    <w:rsid w:val="003B3741"/>
    <w:rsid w:val="003C483F"/>
    <w:rsid w:val="003D578E"/>
    <w:rsid w:val="003E6C81"/>
    <w:rsid w:val="004438F6"/>
    <w:rsid w:val="00452D42"/>
    <w:rsid w:val="004623F9"/>
    <w:rsid w:val="00472B0B"/>
    <w:rsid w:val="00475178"/>
    <w:rsid w:val="00484F14"/>
    <w:rsid w:val="00493FD1"/>
    <w:rsid w:val="0053302D"/>
    <w:rsid w:val="00537D66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2468"/>
    <w:rsid w:val="005E5162"/>
    <w:rsid w:val="005F48AE"/>
    <w:rsid w:val="00602420"/>
    <w:rsid w:val="00606AD5"/>
    <w:rsid w:val="0061083E"/>
    <w:rsid w:val="0061692F"/>
    <w:rsid w:val="006266FB"/>
    <w:rsid w:val="00636E24"/>
    <w:rsid w:val="006A47C2"/>
    <w:rsid w:val="006A5E36"/>
    <w:rsid w:val="006C5D47"/>
    <w:rsid w:val="006E086D"/>
    <w:rsid w:val="006F168F"/>
    <w:rsid w:val="00722A9F"/>
    <w:rsid w:val="0072535E"/>
    <w:rsid w:val="007372E7"/>
    <w:rsid w:val="00763375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57BA0"/>
    <w:rsid w:val="00865B62"/>
    <w:rsid w:val="0087150F"/>
    <w:rsid w:val="0087385F"/>
    <w:rsid w:val="00877ED6"/>
    <w:rsid w:val="008B7249"/>
    <w:rsid w:val="008C67B4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5074F"/>
    <w:rsid w:val="00A51EF5"/>
    <w:rsid w:val="00A57C3D"/>
    <w:rsid w:val="00A61540"/>
    <w:rsid w:val="00A65CCC"/>
    <w:rsid w:val="00A76B6F"/>
    <w:rsid w:val="00AC7323"/>
    <w:rsid w:val="00AD0015"/>
    <w:rsid w:val="00AD5148"/>
    <w:rsid w:val="00AE0129"/>
    <w:rsid w:val="00B0321A"/>
    <w:rsid w:val="00B26F13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E67ED"/>
    <w:rsid w:val="00BF2652"/>
    <w:rsid w:val="00BF7621"/>
    <w:rsid w:val="00C36835"/>
    <w:rsid w:val="00C42261"/>
    <w:rsid w:val="00C54BEF"/>
    <w:rsid w:val="00C6237F"/>
    <w:rsid w:val="00C869EA"/>
    <w:rsid w:val="00CC138F"/>
    <w:rsid w:val="00CD4F88"/>
    <w:rsid w:val="00CE085F"/>
    <w:rsid w:val="00CE3863"/>
    <w:rsid w:val="00CF5973"/>
    <w:rsid w:val="00CF7148"/>
    <w:rsid w:val="00D00790"/>
    <w:rsid w:val="00D26671"/>
    <w:rsid w:val="00D312E6"/>
    <w:rsid w:val="00DC5366"/>
    <w:rsid w:val="00DC69D1"/>
    <w:rsid w:val="00E106DD"/>
    <w:rsid w:val="00E33E4F"/>
    <w:rsid w:val="00E4777A"/>
    <w:rsid w:val="00E54CFD"/>
    <w:rsid w:val="00E679AA"/>
    <w:rsid w:val="00E7004C"/>
    <w:rsid w:val="00E906C8"/>
    <w:rsid w:val="00EB6533"/>
    <w:rsid w:val="00EE6B6B"/>
    <w:rsid w:val="00F30305"/>
    <w:rsid w:val="00F33E24"/>
    <w:rsid w:val="00F50C51"/>
    <w:rsid w:val="00F81979"/>
    <w:rsid w:val="00F916B6"/>
    <w:rsid w:val="00FA2C01"/>
    <w:rsid w:val="00FB0BD2"/>
    <w:rsid w:val="00FB1CFF"/>
    <w:rsid w:val="00FB48E9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EF81C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link w:val="AkapitzlistZnak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character" w:customStyle="1" w:styleId="AkapitzlistZnak">
    <w:name w:val="Akapit z listą Znak"/>
    <w:link w:val="Akapitzlist"/>
    <w:locked/>
    <w:rsid w:val="0061692F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23">
    <w:name w:val="Font Style23"/>
    <w:rsid w:val="0061692F"/>
    <w:rPr>
      <w:rFonts w:ascii="Times New Roman" w:hAnsi="Times New Roman" w:cs="Times New Roman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F90B9-FFDD-43E5-A7A9-8B8DCC39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2308</Words>
  <Characters>14130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Katarzyna Konopska</cp:lastModifiedBy>
  <cp:revision>3</cp:revision>
  <cp:lastPrinted>2023-09-06T08:33:00Z</cp:lastPrinted>
  <dcterms:created xsi:type="dcterms:W3CDTF">2023-09-06T08:33:00Z</dcterms:created>
  <dcterms:modified xsi:type="dcterms:W3CDTF">2023-09-19T09:46:00Z</dcterms:modified>
</cp:coreProperties>
</file>