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D1" w:rsidRPr="00BD5CD1" w:rsidRDefault="00641A40" w:rsidP="00BD5CD1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>
        <w:rPr>
          <w:rFonts w:ascii="Arial" w:eastAsia="MS Gothic" w:hAnsi="Arial" w:cs="Tahoma"/>
          <w:b/>
          <w:bCs/>
          <w:szCs w:val="22"/>
        </w:rPr>
        <w:t>załącznik nr 1.6</w:t>
      </w:r>
      <w:r w:rsidR="00BD5CD1" w:rsidRPr="00BD5CD1">
        <w:rPr>
          <w:rFonts w:ascii="Arial" w:eastAsia="MS Gothic" w:hAnsi="Arial" w:cs="Tahoma"/>
          <w:b/>
          <w:bCs/>
          <w:szCs w:val="22"/>
        </w:rPr>
        <w:t xml:space="preserve"> do Specyfikacji Warunków Zamówienia</w:t>
      </w:r>
    </w:p>
    <w:p w:rsidR="00BD5CD1" w:rsidRPr="00BD5CD1" w:rsidRDefault="00BD5CD1" w:rsidP="00BD5CD1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D5CD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Rz.271.59.2022</w:t>
      </w:r>
    </w:p>
    <w:p w:rsidR="00BD5CD1" w:rsidRPr="00BD5CD1" w:rsidRDefault="00BD5CD1" w:rsidP="00BD5CD1">
      <w:pPr>
        <w:overflowPunct/>
        <w:spacing w:before="113" w:after="113" w:line="276" w:lineRule="auto"/>
        <w:jc w:val="center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D5CD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D5CD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D5CD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  <w:r w:rsidRPr="00BD5CD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br/>
        <w:t>w przypadku zaoferowania produktu równoważnego</w:t>
      </w:r>
    </w:p>
    <w:p w:rsidR="00BD5CD1" w:rsidRPr="00BD5CD1" w:rsidRDefault="00BD5CD1" w:rsidP="00BD5CD1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D5CD1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0.45pt;height:57.05pt" o:ole="">
            <v:imagedata r:id="rId7" o:title=""/>
          </v:shape>
          <w:control r:id="rId8" w:name="unnamed05" w:shapeid="_x0000_i1033"/>
        </w:object>
      </w:r>
    </w:p>
    <w:p w:rsidR="00BD5CD1" w:rsidRPr="00BD5CD1" w:rsidRDefault="00BD5CD1" w:rsidP="00BD5CD1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BD5CD1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BD5CD1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BD5CD1">
        <w:rPr>
          <w:rFonts w:ascii="Arial" w:eastAsia="Times New Roman" w:hAnsi="Arial" w:cs="Times New Roman"/>
          <w:sz w:val="20"/>
          <w:szCs w:val="20"/>
        </w:rPr>
        <w:t>)</w:t>
      </w:r>
    </w:p>
    <w:p w:rsidR="00BD5CD1" w:rsidRPr="00BD5CD1" w:rsidRDefault="00BD5CD1" w:rsidP="00BD5CD1">
      <w:pPr>
        <w:overflowPunct/>
        <w:spacing w:before="57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BD5CD1">
        <w:rPr>
          <w:rFonts w:ascii="Arial" w:eastAsia="Times New Roman" w:hAnsi="Arial" w:cs="Times New Roman"/>
          <w:sz w:val="20"/>
          <w:szCs w:val="20"/>
        </w:rPr>
        <w:t>Reprezentowany przez:</w:t>
      </w:r>
    </w:p>
    <w:p w:rsidR="00BD5CD1" w:rsidRPr="00BD5CD1" w:rsidRDefault="00BD5CD1" w:rsidP="00BD5CD1">
      <w:pPr>
        <w:overflowPunct/>
        <w:spacing w:before="57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BD5CD1">
        <w:rPr>
          <w:rFonts w:ascii="Arial" w:eastAsia="Times New Roman" w:hAnsi="Arial" w:cs="Times New Roman"/>
          <w:b/>
          <w:bCs/>
          <w:sz w:val="20"/>
          <w:szCs w:val="20"/>
        </w:rPr>
        <w:object w:dxaOrig="225" w:dyaOrig="225">
          <v:shape id="_x0000_i1035" type="#_x0000_t75" style="width:240.45pt;height:19.7pt" o:ole="">
            <v:imagedata r:id="rId9" o:title=""/>
          </v:shape>
          <w:control r:id="rId10" w:name="unnamed14" w:shapeid="_x0000_i1035"/>
        </w:object>
      </w:r>
      <w:r w:rsidRPr="00BD5CD1">
        <w:rPr>
          <w:rFonts w:ascii="Arial" w:eastAsia="Times New Roman" w:hAnsi="Arial" w:cs="Times New Roman"/>
          <w:sz w:val="20"/>
          <w:szCs w:val="20"/>
        </w:rPr>
        <w:t>(imię, nazwisko, stanowisko/podstawa do reprezentacji)</w:t>
      </w:r>
    </w:p>
    <w:p w:rsidR="00BD5CD1" w:rsidRPr="00BD5CD1" w:rsidRDefault="00BD5CD1" w:rsidP="00BD5CD1">
      <w:pPr>
        <w:keepNext/>
        <w:numPr>
          <w:ilvl w:val="1"/>
          <w:numId w:val="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BD5CD1">
        <w:rPr>
          <w:rFonts w:ascii="Arial" w:eastAsia="MS Gothic" w:hAnsi="Arial" w:cs="Tahoma"/>
          <w:b/>
          <w:bCs/>
          <w:spacing w:val="40"/>
          <w:sz w:val="26"/>
          <w:szCs w:val="26"/>
        </w:rPr>
        <w:t>Wykaz zaoferowanego produktu równoważnego</w:t>
      </w:r>
      <w:r w:rsidRPr="00BD5CD1">
        <w:rPr>
          <w:rFonts w:ascii="Arial" w:eastAsia="MS Gothic" w:hAnsi="Arial" w:cs="Tahoma"/>
          <w:b/>
          <w:bCs/>
          <w:spacing w:val="40"/>
          <w:sz w:val="26"/>
          <w:szCs w:val="26"/>
        </w:rPr>
        <w:br/>
        <w:t xml:space="preserve">Oprawa </w:t>
      </w:r>
      <w:r w:rsidR="00641A40">
        <w:rPr>
          <w:rFonts w:ascii="Arial" w:eastAsia="MS Gothic" w:hAnsi="Arial" w:cs="Tahoma"/>
          <w:b/>
          <w:bCs/>
          <w:spacing w:val="40"/>
          <w:sz w:val="26"/>
          <w:szCs w:val="26"/>
        </w:rPr>
        <w:t xml:space="preserve">drogowa </w:t>
      </w:r>
      <w:r w:rsidR="00973571">
        <w:rPr>
          <w:rFonts w:ascii="Arial" w:eastAsia="MS Gothic" w:hAnsi="Arial" w:cs="Tahoma"/>
          <w:b/>
          <w:bCs/>
          <w:spacing w:val="40"/>
          <w:sz w:val="26"/>
          <w:szCs w:val="26"/>
        </w:rPr>
        <w:t>TYP 2</w:t>
      </w:r>
    </w:p>
    <w:p w:rsidR="00BD5CD1" w:rsidRPr="00BD5CD1" w:rsidRDefault="00BD5CD1" w:rsidP="00BD5CD1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BD5CD1">
        <w:rPr>
          <w:rFonts w:ascii="Arial" w:hAnsi="Arial"/>
          <w:b/>
          <w:bCs/>
          <w:szCs w:val="22"/>
        </w:rPr>
        <w:t xml:space="preserve">Dokument w przypadku jego niezłożenia, złożenia z błędami lub niekompletnego, nie podlega uzupełnieniu na podstawie ustawy </w:t>
      </w:r>
      <w:proofErr w:type="spellStart"/>
      <w:r w:rsidRPr="00BD5CD1">
        <w:rPr>
          <w:rFonts w:ascii="Arial" w:hAnsi="Arial"/>
          <w:b/>
          <w:bCs/>
          <w:szCs w:val="22"/>
        </w:rPr>
        <w:t>Pzp</w:t>
      </w:r>
      <w:proofErr w:type="spellEnd"/>
      <w:r w:rsidRPr="00BD5CD1">
        <w:rPr>
          <w:rFonts w:ascii="Arial" w:hAnsi="Arial"/>
          <w:b/>
          <w:bCs/>
          <w:szCs w:val="22"/>
        </w:rPr>
        <w:t xml:space="preserve">. Oferta wykonawcy, który nie złoży tego dokumentu, złoży z błędami lub niekompletny podlegać będzie odrzuceniu na podstawie art. 226 ust. 1 pkt 5 ustawy </w:t>
      </w:r>
      <w:proofErr w:type="spellStart"/>
      <w:r w:rsidRPr="00BD5CD1">
        <w:rPr>
          <w:rFonts w:ascii="Arial" w:hAnsi="Arial"/>
          <w:b/>
          <w:bCs/>
          <w:szCs w:val="22"/>
        </w:rPr>
        <w:t>Pzp</w:t>
      </w:r>
      <w:proofErr w:type="spellEnd"/>
      <w:r w:rsidRPr="00BD5CD1">
        <w:rPr>
          <w:rFonts w:ascii="Arial" w:hAnsi="Arial"/>
          <w:b/>
          <w:bCs/>
          <w:szCs w:val="22"/>
        </w:rPr>
        <w:t xml:space="preserve"> – jej treść jest niezgodna z warunkami zamówienia, z zastrzeżeniem art. 223 ust. 2 pkt 3 ustawy </w:t>
      </w:r>
      <w:proofErr w:type="spellStart"/>
      <w:r w:rsidRPr="00BD5CD1">
        <w:rPr>
          <w:rFonts w:ascii="Arial" w:hAnsi="Arial"/>
          <w:b/>
          <w:bCs/>
          <w:szCs w:val="22"/>
        </w:rPr>
        <w:t>Pzp</w:t>
      </w:r>
      <w:proofErr w:type="spellEnd"/>
      <w:r w:rsidRPr="00BD5CD1">
        <w:rPr>
          <w:rFonts w:ascii="Arial" w:hAnsi="Arial"/>
          <w:b/>
          <w:bCs/>
          <w:szCs w:val="22"/>
        </w:rPr>
        <w:t>.</w:t>
      </w:r>
    </w:p>
    <w:p w:rsidR="00BD5CD1" w:rsidRPr="00BD5CD1" w:rsidRDefault="00BD5CD1" w:rsidP="00BD5CD1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BD5CD1">
        <w:rPr>
          <w:rFonts w:ascii="Arial" w:hAnsi="Arial"/>
          <w:b/>
          <w:bCs/>
          <w:szCs w:val="22"/>
        </w:rPr>
        <w:t>Przedmiot zamówienia:</w:t>
      </w:r>
    </w:p>
    <w:p w:rsidR="00BD5CD1" w:rsidRPr="00BD5CD1" w:rsidRDefault="00BD5CD1" w:rsidP="00BD5CD1">
      <w:pPr>
        <w:overflowPunct/>
        <w:spacing w:before="0" w:after="0" w:line="276" w:lineRule="auto"/>
        <w:rPr>
          <w:rFonts w:ascii="Arial" w:hAnsi="Arial"/>
          <w:szCs w:val="22"/>
        </w:rPr>
      </w:pPr>
      <w:r w:rsidRPr="00BD5CD1">
        <w:rPr>
          <w:rFonts w:ascii="Arial" w:hAnsi="Arial"/>
          <w:szCs w:val="22"/>
        </w:rPr>
        <w:t>Remont systemu oświetlenia drogowego na terenie Gminy Miejskiej Legionowo</w:t>
      </w:r>
    </w:p>
    <w:p w:rsidR="00BD5CD1" w:rsidRPr="00BD5CD1" w:rsidRDefault="00BD5CD1" w:rsidP="00BD5CD1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  <w:r w:rsidRPr="00BD5CD1">
        <w:rPr>
          <w:rFonts w:ascii="Arial" w:hAnsi="Arial"/>
          <w:b/>
          <w:bCs/>
          <w:szCs w:val="22"/>
        </w:rPr>
        <w:t>Zamawiający:</w:t>
      </w:r>
    </w:p>
    <w:p w:rsidR="00BD5CD1" w:rsidRPr="00BD5CD1" w:rsidRDefault="00BD5CD1" w:rsidP="00BD5CD1">
      <w:pPr>
        <w:overflowPunct/>
        <w:spacing w:before="0" w:after="0" w:line="276" w:lineRule="auto"/>
        <w:rPr>
          <w:rFonts w:ascii="Arial" w:hAnsi="Arial"/>
          <w:szCs w:val="22"/>
        </w:rPr>
      </w:pPr>
      <w:r w:rsidRPr="00BD5CD1">
        <w:rPr>
          <w:rFonts w:ascii="Arial" w:hAnsi="Arial"/>
          <w:szCs w:val="22"/>
        </w:rPr>
        <w:t>Gmina Miejska Legionowo – Urząd Miasta Legionowo</w:t>
      </w:r>
    </w:p>
    <w:p w:rsidR="00BD5CD1" w:rsidRPr="00BD5CD1" w:rsidRDefault="00BD5CD1" w:rsidP="00BD5CD1">
      <w:pPr>
        <w:overflowPunct/>
        <w:spacing w:before="283" w:after="0" w:line="276" w:lineRule="auto"/>
        <w:rPr>
          <w:rFonts w:ascii="Arial" w:hAnsi="Arial"/>
          <w:szCs w:val="22"/>
        </w:rPr>
      </w:pPr>
      <w:r w:rsidRPr="00BD5CD1">
        <w:rPr>
          <w:rFonts w:ascii="Arial" w:hAnsi="Arial"/>
          <w:szCs w:val="22"/>
        </w:rPr>
        <w:t>Producent oprawy</w:t>
      </w:r>
      <w:r w:rsidRPr="00BD5CD1">
        <w:rPr>
          <w:rFonts w:ascii="Arial" w:hAnsi="Arial"/>
        </w:rPr>
        <w:object w:dxaOrig="225" w:dyaOrig="225">
          <v:shape id="_x0000_i1037" type="#_x0000_t75" style="width:482.25pt;height:19.7pt" o:ole="">
            <v:imagedata r:id="rId11" o:title=""/>
          </v:shape>
          <w:control r:id="rId12" w:name="unnamed76" w:shapeid="_x0000_i1037"/>
        </w:object>
      </w:r>
    </w:p>
    <w:p w:rsidR="00BD5CD1" w:rsidRPr="00BD5CD1" w:rsidRDefault="00BD5CD1" w:rsidP="00BD5CD1">
      <w:pPr>
        <w:overflowPunct/>
        <w:spacing w:before="0" w:after="0" w:line="276" w:lineRule="auto"/>
        <w:rPr>
          <w:rFonts w:ascii="Arial" w:hAnsi="Arial"/>
          <w:szCs w:val="22"/>
        </w:rPr>
      </w:pPr>
      <w:r w:rsidRPr="00BD5CD1">
        <w:rPr>
          <w:rFonts w:ascii="Arial" w:hAnsi="Arial"/>
          <w:szCs w:val="22"/>
        </w:rPr>
        <w:t>Nazwa oprawy (nazwa własna oprawy)</w:t>
      </w:r>
    </w:p>
    <w:p w:rsidR="00BD5CD1" w:rsidRPr="00BD5CD1" w:rsidRDefault="00BD5CD1" w:rsidP="00BD5CD1">
      <w:pPr>
        <w:overflowPunct/>
        <w:rPr>
          <w:szCs w:val="22"/>
        </w:rPr>
      </w:pPr>
      <w:r w:rsidRPr="00BD5CD1">
        <w:rPr>
          <w:rFonts w:ascii="Arial" w:hAnsi="Arial"/>
          <w:b/>
          <w:bCs/>
        </w:rPr>
        <w:object w:dxaOrig="225" w:dyaOrig="225">
          <v:shape id="_x0000_i1039" type="#_x0000_t75" style="width:482.25pt;height:19.7pt" o:ole="">
            <v:imagedata r:id="rId11" o:title=""/>
          </v:shape>
          <w:control r:id="rId13" w:name="unnamed77" w:shapeid="_x0000_i1039"/>
        </w:objec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budowa oprawy d</w:t>
      </w:r>
      <w:bookmarkStart w:id="0" w:name="_GoBack"/>
      <w:bookmarkEnd w:id="0"/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wukomorowa: otwarcie komory elektrycznej nie powoduje rozszczelnienia komory optycznej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9" type="#_x0000_t75" style="width:8.15pt;height:23.75pt" o:ole="">
            <v:imagedata r:id="rId14" o:title=""/>
          </v:shape>
          <w:control r:id="rId15" w:name="Spełnia" w:shapeid="_x0000_i2079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8" type="#_x0000_t75" style="width:8.15pt;height:23.75pt" o:ole="">
            <v:imagedata r:id="rId16" o:title=""/>
          </v:shape>
          <w:control r:id="rId17" w:name="Nie spełnia" w:shapeid="_x0000_i2078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materiał korpusu – ekstrudowane aluminium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7" type="#_x0000_t75" style="width:8.15pt;height:23.75pt" o:ole="">
            <v:imagedata r:id="rId18" o:title=""/>
          </v:shape>
          <w:control r:id="rId19" w:name="Spełnia1" w:shapeid="_x0000_i2077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6" type="#_x0000_t75" style="width:8.15pt;height:23.75pt" o:ole="">
            <v:imagedata r:id="rId20" o:title=""/>
          </v:shape>
          <w:control r:id="rId21" w:name="Nie spełnia1" w:shapeid="_x0000_i2076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korpus pokryty powłoką zapewniającą odporność na korozję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5" type="#_x0000_t75" style="width:8.15pt;height:23.75pt" o:ole="">
            <v:imagedata r:id="rId22" o:title=""/>
          </v:shape>
          <w:control r:id="rId23" w:name="Spełnia2" w:shapeid="_x0000_i2075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4" type="#_x0000_t75" style="width:8.15pt;height:23.75pt" o:ole="">
            <v:imagedata r:id="rId24" o:title=""/>
          </v:shape>
          <w:control r:id="rId25" w:name="Nie spełnia2" w:shapeid="_x0000_i2074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materiał klosza – szkło hartowane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3" type="#_x0000_t75" style="width:8.15pt;height:23.75pt" o:ole="">
            <v:imagedata r:id="rId26" o:title=""/>
          </v:shape>
          <w:control r:id="rId27" w:name="Spełnia3" w:shapeid="_x0000_i2073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2" type="#_x0000_t75" style="width:8.15pt;height:23.75pt" o:ole="">
            <v:imagedata r:id="rId28" o:title=""/>
          </v:shape>
          <w:control r:id="rId29" w:name="Nie spełnia3" w:shapeid="_x0000_i2072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uchwyt montażowy wykonany ze stali nierdzewnej 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1" type="#_x0000_t75" style="width:8.15pt;height:23.75pt" o:ole="">
            <v:imagedata r:id="rId30" o:title=""/>
          </v:shape>
          <w:control r:id="rId31" w:name="Spełnia4" w:shapeid="_x0000_i2071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70" type="#_x0000_t75" style="width:8.15pt;height:23.75pt" o:ole="">
            <v:imagedata r:id="rId32" o:title=""/>
          </v:shape>
          <w:control r:id="rId33" w:name="Nie spełnia4" w:shapeid="_x0000_i2070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stopień odporności klosza na uderzenia mechaniczne – IK08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9" type="#_x0000_t75" style="width:8.15pt;height:23.75pt" o:ole="">
            <v:imagedata r:id="rId34" o:title=""/>
          </v:shape>
          <w:control r:id="rId35" w:name="Spełnia5" w:shapeid="_x0000_i2069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8" type="#_x0000_t75" style="width:8.15pt;height:23.75pt" o:ole="">
            <v:imagedata r:id="rId36" o:title=""/>
          </v:shape>
          <w:control r:id="rId37" w:name="Nie spełnia5" w:shapeid="_x0000_i2068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0"/>
        <w:ind w:left="284" w:hanging="284"/>
        <w:contextualSpacing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szczelność oprawy – IP66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7" type="#_x0000_t75" style="width:8.15pt;height:23.75pt" o:ole="">
            <v:imagedata r:id="rId38" o:title=""/>
          </v:shape>
          <w:control r:id="rId39" w:name="Spełnia6" w:shapeid="_x0000_i2067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6" type="#_x0000_t75" style="width:8.15pt;height:23.75pt" o:ole="">
            <v:imagedata r:id="rId40" o:title=""/>
          </v:shape>
          <w:control r:id="rId41" w:name="Nie spełnia6" w:shapeid="_x0000_i2066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znamionowe napięcie pracy – 230V/50Hz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5" type="#_x0000_t75" style="width:8.15pt;height:23.75pt" o:ole="">
            <v:imagedata r:id="rId42" o:title=""/>
          </v:shape>
          <w:control r:id="rId43" w:name="Spełnia7" w:shapeid="_x0000_i2065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4" type="#_x0000_t75" style="width:8.15pt;height:23.75pt" o:ole="">
            <v:imagedata r:id="rId44" o:title=""/>
          </v:shape>
          <w:control r:id="rId45" w:name="Nie spełnia7" w:shapeid="_x0000_i2064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układ zasilający umożliwiający zaprogramowanie co najmniej 5-ciu stopni autonomicznej redukcji mocy i strumienia świetlnego bez zewnętrznego sygnału sterującego, zgodnie z ustalonym wcześniej harmonogramem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3" type="#_x0000_t75" style="width:8.15pt;height:23.75pt" o:ole="">
            <v:imagedata r:id="rId20" o:title=""/>
          </v:shape>
          <w:control r:id="rId46" w:name="Spełnia8" w:shapeid="_x0000_i2063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2" type="#_x0000_t75" style="width:8.15pt;height:23.75pt" o:ole="">
            <v:imagedata r:id="rId18" o:title=""/>
          </v:shape>
          <w:control r:id="rId47" w:name="Nie spełnia8" w:shapeid="_x0000_i2062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ochrona przed przepięciami – 10kV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1" type="#_x0000_t75" style="width:8.15pt;height:23.75pt" o:ole="">
            <v:imagedata r:id="rId48" o:title=""/>
          </v:shape>
          <w:control r:id="rId49" w:name="Spełnia9" w:shapeid="_x0000_i2061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60" type="#_x0000_t75" style="width:8.15pt;height:23.75pt" o:ole="">
            <v:imagedata r:id="rId50" o:title=""/>
          </v:shape>
          <w:control r:id="rId51" w:name="Nie spełnia9" w:shapeid="_x0000_i2060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klasa ochronności elektrycznej: I lub II – zgodnie z projektem elektrycznym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9" type="#_x0000_t75" style="width:8.15pt;height:23.75pt" o:ole="">
            <v:imagedata r:id="rId52" o:title=""/>
          </v:shape>
          <w:control r:id="rId53" w:name="Spełnia10" w:shapeid="_x0000_i2059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8" type="#_x0000_t75" style="width:8.15pt;height:23.75pt" o:ole="">
            <v:imagedata r:id="rId54" o:title=""/>
          </v:shape>
          <w:control r:id="rId55" w:name="Nie spełnia10" w:shapeid="_x0000_i2058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rodzaj źródła światła – LED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7" type="#_x0000_t75" style="width:8.15pt;height:23.75pt" o:ole="">
            <v:imagedata r:id="rId56" o:title=""/>
          </v:shape>
          <w:control r:id="rId57" w:name="Spełnia11" w:shapeid="_x0000_i2057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6" type="#_x0000_t75" style="width:8.15pt;height:23.75pt" o:ole="">
            <v:imagedata r:id="rId58" o:title=""/>
          </v:shape>
          <w:control r:id="rId59" w:name="Nie spełnia11" w:shapeid="_x0000_i2056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zakres temperatury barwowej źródeł światła – 3000K ±10%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5" type="#_x0000_t75" style="width:8.15pt;height:23.75pt" o:ole="">
            <v:imagedata r:id="rId60" o:title=""/>
          </v:shape>
          <w:control r:id="rId61" w:name="Spełnia12" w:shapeid="_x0000_i2055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4" type="#_x0000_t75" style="width:8.15pt;height:23.75pt" o:ole="">
            <v:imagedata r:id="rId34" o:title=""/>
          </v:shape>
          <w:control r:id="rId62" w:name="Nie spełnia12" w:shapeid="_x0000_i2054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utrzymanie strumienia świetlnego w czasie: 90% po 100 000h (zgodnie z IES LM-80 - TM-21)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3" type="#_x0000_t75" style="width:8.15pt;height:23.75pt" o:ole="">
            <v:imagedata r:id="rId63" o:title=""/>
          </v:shape>
          <w:control r:id="rId64" w:name="Spełnia13" w:shapeid="_x0000_i2053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2" type="#_x0000_t75" style="width:8.15pt;height:23.75pt" o:ole="">
            <v:imagedata r:id="rId65" o:title=""/>
          </v:shape>
          <w:control r:id="rId66" w:name="Nie spełnia13" w:shapeid="_x0000_i2052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dane fotometryczne oprawy zamieszczone w programie komputerowym pozwalającym wykonać obliczenia parametrów oświetleniowych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1" type="#_x0000_t75" style="width:8.15pt;height:23.75pt" o:ole="">
            <v:imagedata r:id="rId14" o:title=""/>
          </v:shape>
          <w:control r:id="rId67" w:name="Spełnia14" w:shapeid="_x0000_i2051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50" type="#_x0000_t75" style="width:8.15pt;height:23.75pt" o:ole="">
            <v:imagedata r:id="rId68" o:title=""/>
          </v:shape>
          <w:control r:id="rId69" w:name="Nie spełnia14" w:shapeid="_x0000_i2050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sprawność układu optycznego nie mniejsza niż podana poniżej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9" type="#_x0000_t75" style="width:8.15pt;height:23.75pt" o:ole="">
            <v:imagedata r:id="rId70" o:title=""/>
          </v:shape>
          <w:control r:id="rId71" w:name="Spełnia15" w:shapeid="_x0000_i2049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8" type="#_x0000_t75" style="width:8.15pt;height:23.75pt" o:ole="">
            <v:imagedata r:id="rId72" o:title=""/>
          </v:shape>
          <w:control r:id="rId73" w:name="Nie spełnia15" w:shapeid="_x0000_i2048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oprawa musi być oznakowana znakiem CE oraz posiadać deklarację zgodności   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7" type="#_x0000_t75" style="width:8.15pt;height:23.75pt" o:ole="">
            <v:imagedata r:id="rId74" o:title=""/>
          </v:shape>
          <w:control r:id="rId75" w:name="Spełnia16" w:shapeid="_x0000_i2047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6" type="#_x0000_t75" style="width:8.15pt;height:23.75pt" o:ole="">
            <v:imagedata r:id="rId76" o:title=""/>
          </v:shape>
          <w:control r:id="rId77" w:name="Nie spełnia16" w:shapeid="_x0000_i2046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suppressAutoHyphens w:val="0"/>
        <w:overflowPunct/>
        <w:spacing w:before="0" w:after="0"/>
        <w:ind w:left="284" w:hanging="284"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>oprawa posiada deklarację zgodności oraz aktualny certyfikat akredytowanego ośrodka badawczego potwierdzający wykonanie wyrobów zgodnie z Normami zharmonizowanymi z Dyrektywą LVD (PN-EN 60598-1/PN-EN 60598-2-3) oraz zachowanie reżimów produkcji i jej powtarzalności, zgodnie z Typem 5 wg ISO/IEC 17067, certyfikat ENEC lub równoważny 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5" type="#_x0000_t75" style="width:8.15pt;height:23.75pt" o:ole="">
            <v:imagedata r:id="rId78" o:title=""/>
          </v:shape>
          <w:control r:id="rId79" w:name="Spełnia17" w:shapeid="_x0000_i2045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4" type="#_x0000_t75" style="width:8.15pt;height:23.75pt" o:ole="">
            <v:imagedata r:id="rId80" o:title=""/>
          </v:shape>
          <w:control r:id="rId81" w:name="Nie spełnia17" w:shapeid="_x0000_i2044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5109DE" w:rsidRPr="005109DE" w:rsidRDefault="005109DE" w:rsidP="005109DE">
      <w:pPr>
        <w:numPr>
          <w:ilvl w:val="0"/>
          <w:numId w:val="16"/>
        </w:num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</w:t>
      </w:r>
      <w:r w:rsidRPr="005109DE">
        <w:rPr>
          <w:rFonts w:ascii="Arial" w:eastAsia="NSimSun" w:hAnsi="Arial" w:cs="Arial"/>
          <w:szCs w:val="22"/>
          <w:lang w:eastAsia="zh-CN" w:bidi="hi-IN"/>
        </w:rPr>
        <w:t>Oprawa wyposażona w etykietę z kodem QR wraz z dodatkową naklejką do umieszczenia np. we wnęce słupowej i/lub na projekcie. Dostęp do aplikacji z poziomu komputera i urządzeń przenośnych (smartphone, tablet, laptop itp.), zabezpieczony loginem i hasłem lub aplikacja ogólnodostępna. Kod QR poprzez użycie dedykowanej aplikacji umożliwia uzyskanie pełnej charakterystyki oprawy i dostęp do informacji takich jak: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parametry fotometryczne, elektryczne oraz mechaniczne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dokumentacja oprawy, instrukcja montażu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instrukcja serwisowania w przypadku nieprawidłowego działania oprawy oświetleniowej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lista części zamiennych wraz z kodami producenta</w:t>
      </w:r>
    </w:p>
    <w:p w:rsidR="005109DE" w:rsidRPr="005109DE" w:rsidRDefault="005109DE" w:rsidP="005109DE">
      <w:pPr>
        <w:overflowPunct/>
        <w:spacing w:before="0" w:after="0"/>
        <w:ind w:left="72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Dedykowana aplikacja po zarejestrowaniu projektu pozwala na: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wyeksportowanie danych lokalizacyjnych opraw do ogólnodostępnych map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wprowadzenie indywidualnych opisów danej instalacji np. typ słupa czy jego wysokość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bezpośrednie raportowanie czynności konserwacyjnych</w:t>
      </w:r>
    </w:p>
    <w:p w:rsidR="005109DE" w:rsidRPr="005109DE" w:rsidRDefault="005109DE" w:rsidP="005109DE">
      <w:pPr>
        <w:numPr>
          <w:ilvl w:val="0"/>
          <w:numId w:val="17"/>
        </w:numPr>
        <w:overflowPunct/>
        <w:spacing w:before="0" w:after="0"/>
        <w:contextualSpacing/>
        <w:jc w:val="both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szCs w:val="22"/>
          <w:lang w:eastAsia="zh-CN" w:bidi="hi-IN"/>
        </w:rPr>
        <w:t>eksport danych o instalacji do pliku .</w:t>
      </w:r>
      <w:proofErr w:type="spellStart"/>
      <w:r w:rsidRPr="005109DE">
        <w:rPr>
          <w:rFonts w:ascii="Arial" w:eastAsia="NSimSun" w:hAnsi="Arial" w:cs="Arial"/>
          <w:szCs w:val="22"/>
          <w:lang w:eastAsia="zh-CN" w:bidi="hi-IN"/>
        </w:rPr>
        <w:t>csv</w:t>
      </w:r>
      <w:proofErr w:type="spellEnd"/>
      <w:r w:rsidRPr="005109DE">
        <w:rPr>
          <w:rFonts w:ascii="Arial" w:eastAsia="NSimSun" w:hAnsi="Arial" w:cs="Arial"/>
          <w:szCs w:val="22"/>
          <w:lang w:eastAsia="zh-CN" w:bidi="hi-IN"/>
        </w:rPr>
        <w:t xml:space="preserve">  </w:t>
      </w:r>
      <w:r w:rsidRPr="005109DE">
        <w:rPr>
          <w:rFonts w:ascii="Arial" w:eastAsia="NSimSun" w:hAnsi="Arial" w:cs="Arial"/>
          <w:color w:val="auto"/>
          <w:szCs w:val="22"/>
          <w:lang w:eastAsia="pl-PL" w:bidi="hi-IN"/>
        </w:rPr>
        <w:t xml:space="preserve">             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3" type="#_x0000_t75" style="width:8.15pt;height:23.75pt" o:ole="">
            <v:imagedata r:id="rId82" o:title=""/>
          </v:shape>
          <w:control r:id="rId83" w:name="Spełnia18" w:shapeid="_x0000_i2043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Spełnia</w:t>
      </w:r>
    </w:p>
    <w:p w:rsidR="005109DE" w:rsidRPr="005109DE" w:rsidRDefault="005109DE" w:rsidP="005109DE">
      <w:pPr>
        <w:overflowPunct/>
        <w:spacing w:before="0" w:after="140" w:line="276" w:lineRule="auto"/>
        <w:rPr>
          <w:rFonts w:ascii="Arial" w:eastAsia="NSimSun" w:hAnsi="Arial" w:cs="Arial"/>
          <w:color w:val="auto"/>
          <w:szCs w:val="22"/>
          <w:lang w:eastAsia="zh-CN" w:bidi="hi-IN"/>
        </w:rPr>
      </w:pP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object w:dxaOrig="225" w:dyaOrig="225">
          <v:shape id="_x0000_i2042" type="#_x0000_t75" style="width:8.15pt;height:23.75pt" o:ole="">
            <v:imagedata r:id="rId84" o:title=""/>
          </v:shape>
          <w:control r:id="rId85" w:name="Nie spełnia18" w:shapeid="_x0000_i2042"/>
        </w:object>
      </w:r>
      <w:r w:rsidRPr="005109DE">
        <w:rPr>
          <w:rFonts w:ascii="Arial" w:eastAsia="NSimSun" w:hAnsi="Arial" w:cs="Arial"/>
          <w:color w:val="auto"/>
          <w:szCs w:val="22"/>
          <w:lang w:eastAsia="zh-CN" w:bidi="hi-IN"/>
        </w:rPr>
        <w:t xml:space="preserve"> Nie spełnia</w:t>
      </w:r>
    </w:p>
    <w:p w:rsidR="006C5D18" w:rsidRDefault="006C5D18" w:rsidP="00BD5CD1">
      <w:pPr>
        <w:overflowPunct/>
        <w:spacing w:before="0" w:after="0" w:line="276" w:lineRule="auto"/>
        <w:rPr>
          <w:rFonts w:ascii="Arial" w:hAnsi="Arial"/>
          <w:b/>
          <w:bCs/>
          <w:szCs w:val="22"/>
        </w:rPr>
      </w:pPr>
    </w:p>
    <w:p w:rsidR="00BD5CD1" w:rsidRPr="00BD5CD1" w:rsidRDefault="00BD5CD1" w:rsidP="00BD5CD1">
      <w:pPr>
        <w:overflowPunct/>
        <w:spacing w:before="0" w:after="0" w:line="276" w:lineRule="auto"/>
        <w:rPr>
          <w:rFonts w:ascii="Arial" w:hAnsi="Arial"/>
        </w:rPr>
      </w:pPr>
      <w:r w:rsidRPr="00BD5CD1">
        <w:rPr>
          <w:rFonts w:ascii="Arial" w:hAnsi="Arial"/>
          <w:b/>
          <w:bCs/>
          <w:szCs w:val="22"/>
        </w:rPr>
        <w:t>Uwaga</w:t>
      </w:r>
    </w:p>
    <w:p w:rsidR="00307C82" w:rsidRPr="005E050C" w:rsidRDefault="00BD5CD1" w:rsidP="00BD5CD1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BD5CD1">
        <w:rPr>
          <w:rFonts w:ascii="Arial" w:hAnsi="Arial"/>
          <w:b/>
          <w:bCs/>
          <w:szCs w:val="22"/>
        </w:rPr>
        <w:t>Do wykazu Wykonawca załącza wykonany projekt oświetleniowy (fotometryczny) zawierający wszystkie elementy zawarte w programie Zamawiającego i o których mowa w § 5 ust. 3 SWZ oraz programie funkcjonalno-użytkowym.</w:t>
      </w:r>
    </w:p>
    <w:sectPr w:rsidR="00307C82" w:rsidRPr="005E050C">
      <w:footerReference w:type="default" r:id="rId8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5109DE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FA5"/>
    <w:multiLevelType w:val="multilevel"/>
    <w:tmpl w:val="639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40C6869"/>
    <w:multiLevelType w:val="multilevel"/>
    <w:tmpl w:val="BC50E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9D01C75"/>
    <w:multiLevelType w:val="multilevel"/>
    <w:tmpl w:val="BC9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795F84"/>
    <w:multiLevelType w:val="multilevel"/>
    <w:tmpl w:val="0924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183C2F"/>
    <w:multiLevelType w:val="multilevel"/>
    <w:tmpl w:val="0D7C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26A692F"/>
    <w:multiLevelType w:val="multilevel"/>
    <w:tmpl w:val="1D3017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9374DAE"/>
    <w:multiLevelType w:val="multilevel"/>
    <w:tmpl w:val="BA2A7B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5C4B48"/>
    <w:multiLevelType w:val="multilevel"/>
    <w:tmpl w:val="98A6C1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434389"/>
    <w:multiLevelType w:val="multilevel"/>
    <w:tmpl w:val="5F94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5743631B"/>
    <w:multiLevelType w:val="multilevel"/>
    <w:tmpl w:val="9EC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5A5B30FC"/>
    <w:multiLevelType w:val="multilevel"/>
    <w:tmpl w:val="CC5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63D238D9"/>
    <w:multiLevelType w:val="multilevel"/>
    <w:tmpl w:val="23F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E40519A"/>
    <w:multiLevelType w:val="multilevel"/>
    <w:tmpl w:val="A1B8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EA55451"/>
    <w:multiLevelType w:val="multilevel"/>
    <w:tmpl w:val="F81E1CE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7"/>
    <w:lvlOverride w:ilvl="0"/>
    <w:lvlOverride w:ilvl="1"/>
    <w:lvlOverride w:ilvl="2">
      <w:startOverride w:val="1"/>
    </w:lvlOverride>
  </w:num>
  <w:num w:numId="6">
    <w:abstractNumId w:val="1"/>
    <w:lvlOverride w:ilvl="0"/>
    <w:lvlOverride w:ilvl="1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3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A2F7B"/>
    <w:rsid w:val="00307C82"/>
    <w:rsid w:val="00322C12"/>
    <w:rsid w:val="005109DE"/>
    <w:rsid w:val="005E050C"/>
    <w:rsid w:val="00641A40"/>
    <w:rsid w:val="006750AB"/>
    <w:rsid w:val="00694DD7"/>
    <w:rsid w:val="006B6003"/>
    <w:rsid w:val="006C5D18"/>
    <w:rsid w:val="00891D8F"/>
    <w:rsid w:val="00973571"/>
    <w:rsid w:val="00A63934"/>
    <w:rsid w:val="00BD5CD1"/>
    <w:rsid w:val="00BF68EC"/>
    <w:rsid w:val="00C05D24"/>
    <w:rsid w:val="00DC26DB"/>
    <w:rsid w:val="00E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25.xml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control" Target="activeX/activeX39.xml"/><Relationship Id="rId5" Type="http://schemas.openxmlformats.org/officeDocument/2006/relationships/footnotes" Target="footnotes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control" Target="activeX/activeX30.xml"/><Relationship Id="rId70" Type="http://schemas.openxmlformats.org/officeDocument/2006/relationships/image" Target="media/image30.wmf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control" Target="activeX/activeX36.xml"/><Relationship Id="rId78" Type="http://schemas.openxmlformats.org/officeDocument/2006/relationships/image" Target="media/image34.wmf"/><Relationship Id="rId81" Type="http://schemas.openxmlformats.org/officeDocument/2006/relationships/control" Target="activeX/activeX40.xm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control" Target="activeX/activeX35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2.xml"/><Relationship Id="rId87" Type="http://schemas.openxmlformats.org/officeDocument/2006/relationships/fontTable" Target="fontTable.xml"/><Relationship Id="rId61" Type="http://schemas.openxmlformats.org/officeDocument/2006/relationships/control" Target="activeX/activeX29.xml"/><Relationship Id="rId82" Type="http://schemas.openxmlformats.org/officeDocument/2006/relationships/image" Target="media/image3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2023-01-12T07:51:00Z</dcterms:created>
  <dcterms:modified xsi:type="dcterms:W3CDTF">2023-01-12T07:52:00Z</dcterms:modified>
  <dc:language>pl-PL</dc:language>
</cp:coreProperties>
</file>