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2"/>
        <w:gridCol w:w="4044"/>
      </w:tblGrid>
      <w:tr w:rsidR="002E3E88" w:rsidRPr="00C849D4" w:rsidTr="00195D0E">
        <w:tc>
          <w:tcPr>
            <w:tcW w:w="1880" w:type="pct"/>
          </w:tcPr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2E3E88" w:rsidRPr="00C849D4" w:rsidRDefault="002E3E88" w:rsidP="00CE2C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49D4">
              <w:rPr>
                <w:rFonts w:ascii="Times New Roman" w:hAnsi="Times New Roman" w:cs="Times New Roman"/>
                <w:sz w:val="16"/>
                <w:szCs w:val="16"/>
              </w:rPr>
              <w:t>(nazwa i adres wykonawcy)</w:t>
            </w:r>
          </w:p>
        </w:tc>
        <w:tc>
          <w:tcPr>
            <w:tcW w:w="943" w:type="pct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7" w:type="pct"/>
          </w:tcPr>
          <w:p w:rsidR="002E3E88" w:rsidRPr="00C849D4" w:rsidRDefault="002E3E88" w:rsidP="00CE2C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D4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CE2C65" w:rsidRPr="00C849D4" w:rsidTr="00195D0E">
        <w:tc>
          <w:tcPr>
            <w:tcW w:w="5000" w:type="pct"/>
            <w:gridSpan w:val="3"/>
            <w:vAlign w:val="center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EF6C4F" w:rsidRPr="00EF6C4F" w:rsidTr="00B30EA9">
              <w:tc>
                <w:tcPr>
                  <w:tcW w:w="9288" w:type="dxa"/>
                  <w:shd w:val="clear" w:color="auto" w:fill="BFBFBF" w:themeFill="background1" w:themeFillShade="BF"/>
                </w:tcPr>
                <w:p w:rsidR="00EF6C4F" w:rsidRPr="00EF6C4F" w:rsidRDefault="00B10D8D" w:rsidP="00EF6C4F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B10D8D">
                    <w:rPr>
                      <w:iCs/>
                      <w:sz w:val="20"/>
                      <w:szCs w:val="20"/>
                    </w:rPr>
                    <w:t xml:space="preserve">Dotyczy postępowania: Dostawa Monitora do ciągłego pomiaru parametrów hemodynamicznych z modułami pomiarowymi oraz stojakiem jezdnym - 1 </w:t>
                  </w:r>
                  <w:proofErr w:type="spellStart"/>
                  <w:r w:rsidRPr="00B10D8D">
                    <w:rPr>
                      <w:iCs/>
                      <w:sz w:val="20"/>
                      <w:szCs w:val="20"/>
                    </w:rPr>
                    <w:t>kpl</w:t>
                  </w:r>
                  <w:proofErr w:type="spellEnd"/>
                  <w:r w:rsidRPr="00B10D8D">
                    <w:rPr>
                      <w:iCs/>
                      <w:sz w:val="20"/>
                      <w:szCs w:val="20"/>
                    </w:rPr>
                    <w:t>., znak sprawy: 4 WSzKzP.SZP.2612.108.2023</w:t>
                  </w:r>
                </w:p>
              </w:tc>
            </w:tr>
          </w:tbl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07030" w:rsidRPr="00C027A2" w:rsidRDefault="00E07030" w:rsidP="00E07030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</w:pPr>
            <w:r w:rsidRPr="00C027A2">
              <w:rPr>
                <w:rFonts w:ascii="Tahoma" w:hAnsi="Tahoma" w:cs="Tahoma"/>
                <w:b/>
                <w:snapToGrid w:val="0"/>
                <w:color w:val="000000"/>
                <w:sz w:val="20"/>
                <w:szCs w:val="20"/>
              </w:rPr>
              <w:t>Zestawienie asortymentowo - cenowe przedmiotu zamówienia</w:t>
            </w:r>
          </w:p>
          <w:p w:rsidR="00E07030" w:rsidRPr="00C027A2" w:rsidRDefault="00E07030" w:rsidP="00E0703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E07030" w:rsidRPr="00C027A2" w:rsidRDefault="00E07030" w:rsidP="00E07030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„Cena brutto (zł)”, będąca podstawą do wyliczenia punktów za cenę – otrzymujemy ze wzoru: „Wartość jednostkowa netto[z])” razy „Ilość zakupu” – daje „Wartość </w:t>
            </w:r>
            <w:r w:rsidR="00C027A2"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jednostkowa </w:t>
            </w:r>
            <w:r w:rsidRPr="00C027A2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netto –[zł]”, z której to wartości liczymy podatek vat i po dodaniu podatku vat do wartości netto otrzymujemy „Cenę brutto[(zł]”.</w:t>
            </w:r>
          </w:p>
          <w:p w:rsidR="00E07030" w:rsidRPr="00C027A2" w:rsidRDefault="00E07030" w:rsidP="00E07030">
            <w:pPr>
              <w:rPr>
                <w:rFonts w:ascii="Times New Roman" w:hAnsi="Times New Roman"/>
              </w:rPr>
            </w:pPr>
          </w:p>
          <w:p w:rsidR="00B87911" w:rsidRPr="00C027A2" w:rsidRDefault="00B87911" w:rsidP="00E07030">
            <w:pPr>
              <w:rPr>
                <w:rFonts w:ascii="Times New Roman" w:hAnsi="Times New Roman"/>
              </w:rPr>
            </w:pPr>
          </w:p>
          <w:p w:rsidR="00B87911" w:rsidRPr="00C027A2" w:rsidRDefault="00B87911" w:rsidP="00B87911">
            <w:pPr>
              <w:rPr>
                <w:rFonts w:ascii="Times New Roman" w:hAnsi="Times New Roman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40"/>
              <w:gridCol w:w="3951"/>
              <w:gridCol w:w="579"/>
              <w:gridCol w:w="1151"/>
              <w:gridCol w:w="939"/>
              <w:gridCol w:w="839"/>
              <w:gridCol w:w="963"/>
            </w:tblGrid>
            <w:tr w:rsidR="00B10D8D" w:rsidRPr="00E76023" w:rsidTr="00B10D8D">
              <w:trPr>
                <w:trHeight w:val="20"/>
              </w:trPr>
              <w:tc>
                <w:tcPr>
                  <w:tcW w:w="351" w:type="pct"/>
                  <w:shd w:val="clear" w:color="000000" w:fill="C6EFCE"/>
                  <w:vAlign w:val="center"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Pakiet</w:t>
                  </w:r>
                </w:p>
              </w:tc>
              <w:tc>
                <w:tcPr>
                  <w:tcW w:w="2211" w:type="pct"/>
                  <w:shd w:val="clear" w:color="000000" w:fill="C6EFCE"/>
                  <w:vAlign w:val="center"/>
                  <w:hideMark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Nazwa asortymentu</w:t>
                  </w:r>
                </w:p>
              </w:tc>
              <w:tc>
                <w:tcPr>
                  <w:tcW w:w="294" w:type="pct"/>
                  <w:shd w:val="clear" w:color="000000" w:fill="C6EFCE"/>
                  <w:vAlign w:val="center"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Ilość [</w:t>
                  </w: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kpl</w:t>
                  </w:r>
                  <w:proofErr w:type="spellEnd"/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.]</w:t>
                  </w:r>
                </w:p>
              </w:tc>
              <w:tc>
                <w:tcPr>
                  <w:tcW w:w="539" w:type="pct"/>
                  <w:shd w:val="clear" w:color="000000" w:fill="C6EFCE"/>
                  <w:vAlign w:val="center"/>
                  <w:hideMark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Wartość jednostkowa netto /</w:t>
                  </w: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kpl</w:t>
                  </w:r>
                  <w:proofErr w:type="spellEnd"/>
                </w:p>
              </w:tc>
              <w:tc>
                <w:tcPr>
                  <w:tcW w:w="549" w:type="pct"/>
                  <w:shd w:val="clear" w:color="000000" w:fill="C6EFCE"/>
                  <w:vAlign w:val="center"/>
                  <w:hideMark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netto [zł]</w:t>
                  </w:r>
                </w:p>
              </w:tc>
              <w:tc>
                <w:tcPr>
                  <w:tcW w:w="494" w:type="pct"/>
                  <w:shd w:val="clear" w:color="000000" w:fill="C6EFCE"/>
                  <w:vAlign w:val="center"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VAT</w:t>
                  </w:r>
                </w:p>
              </w:tc>
              <w:tc>
                <w:tcPr>
                  <w:tcW w:w="562" w:type="pct"/>
                  <w:shd w:val="clear" w:color="000000" w:fill="C6EFCE"/>
                  <w:vAlign w:val="center"/>
                  <w:hideMark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suma brutto</w:t>
                  </w:r>
                </w:p>
                <w:p w:rsidR="00B10D8D" w:rsidRPr="00E76023" w:rsidRDefault="00B10D8D" w:rsidP="00B10D8D">
                  <w:pPr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[zł]</w:t>
                  </w:r>
                </w:p>
              </w:tc>
            </w:tr>
            <w:tr w:rsidR="00B10D8D" w:rsidRPr="00E76023" w:rsidTr="00B10D8D">
              <w:trPr>
                <w:trHeight w:val="20"/>
              </w:trPr>
              <w:tc>
                <w:tcPr>
                  <w:tcW w:w="351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211" w:type="pc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B10D8D" w:rsidRPr="00F56EEA" w:rsidRDefault="00B10D8D" w:rsidP="00B10D8D">
                  <w:pPr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pl-PL"/>
                    </w:rPr>
                  </w:pPr>
                  <w:r w:rsidRPr="000B4364">
                    <w:rPr>
                      <w:rFonts w:ascii="Times New Roman" w:hAnsi="Times New Roman"/>
                      <w:sz w:val="18"/>
                      <w:szCs w:val="18"/>
                    </w:rPr>
                    <w:t xml:space="preserve">Monitor do ciągłego pomiaru parametrów hemodynamicznych z modułami pomiarowymi oraz stojakiem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jezdnym </w:t>
                  </w:r>
                </w:p>
              </w:tc>
              <w:tc>
                <w:tcPr>
                  <w:tcW w:w="294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76023">
                    <w:rPr>
                      <w:rFonts w:ascii="Times New Roman" w:hAnsi="Times New Roman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E76023">
                    <w:rPr>
                      <w:rFonts w:ascii="Times New Roman" w:hAnsi="Times New Roman"/>
                      <w:sz w:val="20"/>
                      <w:szCs w:val="20"/>
                    </w:rPr>
                    <w:t>kpl</w:t>
                  </w:r>
                  <w:proofErr w:type="spellEnd"/>
                  <w:r w:rsidRPr="00E76023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39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spacing w:before="120" w:after="120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49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spacing w:before="120" w:after="120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4" w:type="pct"/>
                  <w:shd w:val="clear" w:color="auto" w:fill="auto"/>
                </w:tcPr>
                <w:p w:rsidR="00B10D8D" w:rsidRPr="00E76023" w:rsidRDefault="00B10D8D" w:rsidP="00B10D8D">
                  <w:pPr>
                    <w:spacing w:before="120" w:after="12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76023">
                    <w:rPr>
                      <w:rFonts w:ascii="Times New Roman" w:hAnsi="Times New Roman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562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spacing w:before="120" w:after="120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10D8D" w:rsidRPr="00E76023" w:rsidTr="00B10D8D">
              <w:trPr>
                <w:trHeight w:val="20"/>
              </w:trPr>
              <w:tc>
                <w:tcPr>
                  <w:tcW w:w="3395" w:type="pct"/>
                  <w:gridSpan w:val="4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jc w:val="righ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pl-PL"/>
                    </w:rPr>
                  </w:pPr>
                  <w:r w:rsidRPr="00E76023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eastAsia="pl-PL"/>
                    </w:rPr>
                    <w:t>RAZEM CAŁOŚĆ</w:t>
                  </w:r>
                </w:p>
              </w:tc>
              <w:tc>
                <w:tcPr>
                  <w:tcW w:w="549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jc w:val="right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4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E7602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562" w:type="pct"/>
                  <w:shd w:val="clear" w:color="auto" w:fill="auto"/>
                  <w:vAlign w:val="center"/>
                </w:tcPr>
                <w:p w:rsidR="00B10D8D" w:rsidRPr="00E76023" w:rsidRDefault="00B10D8D" w:rsidP="00B10D8D">
                  <w:pPr>
                    <w:jc w:val="right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87911" w:rsidRPr="00C027A2" w:rsidRDefault="00B87911" w:rsidP="00E07030">
            <w:pPr>
              <w:rPr>
                <w:rFonts w:ascii="Times New Roman" w:hAnsi="Times New Roman"/>
              </w:rPr>
            </w:pPr>
          </w:p>
          <w:p w:rsidR="00E07030" w:rsidRPr="00C027A2" w:rsidRDefault="00E07030" w:rsidP="007127A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127AB" w:rsidRPr="00C027A2" w:rsidRDefault="007127AB" w:rsidP="007127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5C68" w:rsidRDefault="00055C68" w:rsidP="00D37F51">
      <w:pPr>
        <w:pStyle w:val="Bezodstpw"/>
        <w:rPr>
          <w:rFonts w:ascii="Times New Roman" w:eastAsia="Calibri" w:hAnsi="Times New Roman"/>
          <w:b/>
          <w:u w:val="single"/>
        </w:rPr>
      </w:pPr>
    </w:p>
    <w:p w:rsidR="00055C68" w:rsidRDefault="00055C68">
      <w:pPr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br w:type="page"/>
      </w:r>
    </w:p>
    <w:p w:rsidR="00055C68" w:rsidRPr="002B315A" w:rsidRDefault="00055C68" w:rsidP="00055C68">
      <w:pPr>
        <w:ind w:left="360"/>
        <w:contextualSpacing/>
        <w:jc w:val="right"/>
        <w:rPr>
          <w:rFonts w:ascii="Times New Roman" w:hAnsi="Times New Roman"/>
          <w:b/>
        </w:rPr>
      </w:pPr>
      <w:r w:rsidRPr="002B315A">
        <w:rPr>
          <w:rFonts w:ascii="Times New Roman" w:hAnsi="Times New Roman"/>
          <w:b/>
        </w:rPr>
        <w:lastRenderedPageBreak/>
        <w:t>Załącznik nr 2</w:t>
      </w:r>
      <w:r>
        <w:rPr>
          <w:rFonts w:ascii="Times New Roman" w:hAnsi="Times New Roman"/>
          <w:b/>
        </w:rPr>
        <w:t>a do SWZ</w:t>
      </w:r>
      <w:bookmarkStart w:id="0" w:name="_GoBack"/>
      <w:bookmarkEnd w:id="0"/>
    </w:p>
    <w:p w:rsidR="00055C68" w:rsidRPr="002B315A" w:rsidRDefault="00055C68" w:rsidP="00055C68">
      <w:pPr>
        <w:ind w:left="360"/>
        <w:contextualSpacing/>
        <w:jc w:val="center"/>
        <w:rPr>
          <w:rFonts w:ascii="Times New Roman" w:eastAsia="Calibri" w:hAnsi="Times New Roman"/>
          <w:b/>
          <w:u w:val="single"/>
        </w:rPr>
      </w:pPr>
      <w:r w:rsidRPr="002B315A">
        <w:rPr>
          <w:rFonts w:ascii="Times New Roman" w:eastAsia="Calibri" w:hAnsi="Times New Roman"/>
          <w:b/>
          <w:u w:val="single"/>
        </w:rPr>
        <w:t>PARAMETRY TECHNICZNE</w:t>
      </w:r>
    </w:p>
    <w:p w:rsidR="00055C68" w:rsidRDefault="00055C68" w:rsidP="00055C68">
      <w:pPr>
        <w:rPr>
          <w:rFonts w:ascii="Times New Roman" w:eastAsia="Times New Roman" w:hAnsi="Times New Roman"/>
          <w:b/>
          <w:bCs/>
          <w:u w:val="single"/>
          <w:lang w:eastAsia="zh-CN"/>
        </w:rPr>
      </w:pPr>
    </w:p>
    <w:p w:rsidR="00055C68" w:rsidRPr="007778C8" w:rsidRDefault="00055C68" w:rsidP="00055C68">
      <w:pPr>
        <w:jc w:val="center"/>
        <w:rPr>
          <w:rFonts w:ascii="Times New Roman" w:eastAsia="Times New Roman" w:hAnsi="Times New Roman"/>
          <w:b/>
          <w:bCs/>
          <w:u w:val="single"/>
          <w:lang w:eastAsia="zh-CN"/>
        </w:rPr>
      </w:pPr>
      <w:r w:rsidRPr="00722B8E">
        <w:rPr>
          <w:rFonts w:ascii="Times New Roman" w:eastAsia="Times New Roman" w:hAnsi="Times New Roman"/>
          <w:b/>
          <w:bCs/>
          <w:u w:val="single"/>
          <w:lang w:eastAsia="zh-CN"/>
        </w:rPr>
        <w:t xml:space="preserve">Monitor do ciągłego pomiaru parametrów hemodynamicznych z modułami pomiarowymi oraz stojakiem jezdnym - 1 </w:t>
      </w:r>
      <w:proofErr w:type="spellStart"/>
      <w:r w:rsidRPr="00722B8E">
        <w:rPr>
          <w:rFonts w:ascii="Times New Roman" w:eastAsia="Times New Roman" w:hAnsi="Times New Roman"/>
          <w:b/>
          <w:bCs/>
          <w:u w:val="single"/>
          <w:lang w:eastAsia="zh-CN"/>
        </w:rPr>
        <w:t>kpl</w:t>
      </w:r>
      <w:proofErr w:type="spellEnd"/>
      <w:r w:rsidRPr="00722B8E">
        <w:rPr>
          <w:rFonts w:ascii="Times New Roman" w:eastAsia="Times New Roman" w:hAnsi="Times New Roman"/>
          <w:b/>
          <w:bCs/>
          <w:u w:val="single"/>
          <w:lang w:eastAsia="zh-CN"/>
        </w:rPr>
        <w:t>.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  <w:r w:rsidRPr="007778C8">
        <w:rPr>
          <w:rFonts w:ascii="Times New Roman" w:eastAsia="Times New Roman" w:hAnsi="Times New Roman"/>
          <w:b/>
          <w:bCs/>
          <w:lang w:eastAsia="zh-CN"/>
        </w:rPr>
        <w:t>Wykonawca:</w:t>
      </w:r>
      <w:r w:rsidRPr="007778C8">
        <w:rPr>
          <w:rFonts w:ascii="Times New Roman" w:eastAsia="Times New Roman" w:hAnsi="Times New Roman"/>
          <w:b/>
          <w:bCs/>
          <w:lang w:eastAsia="zh-CN"/>
        </w:rPr>
        <w:tab/>
        <w:t>……………………………………………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  <w:r w:rsidRPr="007778C8">
        <w:rPr>
          <w:rFonts w:ascii="Times New Roman" w:eastAsia="Times New Roman" w:hAnsi="Times New Roman"/>
          <w:b/>
          <w:bCs/>
          <w:lang w:eastAsia="zh-CN"/>
        </w:rPr>
        <w:t>Nazwa i typ:</w:t>
      </w:r>
      <w:r w:rsidRPr="007778C8">
        <w:rPr>
          <w:rFonts w:ascii="Times New Roman" w:eastAsia="Times New Roman" w:hAnsi="Times New Roman"/>
          <w:b/>
          <w:bCs/>
          <w:lang w:eastAsia="zh-CN"/>
        </w:rPr>
        <w:tab/>
        <w:t>……………………………………………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  <w:r w:rsidRPr="007778C8">
        <w:rPr>
          <w:rFonts w:ascii="Times New Roman" w:eastAsia="Times New Roman" w:hAnsi="Times New Roman"/>
          <w:b/>
          <w:bCs/>
          <w:lang w:eastAsia="zh-CN"/>
        </w:rPr>
        <w:t>Producent/ Kraj :</w:t>
      </w:r>
      <w:r w:rsidRPr="007778C8">
        <w:rPr>
          <w:rFonts w:ascii="Times New Roman" w:eastAsia="Times New Roman" w:hAnsi="Times New Roman"/>
          <w:b/>
          <w:bCs/>
          <w:lang w:eastAsia="zh-CN"/>
        </w:rPr>
        <w:tab/>
        <w:t>……………………………………………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rPr>
          <w:rFonts w:ascii="Times New Roman" w:eastAsia="Times New Roman" w:hAnsi="Times New Roman"/>
          <w:b/>
          <w:bCs/>
          <w:lang w:eastAsia="zh-CN"/>
        </w:rPr>
      </w:pPr>
      <w:r w:rsidRPr="007778C8">
        <w:rPr>
          <w:rFonts w:ascii="Times New Roman" w:eastAsia="Times New Roman" w:hAnsi="Times New Roman"/>
          <w:b/>
          <w:bCs/>
          <w:lang w:eastAsia="zh-CN"/>
        </w:rPr>
        <w:t>Rok produkcji :</w:t>
      </w:r>
      <w:r w:rsidRPr="007778C8">
        <w:rPr>
          <w:rFonts w:ascii="Times New Roman" w:eastAsia="Times New Roman" w:hAnsi="Times New Roman"/>
          <w:b/>
          <w:bCs/>
          <w:lang w:eastAsia="zh-CN"/>
        </w:rPr>
        <w:tab/>
      </w:r>
      <w:r w:rsidRPr="004D435E">
        <w:rPr>
          <w:rFonts w:ascii="Times New Roman" w:eastAsia="Times New Roman" w:hAnsi="Times New Roman"/>
          <w:b/>
          <w:bCs/>
          <w:lang w:eastAsia="zh-CN"/>
        </w:rPr>
        <w:t xml:space="preserve">sprzęt fabrycznie nowy, nieużywany, </w:t>
      </w:r>
      <w:proofErr w:type="spellStart"/>
      <w:r w:rsidRPr="004D435E">
        <w:rPr>
          <w:rFonts w:ascii="Times New Roman" w:eastAsia="Times New Roman" w:hAnsi="Times New Roman"/>
          <w:b/>
          <w:bCs/>
          <w:lang w:eastAsia="zh-CN"/>
        </w:rPr>
        <w:t>nierekondycjonowany</w:t>
      </w:r>
      <w:proofErr w:type="spellEnd"/>
      <w:r w:rsidRPr="004D435E">
        <w:rPr>
          <w:rFonts w:ascii="Times New Roman" w:eastAsia="Times New Roman" w:hAnsi="Times New Roman"/>
          <w:b/>
          <w:bCs/>
          <w:lang w:eastAsia="zh-CN"/>
        </w:rPr>
        <w:t xml:space="preserve">, </w:t>
      </w:r>
      <w:r>
        <w:rPr>
          <w:rFonts w:ascii="Times New Roman" w:eastAsia="Times New Roman" w:hAnsi="Times New Roman"/>
          <w:b/>
          <w:bCs/>
          <w:lang w:eastAsia="zh-CN"/>
        </w:rPr>
        <w:br/>
      </w:r>
      <w:r w:rsidRPr="004D435E">
        <w:rPr>
          <w:rFonts w:ascii="Times New Roman" w:eastAsia="Times New Roman" w:hAnsi="Times New Roman"/>
          <w:b/>
          <w:bCs/>
          <w:lang w:eastAsia="zh-CN"/>
        </w:rPr>
        <w:t>nie powystawowy / 2023r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</w:p>
    <w:p w:rsidR="00055C68" w:rsidRPr="00E76023" w:rsidRDefault="00055C68" w:rsidP="00055C68">
      <w:pPr>
        <w:rPr>
          <w:sz w:val="20"/>
          <w:szCs w:val="20"/>
        </w:rPr>
      </w:pPr>
      <w:r w:rsidRPr="00E76023">
        <w:rPr>
          <w:sz w:val="20"/>
          <w:szCs w:val="20"/>
        </w:rPr>
        <w:t>*Odpowiedź NIE w przypadku parametrów wymaganych  powoduje odrzucenie oferty</w:t>
      </w:r>
    </w:p>
    <w:p w:rsidR="00055C68" w:rsidRPr="007778C8" w:rsidRDefault="00055C68" w:rsidP="00055C68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Times New Roman" w:eastAsia="Times New Roman" w:hAnsi="Times New Roman"/>
          <w:b/>
          <w:bCs/>
          <w:lang w:eastAsia="zh-CN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418"/>
        <w:gridCol w:w="2551"/>
      </w:tblGrid>
      <w:tr w:rsidR="00055C68" w:rsidRPr="00153CD0" w:rsidTr="00A07ACA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55C68" w:rsidRPr="00153CD0" w:rsidRDefault="00055C68" w:rsidP="00A07ACA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153C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55C68" w:rsidRPr="00153CD0" w:rsidRDefault="00055C68" w:rsidP="00A07ACA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153C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PARAMETRY TECHNICZNE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153CD0" w:rsidRDefault="00055C68" w:rsidP="00A07ACA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</w:pPr>
            <w:r w:rsidRPr="00153CD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PARAMETR WYMAGANY</w:t>
            </w:r>
          </w:p>
        </w:tc>
        <w:tc>
          <w:tcPr>
            <w:tcW w:w="2551" w:type="dxa"/>
            <w:vAlign w:val="center"/>
          </w:tcPr>
          <w:p w:rsidR="00055C68" w:rsidRPr="00153CD0" w:rsidRDefault="00055C68" w:rsidP="00A07ACA">
            <w:pPr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153CD0">
              <w:rPr>
                <w:rFonts w:ascii="Times New Roman" w:hAnsi="Times New Roman"/>
                <w:b/>
                <w:sz w:val="12"/>
                <w:szCs w:val="12"/>
              </w:rPr>
              <w:t xml:space="preserve">PARAMETRY OFEROWANE/ </w:t>
            </w:r>
            <w:r w:rsidRPr="00153CD0">
              <w:rPr>
                <w:rFonts w:ascii="Times New Roman" w:hAnsi="Times New Roman"/>
                <w:b/>
                <w:sz w:val="12"/>
                <w:szCs w:val="12"/>
              </w:rPr>
              <w:br/>
              <w:t>NR STRONY W MATERIAŁACH INFORMACYJNYCH DOŁĄCZONYCH DO OFERTY</w:t>
            </w: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53CD0">
              <w:rPr>
                <w:rFonts w:ascii="Times New Roman" w:hAnsi="Times New Roman"/>
                <w:b/>
                <w:sz w:val="20"/>
                <w:szCs w:val="20"/>
              </w:rPr>
              <w:t>A.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53CD0">
              <w:rPr>
                <w:rFonts w:ascii="Times New Roman" w:hAnsi="Times New Roman"/>
                <w:b/>
                <w:sz w:val="20"/>
                <w:szCs w:val="20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055C68" w:rsidRPr="00153CD0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055C68" w:rsidRPr="0000423A" w:rsidRDefault="00055C68" w:rsidP="00A07A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0423A">
              <w:rPr>
                <w:rFonts w:ascii="Times New Roman" w:hAnsi="Times New Roman"/>
                <w:b/>
                <w:sz w:val="20"/>
                <w:szCs w:val="20"/>
              </w:rPr>
              <w:t xml:space="preserve">Urządzenie do oceny stanu hemodynamicznego Pacjenta w oparciu o pomiar parametrów hemodynamicznych metodą analizy krzywej ciśnienia tętniczego krwi, metodą </w:t>
            </w:r>
            <w:proofErr w:type="spellStart"/>
            <w:r w:rsidRPr="0000423A">
              <w:rPr>
                <w:rFonts w:ascii="Times New Roman" w:hAnsi="Times New Roman"/>
                <w:b/>
                <w:sz w:val="20"/>
                <w:szCs w:val="20"/>
              </w:rPr>
              <w:t>termodylucji</w:t>
            </w:r>
            <w:proofErr w:type="spellEnd"/>
            <w:r w:rsidRPr="0000423A">
              <w:rPr>
                <w:rFonts w:ascii="Times New Roman" w:hAnsi="Times New Roman"/>
                <w:b/>
                <w:sz w:val="20"/>
                <w:szCs w:val="20"/>
              </w:rPr>
              <w:t xml:space="preserve"> oraz </w:t>
            </w:r>
            <w:proofErr w:type="spellStart"/>
            <w:r w:rsidRPr="0000423A">
              <w:rPr>
                <w:rFonts w:ascii="Times New Roman" w:hAnsi="Times New Roman"/>
                <w:b/>
                <w:sz w:val="20"/>
                <w:szCs w:val="20"/>
              </w:rPr>
              <w:t>satuarcji</w:t>
            </w:r>
            <w:proofErr w:type="spellEnd"/>
            <w:r w:rsidRPr="0000423A">
              <w:rPr>
                <w:rFonts w:ascii="Times New Roman" w:hAnsi="Times New Roman"/>
                <w:b/>
                <w:sz w:val="20"/>
                <w:szCs w:val="20"/>
              </w:rPr>
              <w:t xml:space="preserve"> tkankowej.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5954" w:type="dxa"/>
          </w:tcPr>
          <w:p w:rsidR="00055C68" w:rsidRPr="0000423A" w:rsidRDefault="00055C68" w:rsidP="00A07AC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Ocena hemodynamiczna układu krążenia wykorzystująca istniejącą krzywą ciśnienia tętniczego pacjenta do ciągłego pomiaru pojemności minutowej serca w oparciu o pomiar ciśnienia tętniczego.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5954" w:type="dxa"/>
          </w:tcPr>
          <w:p w:rsidR="00055C68" w:rsidRPr="0000423A" w:rsidRDefault="00055C68" w:rsidP="00A07AC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Ciągły pomiar parametrów hemodynamicznych za pomocą mankietów na palec wykorzystujących metodę Volume 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Clamp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5C68" w:rsidRPr="0000423A" w:rsidRDefault="00055C68" w:rsidP="00A07AC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Algorytm wykorzystuje zaawansowane metody przetwarzania w celu zrekonstruowania krzywej ciśnienia w tętnicy w palcu do krzywej ciśnienia tętniczego w tętnicy promieniowej.</w:t>
            </w:r>
          </w:p>
          <w:p w:rsidR="00055C68" w:rsidRPr="0000423A" w:rsidRDefault="00055C68" w:rsidP="00A07AC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Mankiety na palec są wyposażone w czujnik 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pletyzmograficzny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, który stanowi połączenie źródła i odbiornika światła, w celu ciągłego monitorowania zmian objętości krwi tętniczej w palcu.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Możliwość 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robudowy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 o moduł do oceny hemodynamicznej układu krążenia metodą 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termodylucji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55C68" w:rsidRPr="0000423A" w:rsidRDefault="00055C68" w:rsidP="00055C68">
            <w:pPr>
              <w:pStyle w:val="Default"/>
              <w:widowControl w:val="0"/>
              <w:numPr>
                <w:ilvl w:val="0"/>
                <w:numId w:val="8"/>
              </w:numPr>
              <w:ind w:left="173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 za pomocą cewnika Swan-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Ganza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55C68" w:rsidRPr="0000423A" w:rsidRDefault="00055C68" w:rsidP="00055C68">
            <w:pPr>
              <w:pStyle w:val="Default"/>
              <w:widowControl w:val="0"/>
              <w:numPr>
                <w:ilvl w:val="0"/>
                <w:numId w:val="8"/>
              </w:numPr>
              <w:ind w:left="173" w:hanging="218"/>
              <w:rPr>
                <w:rFonts w:ascii="Times New Roman" w:hAnsi="Times New Roman" w:cs="Times New Roman"/>
                <w:sz w:val="20"/>
                <w:szCs w:val="20"/>
              </w:rPr>
            </w:pPr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za pomocą cewnika Swan-</w:t>
            </w:r>
            <w:proofErr w:type="spellStart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>Ganza</w:t>
            </w:r>
            <w:proofErr w:type="spellEnd"/>
            <w:r w:rsidRPr="0000423A">
              <w:rPr>
                <w:rFonts w:ascii="Times New Roman" w:hAnsi="Times New Roman" w:cs="Times New Roman"/>
                <w:sz w:val="20"/>
                <w:szCs w:val="20"/>
              </w:rPr>
              <w:t xml:space="preserve"> CCO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Ciągły pomiar saturacji tkankowej w celu emisji światła w zakresie bliskiej podczerwieni  (metodą NIRS) przy wykorzystaniu analizy tkankowej 5 długości fal. Elektrody zapewniają głębokość penetracji </w:t>
            </w:r>
            <w:r w:rsidRPr="0000423A">
              <w:rPr>
                <w:rFonts w:ascii="Times New Roman" w:hAnsi="Times New Roman"/>
                <w:sz w:val="20"/>
                <w:szCs w:val="20"/>
              </w:rPr>
              <w:lastRenderedPageBreak/>
              <w:t>światła powyżej 2 cm.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lastRenderedPageBreak/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Wymagane parametry monitorowane lub wyliczane: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rzut serca (CO);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rzut serca indeksowany (CI)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objętość wyrzutowa (SV);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indeks objętości wyrzutowej (SVI</w:t>
            </w:r>
            <w:r w:rsidRPr="0000423A">
              <w:rPr>
                <w:rFonts w:ascii="Times New Roman" w:hAnsi="Times New Roman"/>
                <w:sz w:val="20"/>
                <w:szCs w:val="20"/>
                <w:u w:val="single"/>
              </w:rPr>
              <w:t>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systemowy (obwodowy) opór naczyniowy (SVR);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indeks systemowego oporu naczyniowego (SVRI)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zmienność objętości wyrzutowej (SVV);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centralne ciśnienie żylne (OCŻ)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ciśnienie średnie tętnicze (MAP)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Częstość tętna (PR)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Saturacja tkankowa (StO2)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zmienność ciśnienia tętna (PPV)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- wskaźnik ryzyka </w:t>
            </w:r>
            <w:proofErr w:type="spellStart"/>
            <w:r w:rsidRPr="0000423A">
              <w:rPr>
                <w:rFonts w:ascii="Times New Roman" w:hAnsi="Times New Roman"/>
                <w:sz w:val="20"/>
                <w:szCs w:val="20"/>
              </w:rPr>
              <w:t>wystapienia</w:t>
            </w:r>
            <w:proofErr w:type="spellEnd"/>
            <w:r w:rsidRPr="0000423A">
              <w:rPr>
                <w:rFonts w:ascii="Times New Roman" w:hAnsi="Times New Roman"/>
                <w:sz w:val="20"/>
                <w:szCs w:val="20"/>
              </w:rPr>
              <w:t xml:space="preserve"> hipotensji HPI </w:t>
            </w:r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 xml:space="preserve">aktualizowany z częstotliwością co 20 sekund 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- dynamiczna elastancja tętnic (</w:t>
            </w:r>
            <w:proofErr w:type="spellStart"/>
            <w:r w:rsidRPr="0000423A">
              <w:rPr>
                <w:rFonts w:ascii="Times New Roman" w:hAnsi="Times New Roman"/>
                <w:sz w:val="20"/>
                <w:szCs w:val="20"/>
              </w:rPr>
              <w:t>Eadyn</w:t>
            </w:r>
            <w:proofErr w:type="spellEnd"/>
            <w:r w:rsidRPr="0000423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 xml:space="preserve">aktualizowany z częstotliwością co 20 sekund 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0423A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0042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>wskaźnik obwodowy kurczliwości lewej komory (</w:t>
            </w:r>
            <w:proofErr w:type="spellStart"/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>dP</w:t>
            </w:r>
            <w:proofErr w:type="spellEnd"/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>dt</w:t>
            </w:r>
            <w:proofErr w:type="spellEnd"/>
            <w:r w:rsidRPr="0000423A">
              <w:rPr>
                <w:rFonts w:ascii="Times New Roman" w:hAnsi="Times New Roman"/>
                <w:bCs/>
                <w:sz w:val="20"/>
                <w:szCs w:val="20"/>
              </w:rPr>
              <w:t xml:space="preserve">) aktualizowany z częstotliwością co 20 sekund </w:t>
            </w:r>
          </w:p>
          <w:p w:rsidR="00055C68" w:rsidRPr="0000423A" w:rsidRDefault="00055C68" w:rsidP="00A07ACA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- względnej zmiany stężenia hemoglobiny całkowitej — </w:t>
            </w:r>
            <w:proofErr w:type="spellStart"/>
            <w:r w:rsidRPr="0000423A">
              <w:rPr>
                <w:rFonts w:ascii="Times New Roman" w:hAnsi="Times New Roman"/>
                <w:sz w:val="20"/>
                <w:szCs w:val="20"/>
              </w:rPr>
              <w:t>ΔctHb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Wyświetlanie danych w postaci ekranów:</w:t>
            </w:r>
          </w:p>
          <w:p w:rsidR="00055C68" w:rsidRPr="00055C68" w:rsidRDefault="00055C68" w:rsidP="00055C68">
            <w:pPr>
              <w:pStyle w:val="Akapitzlist"/>
              <w:numPr>
                <w:ilvl w:val="0"/>
                <w:numId w:val="7"/>
              </w:numPr>
              <w:ind w:left="173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kokpit wyświetlany jako ekran z dużymi kołami parametrów wskazujące granicznie zakresy i wartości alarmowe</w:t>
            </w:r>
          </w:p>
          <w:p w:rsidR="00055C68" w:rsidRPr="00055C68" w:rsidRDefault="00055C68" w:rsidP="00055C68">
            <w:pPr>
              <w:pStyle w:val="Akapitzlist"/>
              <w:numPr>
                <w:ilvl w:val="0"/>
                <w:numId w:val="7"/>
              </w:numPr>
              <w:ind w:left="173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ekran stanu </w:t>
            </w:r>
            <w:proofErr w:type="spellStart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fzjologicznego</w:t>
            </w:r>
            <w:proofErr w:type="spellEnd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jako animacja obrazująca wzajemne interakcje między sercem, krwią a układem krwionośnym</w:t>
            </w:r>
          </w:p>
          <w:p w:rsidR="00055C68" w:rsidRPr="00055C68" w:rsidRDefault="00055C68" w:rsidP="00055C68">
            <w:pPr>
              <w:pStyle w:val="Akapitzlist"/>
              <w:numPr>
                <w:ilvl w:val="0"/>
                <w:numId w:val="7"/>
              </w:numPr>
              <w:ind w:left="173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ekran zogniskowany umożliwia obserwację wartości ciśnienia tętniczego krwi wraz z monitorowanymi danymi z maksymalnie trzema parametrami kluczowymi</w:t>
            </w:r>
          </w:p>
          <w:p w:rsidR="00055C68" w:rsidRPr="00055C68" w:rsidRDefault="00055C68" w:rsidP="00055C68">
            <w:pPr>
              <w:pStyle w:val="Akapitzlist"/>
              <w:numPr>
                <w:ilvl w:val="0"/>
                <w:numId w:val="7"/>
              </w:numPr>
              <w:ind w:left="173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ekran graficzny/ tabelaryczny umożliwia równoczesne przeglądanie bieżącego statusu i historii wybranych monitorowanych parametrów w formie </w:t>
            </w:r>
            <w:proofErr w:type="spellStart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grafcznej</w:t>
            </w:r>
            <w:proofErr w:type="spellEnd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oraz innych wybranych monitorowanych parametrów w formie tabelarycznej.</w:t>
            </w:r>
          </w:p>
          <w:p w:rsidR="00055C68" w:rsidRPr="00055C68" w:rsidRDefault="00055C68" w:rsidP="00055C68">
            <w:pPr>
              <w:pStyle w:val="Akapitzlist"/>
              <w:numPr>
                <w:ilvl w:val="0"/>
                <w:numId w:val="7"/>
              </w:numPr>
              <w:ind w:left="173" w:hanging="218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dodatkowy ekran ze wskaźnikiem informującym o HPI (wskaźnik ryzyka wystąpienia </w:t>
            </w:r>
            <w:proofErr w:type="spellStart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hipotennsji</w:t>
            </w:r>
            <w:proofErr w:type="spellEnd"/>
            <w:r w:rsidRPr="00055C68">
              <w:rPr>
                <w:rFonts w:ascii="Times New Roman" w:hAnsi="Times New Roman"/>
                <w:sz w:val="20"/>
                <w:szCs w:val="20"/>
                <w:lang w:val="pl-PL"/>
              </w:rPr>
              <w:t>), który wyświetla informacje na temat przyczyn wysokiego prawdopodobieństwa niedociśnienia lub przyczyn wystąpienia niedociśnienia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Ekran dotykowy o przekątnej min 12 cali i rozdzielczości min 1024x768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Wejścia/wyjścia transmisyjne: RS232, USB 2.0, USB3.0, RJ-45, HDMI, analogowe 2 </w:t>
            </w:r>
            <w:proofErr w:type="spellStart"/>
            <w:r w:rsidRPr="0000423A">
              <w:rPr>
                <w:rFonts w:ascii="Times New Roman" w:hAnsi="Times New Roman"/>
                <w:sz w:val="20"/>
                <w:szCs w:val="20"/>
              </w:rPr>
              <w:t>szt</w:t>
            </w:r>
            <w:proofErr w:type="spellEnd"/>
            <w:r w:rsidRPr="0000423A">
              <w:rPr>
                <w:rFonts w:ascii="Times New Roman" w:hAnsi="Times New Roman"/>
                <w:sz w:val="20"/>
                <w:szCs w:val="20"/>
              </w:rPr>
              <w:t>, EKG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Dodatkowe zasilanie akumulatorowe z możliwością wymiany bez interwencji serwisu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 xml:space="preserve">Możliwość transferu danych przez port USB w postaci pliku Excel (do dalszej obróbki)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Menu w języku polskim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 w:rsidRPr="0000423A">
              <w:rPr>
                <w:rFonts w:ascii="Times New Roman" w:hAnsi="Times New Roman"/>
                <w:sz w:val="20"/>
                <w:szCs w:val="20"/>
              </w:rPr>
              <w:t>Waga aparatu nie więcej niż 5 kg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vAlign w:val="center"/>
          </w:tcPr>
          <w:p w:rsidR="00055C68" w:rsidRPr="0000423A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  <w:vAlign w:val="center"/>
          </w:tcPr>
          <w:p w:rsidR="00055C68" w:rsidRPr="0000423A" w:rsidRDefault="00055C68" w:rsidP="00A07AC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 komplecie stojak jezdny do aparatu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00423A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00423A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2551" w:type="dxa"/>
          </w:tcPr>
          <w:p w:rsidR="00055C68" w:rsidRPr="0000423A" w:rsidRDefault="00055C68" w:rsidP="00A07ACA">
            <w:pPr>
              <w:tabs>
                <w:tab w:val="right" w:pos="6838"/>
              </w:tabs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CD0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5954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055C68" w:rsidRPr="00153CD0" w:rsidRDefault="00055C68" w:rsidP="00A07ACA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55C68" w:rsidRPr="00153CD0" w:rsidRDefault="00055C68" w:rsidP="00A07AC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153CD0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wykazu czynności serwisowych, które mogą być wykonywane przez użytkownika samodzielnie nieskutkujące utratą gwarancji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153CD0" w:rsidRDefault="00055C68" w:rsidP="00A07ACA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TAK z dostawą</w:t>
            </w:r>
          </w:p>
        </w:tc>
        <w:tc>
          <w:tcPr>
            <w:tcW w:w="2551" w:type="dxa"/>
          </w:tcPr>
          <w:p w:rsidR="00055C68" w:rsidRPr="00153CD0" w:rsidRDefault="00055C68" w:rsidP="00A07ACA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55C68" w:rsidRPr="00153CD0" w:rsidRDefault="00055C68" w:rsidP="00A07ACA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Czy producent zaleca wykonywanie przeglądów technicznych?</w:t>
            </w:r>
          </w:p>
          <w:p w:rsidR="00055C68" w:rsidRPr="00153CD0" w:rsidRDefault="00055C68" w:rsidP="00A07ACA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Jeżeli TAK podać częstotliwość wykonania przeglądów technicznych zalecanych przez producenta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153CD0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TAK/NIE</w:t>
            </w:r>
            <w:r w:rsidRPr="00153CD0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 w:rsidRPr="00153C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55C68" w:rsidRPr="00153CD0" w:rsidRDefault="00055C68" w:rsidP="00A07A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CD0">
              <w:rPr>
                <w:rFonts w:ascii="Times New Roman" w:hAnsi="Times New Roman"/>
                <w:sz w:val="20"/>
                <w:szCs w:val="20"/>
              </w:rPr>
              <w:t>Podać jeśli zalecane</w:t>
            </w:r>
          </w:p>
        </w:tc>
        <w:tc>
          <w:tcPr>
            <w:tcW w:w="2551" w:type="dxa"/>
          </w:tcPr>
          <w:p w:rsidR="00055C68" w:rsidRPr="00153CD0" w:rsidRDefault="00055C68" w:rsidP="00A07ACA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  <w:tr w:rsidR="00055C68" w:rsidRPr="00153CD0" w:rsidTr="00A07ACA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055C68" w:rsidRPr="00153CD0" w:rsidRDefault="00055C68" w:rsidP="00A07ACA">
            <w:pPr>
              <w:tabs>
                <w:tab w:val="right" w:pos="6838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055C68" w:rsidRPr="00E63103" w:rsidRDefault="00055C68" w:rsidP="00A07ACA">
            <w:pPr>
              <w:suppressAutoHyphens/>
              <w:snapToGrid w:val="0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63103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Czy w oferowanym aparacie przetwarzane są dane osobowe  (np. imię, nazwisko, pesel, data urodzenia,  płeć, itd.)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5C68" w:rsidRPr="00E63103" w:rsidRDefault="00055C68" w:rsidP="00A07ACA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63103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TAK/ NIE</w:t>
            </w:r>
            <w:r w:rsidRPr="00E63103">
              <w:rPr>
                <w:rStyle w:val="Odwoanieprzypisudolnego"/>
                <w:rFonts w:ascii="Times New Roman" w:eastAsia="Times New Roman" w:hAnsi="Times New Roman"/>
                <w:sz w:val="20"/>
                <w:szCs w:val="20"/>
                <w:lang w:eastAsia="zh-CN"/>
              </w:rPr>
              <w:footnoteReference w:id="2"/>
            </w:r>
            <w:r w:rsidRPr="00E63103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 Jeżeli tak, podać jakie  </w:t>
            </w:r>
          </w:p>
        </w:tc>
        <w:tc>
          <w:tcPr>
            <w:tcW w:w="2551" w:type="dxa"/>
          </w:tcPr>
          <w:p w:rsidR="00055C68" w:rsidRPr="00153CD0" w:rsidRDefault="00055C68" w:rsidP="00A07ACA">
            <w:pPr>
              <w:suppressAutoHyphens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zh-CN"/>
              </w:rPr>
            </w:pPr>
          </w:p>
        </w:tc>
      </w:tr>
    </w:tbl>
    <w:p w:rsidR="00055C68" w:rsidRDefault="00055C68" w:rsidP="00055C68">
      <w:pPr>
        <w:suppressAutoHyphens/>
        <w:ind w:firstLine="708"/>
        <w:jc w:val="both"/>
        <w:rPr>
          <w:rFonts w:ascii="Times New Roman" w:eastAsia="Times New Roman" w:hAnsi="Times New Roman"/>
          <w:sz w:val="18"/>
          <w:szCs w:val="18"/>
          <w:lang w:eastAsia="zh-CN"/>
        </w:rPr>
      </w:pPr>
    </w:p>
    <w:p w:rsidR="00055C68" w:rsidRPr="00DB2930" w:rsidRDefault="00055C68" w:rsidP="00055C68">
      <w:pPr>
        <w:rPr>
          <w:rFonts w:ascii="Times New Roman" w:hAnsi="Times New Roman"/>
          <w:b/>
          <w:sz w:val="20"/>
          <w:szCs w:val="20"/>
          <w:lang w:eastAsia="ar-SA"/>
        </w:rPr>
      </w:pPr>
      <w:r w:rsidRPr="00DB2930">
        <w:rPr>
          <w:rFonts w:ascii="Times New Roman" w:hAnsi="Times New Roman"/>
          <w:b/>
          <w:sz w:val="20"/>
          <w:szCs w:val="20"/>
          <w:lang w:eastAsia="ar-SA"/>
        </w:rPr>
        <w:t xml:space="preserve">Treść oświadczenia wykonawcy: </w:t>
      </w:r>
    </w:p>
    <w:p w:rsidR="00055C68" w:rsidRPr="00DB2930" w:rsidRDefault="00055C68" w:rsidP="00055C68">
      <w:pPr>
        <w:numPr>
          <w:ilvl w:val="0"/>
          <w:numId w:val="4"/>
        </w:numPr>
        <w:suppressAutoHyphens/>
        <w:spacing w:after="0" w:line="240" w:lineRule="auto"/>
        <w:ind w:right="119"/>
        <w:jc w:val="both"/>
        <w:rPr>
          <w:rFonts w:ascii="Times New Roman" w:hAnsi="Times New Roman"/>
          <w:sz w:val="20"/>
          <w:szCs w:val="20"/>
          <w:lang w:eastAsia="ar-SA"/>
        </w:rPr>
      </w:pPr>
      <w:r w:rsidRPr="00DB2930">
        <w:rPr>
          <w:rFonts w:ascii="Times New Roman" w:hAnsi="Times New Roman"/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055C68" w:rsidRPr="00DB2930" w:rsidRDefault="00055C68" w:rsidP="00055C68">
      <w:pPr>
        <w:numPr>
          <w:ilvl w:val="0"/>
          <w:numId w:val="4"/>
        </w:numPr>
        <w:suppressAutoHyphens/>
        <w:spacing w:after="0" w:line="240" w:lineRule="auto"/>
        <w:ind w:left="357" w:right="119" w:hanging="357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B2930">
        <w:rPr>
          <w:rFonts w:ascii="Times New Roman" w:hAnsi="Times New Roman"/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055C68" w:rsidRPr="00CE23C7" w:rsidRDefault="00055C68" w:rsidP="00055C68">
      <w:pPr>
        <w:rPr>
          <w:rFonts w:ascii="Calibri" w:hAnsi="Calibri"/>
          <w:sz w:val="14"/>
          <w:szCs w:val="14"/>
          <w:lang w:eastAsia="pl-PL"/>
        </w:rPr>
      </w:pPr>
      <w:r w:rsidRPr="00CE23C7">
        <w:rPr>
          <w:rFonts w:ascii="Calibri" w:hAnsi="Calibri"/>
          <w:sz w:val="14"/>
          <w:szCs w:val="14"/>
        </w:rPr>
        <w:t xml:space="preserve"> </w:t>
      </w:r>
    </w:p>
    <w:p w:rsidR="00055C68" w:rsidRPr="00CE23C7" w:rsidRDefault="00055C68" w:rsidP="00055C68">
      <w:pPr>
        <w:ind w:left="357"/>
        <w:jc w:val="right"/>
        <w:rPr>
          <w:rFonts w:ascii="Times New Roman" w:hAnsi="Times New Roman"/>
          <w:color w:val="000000"/>
          <w:sz w:val="16"/>
          <w:szCs w:val="20"/>
        </w:rPr>
      </w:pPr>
      <w:r w:rsidRPr="00CE23C7">
        <w:rPr>
          <w:color w:val="000000"/>
          <w:sz w:val="16"/>
          <w:szCs w:val="20"/>
        </w:rPr>
        <w:t xml:space="preserve">………............................................................................... </w:t>
      </w:r>
    </w:p>
    <w:p w:rsidR="00055C68" w:rsidRPr="00CE23C7" w:rsidRDefault="00055C68" w:rsidP="00055C68">
      <w:pPr>
        <w:ind w:left="5103"/>
        <w:jc w:val="right"/>
        <w:rPr>
          <w:rFonts w:ascii="Times New Roman" w:eastAsia="Times New Roman" w:hAnsi="Times New Roman"/>
          <w:sz w:val="16"/>
          <w:szCs w:val="20"/>
          <w:lang w:eastAsia="pl-PL"/>
        </w:rPr>
      </w:pPr>
      <w:r w:rsidRPr="00CE23C7">
        <w:rPr>
          <w:rFonts w:ascii="Times New Roman" w:eastAsia="Times New Roman" w:hAnsi="Times New Roman"/>
          <w:sz w:val="16"/>
          <w:szCs w:val="20"/>
          <w:lang w:eastAsia="pl-PL"/>
        </w:rPr>
        <w:t>podpis i  pieczęć  osób wskazanych w dokumencie</w:t>
      </w:r>
    </w:p>
    <w:p w:rsidR="00055C68" w:rsidRPr="00CE23C7" w:rsidRDefault="00055C68" w:rsidP="00055C68">
      <w:pPr>
        <w:jc w:val="right"/>
        <w:rPr>
          <w:rFonts w:ascii="Times New Roman" w:eastAsia="Times New Roman" w:hAnsi="Times New Roman"/>
          <w:sz w:val="16"/>
          <w:szCs w:val="20"/>
          <w:lang w:eastAsia="pl-PL"/>
        </w:rPr>
      </w:pPr>
      <w:r w:rsidRPr="00CE23C7">
        <w:rPr>
          <w:rFonts w:ascii="Times New Roman" w:eastAsia="Times New Roman" w:hAnsi="Times New Roman"/>
          <w:sz w:val="16"/>
          <w:szCs w:val="20"/>
          <w:lang w:eastAsia="pl-PL"/>
        </w:rPr>
        <w:t>uprawniającym do występowania w obrocie prawnym</w:t>
      </w:r>
    </w:p>
    <w:p w:rsidR="00055C68" w:rsidRPr="00CE23C7" w:rsidRDefault="00055C68" w:rsidP="00055C68">
      <w:pPr>
        <w:rPr>
          <w:rFonts w:ascii="Times New Roman" w:eastAsia="Times New Roman" w:hAnsi="Times New Roman"/>
          <w:sz w:val="16"/>
          <w:szCs w:val="20"/>
          <w:lang w:eastAsia="pl-PL"/>
        </w:rPr>
      </w:pPr>
      <w:r w:rsidRPr="00CE23C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lub posiadających pełnomocnictwo</w:t>
      </w:r>
    </w:p>
    <w:p w:rsidR="00D37F51" w:rsidRDefault="00D37F51" w:rsidP="00D37F51">
      <w:pPr>
        <w:pStyle w:val="Bezodstpw"/>
        <w:rPr>
          <w:rFonts w:ascii="Times New Roman" w:eastAsia="Calibri" w:hAnsi="Times New Roman"/>
          <w:b/>
          <w:u w:val="single"/>
        </w:rPr>
      </w:pPr>
    </w:p>
    <w:sectPr w:rsidR="00D37F51" w:rsidSect="00EF6C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BE1" w:rsidRDefault="00E61BE1" w:rsidP="00C849D4">
      <w:pPr>
        <w:spacing w:after="0" w:line="240" w:lineRule="auto"/>
      </w:pPr>
      <w:r>
        <w:separator/>
      </w:r>
    </w:p>
  </w:endnote>
  <w:endnote w:type="continuationSeparator" w:id="0">
    <w:p w:rsidR="00E61BE1" w:rsidRDefault="00E61BE1" w:rsidP="00C8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4F" w:rsidRPr="00DE5E28" w:rsidRDefault="00EF6C4F" w:rsidP="00EF6C4F">
    <w:pPr>
      <w:pStyle w:val="Stopka"/>
      <w:jc w:val="right"/>
      <w:rPr>
        <w:rFonts w:ascii="Times New Roman" w:hAnsi="Times New Roman"/>
        <w:sz w:val="16"/>
        <w:szCs w:val="16"/>
      </w:rPr>
    </w:pPr>
    <w:r>
      <w:rPr>
        <w:b/>
        <w:i/>
        <w:sz w:val="16"/>
        <w:szCs w:val="16"/>
        <w:lang w:eastAsia="pl-PL"/>
      </w:rPr>
      <w:t>D</w:t>
    </w:r>
    <w:r w:rsidRPr="00CA0E4E">
      <w:rPr>
        <w:b/>
        <w:i/>
        <w:sz w:val="16"/>
        <w:szCs w:val="16"/>
        <w:lang w:eastAsia="pl-PL"/>
      </w:rPr>
      <w:t>ofinansowania ze środków Wojewódzkiego Funduszu Ochrony Środowiska i Gospodarki Wodnej we Wrocławiu</w:t>
    </w:r>
  </w:p>
  <w:p w:rsidR="003D4298" w:rsidRDefault="003D4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BE1" w:rsidRDefault="00E61BE1" w:rsidP="00C849D4">
      <w:pPr>
        <w:spacing w:after="0" w:line="240" w:lineRule="auto"/>
      </w:pPr>
      <w:r>
        <w:separator/>
      </w:r>
    </w:p>
  </w:footnote>
  <w:footnote w:type="continuationSeparator" w:id="0">
    <w:p w:rsidR="00E61BE1" w:rsidRDefault="00E61BE1" w:rsidP="00C849D4">
      <w:pPr>
        <w:spacing w:after="0" w:line="240" w:lineRule="auto"/>
      </w:pPr>
      <w:r>
        <w:continuationSeparator/>
      </w:r>
    </w:p>
  </w:footnote>
  <w:footnote w:id="1">
    <w:p w:rsidR="00055C68" w:rsidRDefault="00055C68" w:rsidP="00055C68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2">
    <w:p w:rsidR="00055C68" w:rsidRDefault="00055C68" w:rsidP="00055C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D61C8">
        <w:t>Odpowiedź NIE - nie powoduje odrzucenia oferty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7C65BCB"/>
    <w:multiLevelType w:val="hybridMultilevel"/>
    <w:tmpl w:val="78A022BA"/>
    <w:lvl w:ilvl="0" w:tplc="6018E0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83AE26E">
      <w:numFmt w:val="bullet"/>
      <w:lvlText w:val="•"/>
      <w:lvlJc w:val="left"/>
      <w:pPr>
        <w:ind w:left="1790" w:hanging="71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E813BC7"/>
    <w:multiLevelType w:val="hybridMultilevel"/>
    <w:tmpl w:val="E7AC2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A55E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Paragraf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4D3280A"/>
    <w:multiLevelType w:val="hybridMultilevel"/>
    <w:tmpl w:val="9CE6A6BA"/>
    <w:lvl w:ilvl="0" w:tplc="6018E0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E4FD8"/>
    <w:multiLevelType w:val="hybridMultilevel"/>
    <w:tmpl w:val="8D1600D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777B0D07"/>
    <w:multiLevelType w:val="hybridMultilevel"/>
    <w:tmpl w:val="178E18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C65"/>
    <w:rsid w:val="00054AA2"/>
    <w:rsid w:val="00055C68"/>
    <w:rsid w:val="00062CB8"/>
    <w:rsid w:val="001860F7"/>
    <w:rsid w:val="00195D0E"/>
    <w:rsid w:val="001E45BE"/>
    <w:rsid w:val="001E5FE7"/>
    <w:rsid w:val="0024177D"/>
    <w:rsid w:val="00244C6F"/>
    <w:rsid w:val="00253ECF"/>
    <w:rsid w:val="002E3E88"/>
    <w:rsid w:val="003B6DB3"/>
    <w:rsid w:val="003D4298"/>
    <w:rsid w:val="00412C3A"/>
    <w:rsid w:val="00462585"/>
    <w:rsid w:val="00572996"/>
    <w:rsid w:val="005A13D5"/>
    <w:rsid w:val="005C7849"/>
    <w:rsid w:val="005E6CD2"/>
    <w:rsid w:val="00603AEA"/>
    <w:rsid w:val="006E0065"/>
    <w:rsid w:val="00705E71"/>
    <w:rsid w:val="007127AB"/>
    <w:rsid w:val="007A48F5"/>
    <w:rsid w:val="007C510B"/>
    <w:rsid w:val="008F37F0"/>
    <w:rsid w:val="00914FD6"/>
    <w:rsid w:val="00966D98"/>
    <w:rsid w:val="00984C94"/>
    <w:rsid w:val="00987122"/>
    <w:rsid w:val="00996DE2"/>
    <w:rsid w:val="009A1BB5"/>
    <w:rsid w:val="00A024AF"/>
    <w:rsid w:val="00A11D07"/>
    <w:rsid w:val="00A1270F"/>
    <w:rsid w:val="00A81CAE"/>
    <w:rsid w:val="00AA1745"/>
    <w:rsid w:val="00B10D8D"/>
    <w:rsid w:val="00B87911"/>
    <w:rsid w:val="00BA4D75"/>
    <w:rsid w:val="00BF1421"/>
    <w:rsid w:val="00C027A2"/>
    <w:rsid w:val="00C849D4"/>
    <w:rsid w:val="00CB0C97"/>
    <w:rsid w:val="00CC2107"/>
    <w:rsid w:val="00CD2987"/>
    <w:rsid w:val="00CE2C65"/>
    <w:rsid w:val="00D37F51"/>
    <w:rsid w:val="00D91354"/>
    <w:rsid w:val="00E07030"/>
    <w:rsid w:val="00E17938"/>
    <w:rsid w:val="00E51F01"/>
    <w:rsid w:val="00E61BE1"/>
    <w:rsid w:val="00E9772D"/>
    <w:rsid w:val="00EC589A"/>
    <w:rsid w:val="00EF2AAD"/>
    <w:rsid w:val="00EF6C4F"/>
    <w:rsid w:val="00F11190"/>
    <w:rsid w:val="00F34A21"/>
    <w:rsid w:val="00F52EC0"/>
    <w:rsid w:val="00FC153E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F82AAB"/>
  <w15:docId w15:val="{1E2192CE-7F07-491E-8CED-6E779B3C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C849D4"/>
    <w:pPr>
      <w:keepNext/>
      <w:numPr>
        <w:numId w:val="1"/>
      </w:num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849D4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1"/>
    <w:qFormat/>
    <w:rsid w:val="00C849D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849D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49D4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849D4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49D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49D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849D4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2C6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2C65"/>
    <w:rPr>
      <w:color w:val="954F72"/>
      <w:u w:val="single"/>
    </w:rPr>
  </w:style>
  <w:style w:type="paragraph" w:customStyle="1" w:styleId="font5">
    <w:name w:val="font5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4">
    <w:name w:val="xl64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CE2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CE2C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CE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8">
    <w:name w:val="xl8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customStyle="1" w:styleId="xl109">
    <w:name w:val="xl10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6">
    <w:name w:val="xl11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CE2C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4">
    <w:name w:val="xl134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5">
    <w:name w:val="xl13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8">
    <w:name w:val="xl138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1">
    <w:name w:val="xl141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2">
    <w:name w:val="xl142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6">
    <w:name w:val="xl146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0">
    <w:name w:val="xl150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CE2C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CE2C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CE2C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CE2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7">
    <w:name w:val="xl157"/>
    <w:basedOn w:val="Normalny"/>
    <w:rsid w:val="00CE2C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CE2C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E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849D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849D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uiPriority w:val="9"/>
    <w:semiHidden/>
    <w:rsid w:val="00C849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C849D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C849D4"/>
    <w:rPr>
      <w:rFonts w:ascii="Times New Roman" w:eastAsia="Times New Roman" w:hAnsi="Times New Roman" w:cs="Times New Roman"/>
      <w:b/>
      <w:sz w:val="18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C849D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C849D4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849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849D4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3Znak1">
    <w:name w:val="Nagłówek 3 Znak1"/>
    <w:link w:val="Nagwek3"/>
    <w:locked/>
    <w:rsid w:val="00C849D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D4"/>
  </w:style>
  <w:style w:type="paragraph" w:styleId="Stopka">
    <w:name w:val="footer"/>
    <w:basedOn w:val="Normalny"/>
    <w:link w:val="StopkaZnak"/>
    <w:uiPriority w:val="99"/>
    <w:unhideWhenUsed/>
    <w:rsid w:val="00C84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D4"/>
  </w:style>
  <w:style w:type="paragraph" w:styleId="Bezodstpw">
    <w:name w:val="No Spacing"/>
    <w:uiPriority w:val="1"/>
    <w:qFormat/>
    <w:rsid w:val="00C849D4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37F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37F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37F51"/>
    <w:rPr>
      <w:vertAlign w:val="superscript"/>
    </w:rPr>
  </w:style>
  <w:style w:type="paragraph" w:customStyle="1" w:styleId="Standard">
    <w:name w:val="Standard"/>
    <w:rsid w:val="00D37F51"/>
    <w:pPr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imes New Roman"/>
      <w:color w:val="00000A"/>
      <w:kern w:val="3"/>
      <w:sz w:val="24"/>
      <w:szCs w:val="24"/>
      <w:lang w:eastAsia="hi-IN" w:bidi="hi-IN"/>
    </w:rPr>
  </w:style>
  <w:style w:type="character" w:styleId="Wyrnieniedelikatne">
    <w:name w:val="Subtle Emphasis"/>
    <w:rsid w:val="00D37F51"/>
    <w:rPr>
      <w:i/>
      <w:iCs/>
      <w:color w:val="404040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F52EC0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52EC0"/>
    <w:rPr>
      <w:rFonts w:cs="Times New Roman"/>
      <w:sz w:val="24"/>
      <w:szCs w:val="24"/>
      <w:lang w:val="en-US" w:bidi="en-US"/>
    </w:rPr>
  </w:style>
  <w:style w:type="paragraph" w:customStyle="1" w:styleId="Default">
    <w:name w:val="Default"/>
    <w:rsid w:val="00FC15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065"/>
    <w:rPr>
      <w:rFonts w:ascii="Tahoma" w:hAnsi="Tahoma" w:cs="Tahoma"/>
      <w:sz w:val="16"/>
      <w:szCs w:val="16"/>
    </w:rPr>
  </w:style>
  <w:style w:type="character" w:customStyle="1" w:styleId="StopkaZnak1">
    <w:name w:val="Stopka Znak1"/>
    <w:locked/>
    <w:rsid w:val="00EF6C4F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02D6C-B6FA-4EF9-9A36-77536BAF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35</cp:revision>
  <cp:lastPrinted>2022-06-20T09:33:00Z</cp:lastPrinted>
  <dcterms:created xsi:type="dcterms:W3CDTF">2021-03-18T09:29:00Z</dcterms:created>
  <dcterms:modified xsi:type="dcterms:W3CDTF">2023-09-26T09:38:00Z</dcterms:modified>
</cp:coreProperties>
</file>