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A1B" w:rsidRDefault="00123A1B">
      <w:pPr>
        <w:pStyle w:val="Standard"/>
        <w:jc w:val="both"/>
        <w:rPr>
          <w:rFonts w:ascii="Calibri" w:hAnsi="Calibri" w:cs="Calibri"/>
          <w:sz w:val="22"/>
          <w:szCs w:val="22"/>
        </w:rPr>
      </w:pPr>
    </w:p>
    <w:tbl>
      <w:tblPr>
        <w:tblW w:w="9242" w:type="dxa"/>
        <w:tblInd w:w="-85" w:type="dxa"/>
        <w:tblLayout w:type="fixed"/>
        <w:tblCellMar>
          <w:left w:w="10" w:type="dxa"/>
          <w:right w:w="10" w:type="dxa"/>
        </w:tblCellMar>
        <w:tblLook w:val="0000" w:firstRow="0" w:lastRow="0" w:firstColumn="0" w:lastColumn="0" w:noHBand="0" w:noVBand="0"/>
      </w:tblPr>
      <w:tblGrid>
        <w:gridCol w:w="9242"/>
      </w:tblGrid>
      <w:tr w:rsidR="00123A1B">
        <w:trPr>
          <w:cantSplit/>
          <w:trHeight w:val="417"/>
        </w:trPr>
        <w:tc>
          <w:tcPr>
            <w:tcW w:w="92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123A1B" w:rsidRDefault="00912A2B">
            <w:pPr>
              <w:pStyle w:val="Textbody"/>
              <w:rPr>
                <w:rFonts w:ascii="Calibri" w:hAnsi="Calibri" w:cs="Calibri"/>
                <w:b/>
                <w:bCs/>
                <w:sz w:val="22"/>
                <w:szCs w:val="22"/>
              </w:rPr>
            </w:pPr>
            <w:r>
              <w:rPr>
                <w:rFonts w:ascii="Calibri" w:hAnsi="Calibri" w:cs="Calibri"/>
                <w:b/>
                <w:bCs/>
                <w:sz w:val="22"/>
                <w:szCs w:val="22"/>
              </w:rPr>
              <w:t>F O R M U L A R Z     O F E R T Y</w:t>
            </w:r>
          </w:p>
        </w:tc>
      </w:tr>
    </w:tbl>
    <w:p w:rsidR="00123A1B" w:rsidRDefault="00123A1B">
      <w:pPr>
        <w:pStyle w:val="Zwykytekst1"/>
        <w:jc w:val="both"/>
        <w:rPr>
          <w:rFonts w:ascii="Calibri" w:hAnsi="Calibri" w:cs="Calibri"/>
          <w:sz w:val="22"/>
          <w:szCs w:val="22"/>
        </w:rPr>
      </w:pPr>
    </w:p>
    <w:p w:rsidR="00123A1B" w:rsidRDefault="00912A2B">
      <w:pPr>
        <w:pStyle w:val="Zwykytekst1"/>
        <w:jc w:val="both"/>
        <w:rPr>
          <w:rFonts w:ascii="Calibri" w:hAnsi="Calibri" w:cs="Calibri"/>
          <w:sz w:val="22"/>
          <w:szCs w:val="22"/>
        </w:rPr>
      </w:pPr>
      <w:r>
        <w:rPr>
          <w:rFonts w:ascii="Calibri" w:hAnsi="Calibri" w:cs="Calibri"/>
          <w:noProof/>
          <w:sz w:val="22"/>
          <w:szCs w:val="22"/>
          <w:lang w:eastAsia="pl-PL"/>
        </w:rPr>
        <mc:AlternateContent>
          <mc:Choice Requires="wps">
            <w:drawing>
              <wp:anchor distT="0" distB="0" distL="114300" distR="114300" simplePos="0" relativeHeight="251658240" behindDoc="0" locked="0" layoutInCell="1" allowOverlap="1">
                <wp:simplePos x="0" y="0"/>
                <wp:positionH relativeFrom="margin">
                  <wp:posOffset>-47520</wp:posOffset>
                </wp:positionH>
                <wp:positionV relativeFrom="page">
                  <wp:posOffset>1114920</wp:posOffset>
                </wp:positionV>
                <wp:extent cx="1940040" cy="694800"/>
                <wp:effectExtent l="0" t="0" r="3060" b="0"/>
                <wp:wrapSquare wrapText="bothSides"/>
                <wp:docPr id="1" name="Ramka1"/>
                <wp:cNvGraphicFramePr/>
                <a:graphic xmlns:a="http://schemas.openxmlformats.org/drawingml/2006/main">
                  <a:graphicData uri="http://schemas.microsoft.com/office/word/2010/wordprocessingShape">
                    <wps:wsp>
                      <wps:cNvSpPr txBox="1"/>
                      <wps:spPr>
                        <a:xfrm>
                          <a:off x="0" y="0"/>
                          <a:ext cx="1940040" cy="694800"/>
                        </a:xfrm>
                        <a:prstGeom prst="rect">
                          <a:avLst/>
                        </a:prstGeom>
                        <a:solidFill>
                          <a:srgbClr val="FFFFFF"/>
                        </a:solidFill>
                        <a:ln>
                          <a:noFill/>
                          <a:prstDash/>
                        </a:ln>
                      </wps:spPr>
                      <wps:txbx>
                        <w:txbxContent>
                          <w:tbl>
                            <w:tblPr>
                              <w:tblW w:w="3077" w:type="dxa"/>
                              <w:tblInd w:w="70" w:type="dxa"/>
                              <w:tblLayout w:type="fixed"/>
                              <w:tblCellMar>
                                <w:left w:w="10" w:type="dxa"/>
                                <w:right w:w="10" w:type="dxa"/>
                              </w:tblCellMar>
                              <w:tblLook w:val="0000" w:firstRow="0" w:lastRow="0" w:firstColumn="0" w:lastColumn="0" w:noHBand="0" w:noVBand="0"/>
                            </w:tblPr>
                            <w:tblGrid>
                              <w:gridCol w:w="3077"/>
                            </w:tblGrid>
                            <w:tr w:rsidR="00123A1B">
                              <w:trPr>
                                <w:trHeight w:val="699"/>
                              </w:trPr>
                              <w:tc>
                                <w:tcPr>
                                  <w:tcW w:w="30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23A1B" w:rsidRDefault="00123A1B">
                                  <w:pPr>
                                    <w:pStyle w:val="Zwykytekst1"/>
                                    <w:snapToGrid w:val="0"/>
                                    <w:rPr>
                                      <w:rFonts w:ascii="Calibri" w:hAnsi="Calibri" w:cs="Calibri"/>
                                      <w:sz w:val="22"/>
                                      <w:szCs w:val="22"/>
                                      <w:lang w:eastAsia="pl-PL"/>
                                    </w:rPr>
                                  </w:pPr>
                                </w:p>
                                <w:p w:rsidR="00123A1B" w:rsidRDefault="00123A1B">
                                  <w:pPr>
                                    <w:pStyle w:val="Zwykytekst1"/>
                                    <w:rPr>
                                      <w:rFonts w:ascii="Calibri" w:hAnsi="Calibri" w:cs="Calibri"/>
                                      <w:sz w:val="22"/>
                                      <w:szCs w:val="22"/>
                                      <w:lang w:eastAsia="pl-PL"/>
                                    </w:rPr>
                                  </w:pPr>
                                </w:p>
                                <w:p w:rsidR="00123A1B" w:rsidRDefault="00123A1B">
                                  <w:pPr>
                                    <w:pStyle w:val="Zwykytekst1"/>
                                    <w:rPr>
                                      <w:rFonts w:ascii="Calibri" w:hAnsi="Calibri" w:cs="Calibri"/>
                                      <w:sz w:val="22"/>
                                      <w:szCs w:val="22"/>
                                      <w:lang w:eastAsia="pl-PL"/>
                                    </w:rPr>
                                  </w:pPr>
                                </w:p>
                                <w:p w:rsidR="00123A1B" w:rsidRDefault="00123A1B">
                                  <w:pPr>
                                    <w:pStyle w:val="Zwykytekst1"/>
                                    <w:rPr>
                                      <w:rFonts w:ascii="Calibri" w:hAnsi="Calibri" w:cs="Calibri"/>
                                      <w:sz w:val="22"/>
                                      <w:szCs w:val="22"/>
                                      <w:lang w:eastAsia="pl-PL"/>
                                    </w:rPr>
                                  </w:pPr>
                                </w:p>
                              </w:tc>
                            </w:tr>
                          </w:tbl>
                          <w:p w:rsidR="00123A1B" w:rsidRDefault="00912A2B">
                            <w:pPr>
                              <w:pStyle w:val="Standard"/>
                            </w:pPr>
                            <w:r>
                              <w:t xml:space="preserve"> </w:t>
                            </w:r>
                          </w:p>
                        </w:txbxContent>
                      </wps:txbx>
                      <wps:bodyPr vert="horz" wrap="none" lIns="0" tIns="0" rIns="0" bIns="0" compatLnSpc="0"/>
                    </wps:wsp>
                  </a:graphicData>
                </a:graphic>
              </wp:anchor>
            </w:drawing>
          </mc:Choice>
          <mc:Fallback>
            <w:pict>
              <v:shapetype id="_x0000_t202" coordsize="21600,21600" o:spt="202" path="m,l,21600r21600,l21600,xe">
                <v:stroke joinstyle="miter"/>
                <v:path gradientshapeok="t" o:connecttype="rect"/>
              </v:shapetype>
              <v:shape id="Ramka1" o:spid="_x0000_s1026" type="#_x0000_t202" style="position:absolute;left:0;text-align:left;margin-left:-3.75pt;margin-top:87.8pt;width:152.75pt;height:54.7pt;z-index:251658240;visibility:visible;mso-wrap-style:none;mso-wrap-distance-left:9pt;mso-wrap-distance-top:0;mso-wrap-distance-right:9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" stroked="f">
                <v:textbox inset="0,0,0,0">
                  <w:txbxContent>
                    <w:tbl>
                      <w:tblPr>
                        <w:tblW w:w="3077" w:type="dxa"/>
                        <w:tblInd w:w="70" w:type="dxa"/>
                        <w:tblLayout w:type="fixed"/>
                        <w:tblCellMar>
                          <w:left w:w="10" w:type="dxa"/>
                          <w:right w:w="10" w:type="dxa"/>
                        </w:tblCellMar>
                        <w:tblLook w:val="0000" w:firstRow="0" w:lastRow="0" w:firstColumn="0" w:lastColumn="0" w:noHBand="0" w:noVBand="0"/>
                      </w:tblPr>
                      <w:tblGrid>
                        <w:gridCol w:w="3077"/>
                      </w:tblGrid>
                      <w:tr w:rsidR="00123A1B">
                        <w:trPr>
                          <w:trHeight w:val="699"/>
                        </w:trPr>
                        <w:tc>
                          <w:tcPr>
                            <w:tcW w:w="30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23A1B" w:rsidRDefault="00123A1B">
                            <w:pPr>
                              <w:pStyle w:val="Zwykytekst1"/>
                              <w:snapToGrid w:val="0"/>
                              <w:rPr>
                                <w:rFonts w:ascii="Calibri" w:hAnsi="Calibri" w:cs="Calibri"/>
                                <w:sz w:val="22"/>
                                <w:szCs w:val="22"/>
                                <w:lang w:eastAsia="pl-PL"/>
                              </w:rPr>
                            </w:pPr>
                          </w:p>
                          <w:p w:rsidR="00123A1B" w:rsidRDefault="00123A1B">
                            <w:pPr>
                              <w:pStyle w:val="Zwykytekst1"/>
                              <w:rPr>
                                <w:rFonts w:ascii="Calibri" w:hAnsi="Calibri" w:cs="Calibri"/>
                                <w:sz w:val="22"/>
                                <w:szCs w:val="22"/>
                                <w:lang w:eastAsia="pl-PL"/>
                              </w:rPr>
                            </w:pPr>
                          </w:p>
                          <w:p w:rsidR="00123A1B" w:rsidRDefault="00123A1B">
                            <w:pPr>
                              <w:pStyle w:val="Zwykytekst1"/>
                              <w:rPr>
                                <w:rFonts w:ascii="Calibri" w:hAnsi="Calibri" w:cs="Calibri"/>
                                <w:sz w:val="22"/>
                                <w:szCs w:val="22"/>
                                <w:lang w:eastAsia="pl-PL"/>
                              </w:rPr>
                            </w:pPr>
                          </w:p>
                          <w:p w:rsidR="00123A1B" w:rsidRDefault="00123A1B">
                            <w:pPr>
                              <w:pStyle w:val="Zwykytekst1"/>
                              <w:rPr>
                                <w:rFonts w:ascii="Calibri" w:hAnsi="Calibri" w:cs="Calibri"/>
                                <w:sz w:val="22"/>
                                <w:szCs w:val="22"/>
                                <w:lang w:eastAsia="pl-PL"/>
                              </w:rPr>
                            </w:pPr>
                          </w:p>
                        </w:tc>
                      </w:tr>
                    </w:tbl>
                    <w:p w:rsidR="00123A1B" w:rsidRDefault="00912A2B">
                      <w:pPr>
                        <w:pStyle w:val="Standard"/>
                      </w:pPr>
                      <w:r>
                        <w:t xml:space="preserve"> </w:t>
                      </w:r>
                    </w:p>
                  </w:txbxContent>
                </v:textbox>
                <w10:wrap type="square" anchorx="margin" anchory="page"/>
              </v:shape>
            </w:pict>
          </mc:Fallback>
        </mc:AlternateContent>
      </w:r>
    </w:p>
    <w:p w:rsidR="00123A1B" w:rsidRDefault="00123A1B">
      <w:pPr>
        <w:pStyle w:val="Zwykytekst1"/>
        <w:jc w:val="both"/>
        <w:rPr>
          <w:rFonts w:ascii="Calibri" w:hAnsi="Calibri" w:cs="Calibri"/>
          <w:sz w:val="22"/>
          <w:szCs w:val="22"/>
        </w:rPr>
      </w:pPr>
    </w:p>
    <w:p w:rsidR="00123A1B" w:rsidRDefault="00123A1B">
      <w:pPr>
        <w:pStyle w:val="Zwykytekst1"/>
        <w:jc w:val="both"/>
        <w:rPr>
          <w:rFonts w:ascii="Calibri" w:hAnsi="Calibri" w:cs="Calibri"/>
          <w:sz w:val="22"/>
          <w:szCs w:val="22"/>
        </w:rPr>
      </w:pPr>
    </w:p>
    <w:p w:rsidR="00123A1B" w:rsidRDefault="00912A2B">
      <w:pPr>
        <w:pStyle w:val="Zwykytekst1"/>
        <w:jc w:val="both"/>
        <w:rPr>
          <w:rFonts w:ascii="Calibri" w:eastAsia="Calibri" w:hAnsi="Calibri" w:cs="Calibri"/>
          <w:sz w:val="22"/>
          <w:szCs w:val="22"/>
        </w:rPr>
      </w:pPr>
      <w:r>
        <w:rPr>
          <w:rFonts w:ascii="Calibri" w:eastAsia="Calibri" w:hAnsi="Calibri" w:cs="Calibri"/>
          <w:sz w:val="22"/>
          <w:szCs w:val="22"/>
        </w:rPr>
        <w:t xml:space="preserve">  </w:t>
      </w:r>
    </w:p>
    <w:p w:rsidR="00123A1B" w:rsidRDefault="00912A2B">
      <w:pPr>
        <w:pStyle w:val="Zwykytekst1"/>
        <w:jc w:val="both"/>
        <w:rPr>
          <w:rFonts w:ascii="Calibri" w:hAnsi="Calibri" w:cs="Calibri"/>
          <w:sz w:val="22"/>
          <w:szCs w:val="22"/>
        </w:rPr>
      </w:pPr>
      <w:r>
        <w:rPr>
          <w:rFonts w:ascii="Calibri" w:hAnsi="Calibri" w:cs="Calibri"/>
          <w:sz w:val="22"/>
          <w:szCs w:val="22"/>
        </w:rPr>
        <w:br/>
        <w:t xml:space="preserve">           / pieczęć  firmy /  </w:t>
      </w:r>
    </w:p>
    <w:p w:rsidR="00123A1B" w:rsidRDefault="00123A1B">
      <w:pPr>
        <w:pStyle w:val="Zwykytekst1"/>
        <w:jc w:val="both"/>
        <w:rPr>
          <w:rFonts w:ascii="Calibri" w:hAnsi="Calibri" w:cs="Calibri"/>
          <w:sz w:val="22"/>
          <w:szCs w:val="22"/>
        </w:rPr>
      </w:pPr>
    </w:p>
    <w:p w:rsidR="00123A1B" w:rsidRDefault="00912A2B">
      <w:pPr>
        <w:pStyle w:val="Zwykytekst1"/>
        <w:jc w:val="both"/>
        <w:rPr>
          <w:rFonts w:ascii="Calibri" w:hAnsi="Calibri" w:cs="Calibri"/>
          <w:sz w:val="22"/>
          <w:szCs w:val="22"/>
        </w:rPr>
      </w:pPr>
      <w:r>
        <w:rPr>
          <w:rFonts w:ascii="Calibri" w:hAnsi="Calibri" w:cs="Calibri"/>
          <w:sz w:val="22"/>
          <w:szCs w:val="22"/>
        </w:rPr>
        <w:t>Firma: ....................................................................................................................................................</w:t>
      </w:r>
    </w:p>
    <w:p w:rsidR="00123A1B" w:rsidRDefault="00912A2B">
      <w:pPr>
        <w:pStyle w:val="Zwykytekst1"/>
        <w:jc w:val="both"/>
      </w:pPr>
      <w:r>
        <w:rPr>
          <w:rFonts w:ascii="Calibri" w:hAnsi="Calibri" w:cs="Calibri"/>
          <w:sz w:val="22"/>
          <w:szCs w:val="22"/>
        </w:rPr>
        <w:t>z siedzibą: .........................................................ul: .................................................................................</w:t>
      </w:r>
    </w:p>
    <w:p w:rsidR="00123A1B" w:rsidRDefault="00912A2B">
      <w:pPr>
        <w:pStyle w:val="Zwykytekst1"/>
        <w:jc w:val="both"/>
      </w:pPr>
      <w:proofErr w:type="spellStart"/>
      <w:r>
        <w:rPr>
          <w:rFonts w:ascii="Calibri" w:hAnsi="Calibri" w:cs="Calibri"/>
          <w:sz w:val="22"/>
          <w:szCs w:val="22"/>
        </w:rPr>
        <w:t>tel</w:t>
      </w:r>
      <w:proofErr w:type="spellEnd"/>
      <w:r>
        <w:rPr>
          <w:rFonts w:ascii="Calibri" w:hAnsi="Calibri" w:cs="Calibri"/>
          <w:sz w:val="22"/>
          <w:szCs w:val="22"/>
        </w:rPr>
        <w:t xml:space="preserve"> .............................................fax ....................................e-mail: ……………………………………………………..</w:t>
      </w:r>
    </w:p>
    <w:p w:rsidR="00123A1B" w:rsidRDefault="00912A2B">
      <w:pPr>
        <w:pStyle w:val="Zwykytekst1"/>
        <w:jc w:val="both"/>
        <w:rPr>
          <w:rFonts w:ascii="Calibri" w:hAnsi="Calibri" w:cs="Calibri"/>
          <w:sz w:val="22"/>
          <w:szCs w:val="22"/>
          <w:lang w:val="en-US"/>
        </w:rPr>
      </w:pPr>
      <w:r>
        <w:rPr>
          <w:rFonts w:ascii="Calibri" w:hAnsi="Calibri" w:cs="Calibri"/>
          <w:sz w:val="22"/>
          <w:szCs w:val="22"/>
          <w:lang w:val="en-US"/>
        </w:rPr>
        <w:t>NIP ................................................................   Regon............................................................................</w:t>
      </w:r>
    </w:p>
    <w:p w:rsidR="00123A1B" w:rsidRDefault="00912A2B">
      <w:pPr>
        <w:pStyle w:val="Zwykytekst1"/>
        <w:jc w:val="both"/>
        <w:rPr>
          <w:rFonts w:ascii="Calibri" w:hAnsi="Calibri" w:cs="Calibri"/>
          <w:sz w:val="22"/>
          <w:szCs w:val="22"/>
          <w:lang w:val="en-US"/>
        </w:rPr>
      </w:pPr>
      <w:r>
        <w:rPr>
          <w:rFonts w:ascii="Calibri" w:hAnsi="Calibri" w:cs="Calibri"/>
          <w:sz w:val="22"/>
          <w:szCs w:val="22"/>
          <w:lang w:val="en-US"/>
        </w:rPr>
        <w:t>*</w:t>
      </w:r>
      <w:proofErr w:type="spellStart"/>
      <w:r>
        <w:rPr>
          <w:rFonts w:ascii="Calibri" w:hAnsi="Calibri" w:cs="Calibri"/>
          <w:sz w:val="22"/>
          <w:szCs w:val="22"/>
          <w:lang w:val="en-US"/>
        </w:rPr>
        <w:t>Pesel</w:t>
      </w:r>
      <w:proofErr w:type="spellEnd"/>
      <w:r>
        <w:rPr>
          <w:rFonts w:ascii="Calibri" w:hAnsi="Calibri" w:cs="Calibri"/>
          <w:sz w:val="22"/>
          <w:szCs w:val="22"/>
          <w:lang w:val="en-US"/>
        </w:rPr>
        <w:t xml:space="preserve"> …………………………………………………………………………………………………………………………………………………</w:t>
      </w:r>
    </w:p>
    <w:p w:rsidR="00123A1B" w:rsidRDefault="00912A2B">
      <w:pPr>
        <w:pStyle w:val="Zwykytekst1"/>
        <w:jc w:val="both"/>
      </w:pPr>
      <w:r>
        <w:rPr>
          <w:rFonts w:ascii="Calibri" w:hAnsi="Calibri" w:cs="Calibri"/>
          <w:sz w:val="22"/>
          <w:szCs w:val="22"/>
        </w:rPr>
        <w:t>*Miejsce zamieszkania ……………………………………………………………………………………………………………………….</w:t>
      </w:r>
    </w:p>
    <w:p w:rsidR="00123A1B" w:rsidRDefault="00912A2B">
      <w:pPr>
        <w:pStyle w:val="Zwykytekst1"/>
        <w:jc w:val="both"/>
        <w:rPr>
          <w:rFonts w:ascii="Calibri" w:hAnsi="Calibri" w:cs="Calibri"/>
          <w:sz w:val="22"/>
          <w:szCs w:val="22"/>
        </w:rPr>
      </w:pPr>
      <w:r>
        <w:rPr>
          <w:rFonts w:ascii="Calibri" w:hAnsi="Calibri" w:cs="Calibri"/>
          <w:sz w:val="22"/>
          <w:szCs w:val="22"/>
        </w:rPr>
        <w:t>…………………………………………………………………………………………………………………………………………………………..</w:t>
      </w:r>
    </w:p>
    <w:p w:rsidR="00123A1B" w:rsidRDefault="00912A2B">
      <w:pPr>
        <w:pStyle w:val="Zwykytekst1"/>
        <w:jc w:val="both"/>
        <w:rPr>
          <w:rFonts w:ascii="Calibri" w:hAnsi="Calibri" w:cs="Calibri"/>
          <w:sz w:val="22"/>
          <w:szCs w:val="22"/>
        </w:rPr>
      </w:pPr>
      <w:r>
        <w:rPr>
          <w:rFonts w:ascii="Calibri" w:hAnsi="Calibri" w:cs="Calibri"/>
          <w:sz w:val="22"/>
          <w:szCs w:val="22"/>
        </w:rPr>
        <w:t>*(dotyczy osoby fizycznej/osoby fizycznej prowadzącej działalność gospodarczą/ spółki cywilnej – dla każdego wspólnika)</w:t>
      </w:r>
    </w:p>
    <w:p w:rsidR="0063366A" w:rsidRPr="0063366A" w:rsidRDefault="0063366A" w:rsidP="0063366A">
      <w:pPr>
        <w:widowControl/>
        <w:autoSpaceDN/>
        <w:spacing w:before="120"/>
        <w:jc w:val="both"/>
        <w:textAlignment w:val="auto"/>
        <w:rPr>
          <w:rFonts w:ascii="Calibri" w:eastAsia="Times New Roman" w:hAnsi="Calibri" w:cs="Calibri"/>
          <w:kern w:val="0"/>
          <w:lang w:bidi="ar-SA"/>
        </w:rPr>
      </w:pPr>
      <w:r w:rsidRPr="0063366A">
        <w:rPr>
          <w:rFonts w:ascii="Calibri" w:eastAsia="Times New Roman" w:hAnsi="Calibri" w:cs="Calibri"/>
          <w:spacing w:val="-2"/>
          <w:kern w:val="0"/>
          <w:sz w:val="22"/>
          <w:szCs w:val="22"/>
          <w:lang w:bidi="ar-SA"/>
        </w:rPr>
        <w:t>Nawiązując do pisma -</w:t>
      </w:r>
      <w:r w:rsidRPr="0063366A">
        <w:rPr>
          <w:rFonts w:ascii="Calibri" w:eastAsia="Times New Roman" w:hAnsi="Calibri" w:cs="Calibri"/>
          <w:kern w:val="0"/>
          <w:sz w:val="22"/>
          <w:szCs w:val="22"/>
          <w:lang w:bidi="ar-SA"/>
        </w:rPr>
        <w:t xml:space="preserve"> Zapytania ofertowego – pozaustawowego dla zamówienia, którego wartość nie przekracza 130 000 zł</w:t>
      </w:r>
      <w:r w:rsidRPr="0063366A">
        <w:rPr>
          <w:rFonts w:ascii="Calibri" w:eastAsia="Times New Roman" w:hAnsi="Calibri" w:cs="Calibri"/>
          <w:spacing w:val="-9"/>
          <w:kern w:val="0"/>
          <w:sz w:val="22"/>
          <w:szCs w:val="22"/>
          <w:lang w:bidi="ar-SA"/>
        </w:rPr>
        <w:t xml:space="preserve">: </w:t>
      </w:r>
    </w:p>
    <w:p w:rsidR="00123A1B" w:rsidRDefault="00912A2B">
      <w:pPr>
        <w:pStyle w:val="Tekstpodstawowy21"/>
        <w:spacing w:before="120" w:after="0" w:line="240" w:lineRule="auto"/>
        <w:jc w:val="both"/>
        <w:rPr>
          <w:rFonts w:ascii="Calibri" w:hAnsi="Calibri" w:cs="Calibri"/>
          <w:b/>
          <w:sz w:val="22"/>
          <w:szCs w:val="22"/>
        </w:rPr>
      </w:pPr>
      <w:r>
        <w:rPr>
          <w:rFonts w:ascii="Calibri" w:hAnsi="Calibri" w:cs="Calibri"/>
          <w:b/>
          <w:sz w:val="22"/>
          <w:szCs w:val="22"/>
        </w:rPr>
        <w:t>Przedmiot zamówienia:</w:t>
      </w:r>
    </w:p>
    <w:p w:rsidR="00123A1B" w:rsidRDefault="00912A2B">
      <w:pPr>
        <w:pStyle w:val="Standard"/>
        <w:suppressAutoHyphens w:val="0"/>
        <w:autoSpaceDE w:val="0"/>
        <w:jc w:val="both"/>
      </w:pPr>
      <w:r>
        <w:rPr>
          <w:rFonts w:ascii="Calibri" w:hAnsi="Calibri" w:cs="Calibri"/>
          <w:b/>
          <w:sz w:val="22"/>
          <w:szCs w:val="22"/>
          <w:lang w:eastAsia="pl-PL"/>
        </w:rPr>
        <w:t>ZA.271.</w:t>
      </w:r>
      <w:r w:rsidR="00625920">
        <w:rPr>
          <w:rFonts w:ascii="Calibri" w:hAnsi="Calibri" w:cs="Calibri"/>
          <w:b/>
          <w:sz w:val="22"/>
          <w:szCs w:val="22"/>
          <w:lang w:eastAsia="pl-PL"/>
        </w:rPr>
        <w:t>192</w:t>
      </w:r>
      <w:r>
        <w:rPr>
          <w:rFonts w:ascii="Calibri" w:hAnsi="Calibri" w:cs="Calibri"/>
          <w:b/>
          <w:sz w:val="22"/>
          <w:szCs w:val="22"/>
          <w:lang w:eastAsia="pl-PL"/>
        </w:rPr>
        <w:t>.20</w:t>
      </w:r>
      <w:r w:rsidR="0063366A">
        <w:rPr>
          <w:rFonts w:ascii="Calibri" w:hAnsi="Calibri" w:cs="Calibri"/>
          <w:b/>
          <w:sz w:val="22"/>
          <w:szCs w:val="22"/>
          <w:lang w:eastAsia="pl-PL"/>
        </w:rPr>
        <w:t>21</w:t>
      </w:r>
      <w:r>
        <w:rPr>
          <w:rFonts w:ascii="Calibri" w:hAnsi="Calibri" w:cs="Calibri"/>
          <w:b/>
          <w:sz w:val="22"/>
          <w:szCs w:val="22"/>
          <w:lang w:eastAsia="pl-PL"/>
        </w:rPr>
        <w:t xml:space="preserve">: </w:t>
      </w:r>
      <w:r>
        <w:rPr>
          <w:rFonts w:ascii="Calibri" w:hAnsi="Calibri" w:cs="Calibri"/>
          <w:b/>
          <w:bCs/>
          <w:sz w:val="22"/>
          <w:szCs w:val="22"/>
          <w:lang w:eastAsia="pl-PL"/>
        </w:rPr>
        <w:t xml:space="preserve">Usługi wykonania operatów szacunkowych:                                                                                                                                                                                                                          </w:t>
      </w:r>
    </w:p>
    <w:p w:rsidR="00625920" w:rsidRPr="00625920" w:rsidRDefault="00625920" w:rsidP="00625920">
      <w:pPr>
        <w:widowControl/>
        <w:spacing w:line="276" w:lineRule="auto"/>
        <w:jc w:val="both"/>
        <w:rPr>
          <w:rFonts w:ascii="Calibri" w:eastAsia="Times New Roman" w:hAnsi="Calibri" w:cs="Calibri"/>
          <w:b/>
          <w:bCs/>
          <w:sz w:val="22"/>
          <w:szCs w:val="22"/>
          <w:lang w:eastAsia="pl-PL" w:bidi="ar-SA"/>
        </w:rPr>
      </w:pPr>
      <w:r w:rsidRPr="00625920">
        <w:rPr>
          <w:rFonts w:ascii="Calibri" w:eastAsia="Times New Roman" w:hAnsi="Calibri" w:cs="Calibri"/>
          <w:b/>
          <w:bCs/>
          <w:sz w:val="22"/>
          <w:szCs w:val="22"/>
          <w:lang w:eastAsia="pl-PL" w:bidi="ar-SA"/>
        </w:rPr>
        <w:t>Sporządzenie operatów szacunkowych określających wartość nieruchomości (gruntu, części składowych oraz istniejących ograniczonych praw rzeczowych) położonych na terenie Powiatu Nowotarskiego w celu ustalenia odszkodowania za nieruchomości, które stały się własnością odpowiednich jednostek samorządu terytorialnego na mocy ostatecznych decyzji o zezwoleniu na realizację inwestycji drogowych, ostatecznych decyzji wydanych w trybie art. 73 ustawy Przepisy wprowadzające ustawy reformujące administrację publiczną oraz decyzji właściwych organów jednostek samorządu terytorialnego zatwierdzających podział w trybie art. 98 ustawy o gospodarce nieruchomościami:</w:t>
      </w:r>
    </w:p>
    <w:p w:rsidR="00625920" w:rsidRPr="00625920" w:rsidRDefault="00625920" w:rsidP="00625920">
      <w:pPr>
        <w:widowControl/>
        <w:numPr>
          <w:ilvl w:val="0"/>
          <w:numId w:val="12"/>
        </w:numPr>
        <w:tabs>
          <w:tab w:val="left" w:pos="0"/>
        </w:tabs>
        <w:autoSpaceDN/>
        <w:spacing w:line="360" w:lineRule="auto"/>
        <w:ind w:left="284" w:hanging="284"/>
        <w:contextualSpacing/>
        <w:jc w:val="both"/>
        <w:textAlignment w:val="auto"/>
        <w:rPr>
          <w:rFonts w:asciiTheme="minorHAnsi" w:eastAsia="Times New Roman" w:hAnsiTheme="minorHAnsi" w:cstheme="minorHAnsi"/>
          <w:sz w:val="22"/>
          <w:szCs w:val="22"/>
          <w:lang w:bidi="ar-SA"/>
        </w:rPr>
      </w:pPr>
      <w:r w:rsidRPr="00625920">
        <w:rPr>
          <w:rFonts w:asciiTheme="minorHAnsi" w:eastAsia="Times New Roman" w:hAnsiTheme="minorHAnsi" w:cstheme="minorHAnsi"/>
          <w:sz w:val="22"/>
          <w:szCs w:val="22"/>
          <w:lang w:bidi="ar-SA"/>
        </w:rPr>
        <w:t>Cena jednostkowa dotyczy operatu szacunkowego wyceny nieruchomości (jedna księga wieczysta lub jednolite władanie) obejmującej działki położone w jednym kompleksie, dla następujących przypadków:</w:t>
      </w:r>
    </w:p>
    <w:p w:rsidR="00625920" w:rsidRPr="00625920" w:rsidRDefault="00625920" w:rsidP="00625920">
      <w:pPr>
        <w:widowControl/>
        <w:numPr>
          <w:ilvl w:val="1"/>
          <w:numId w:val="14"/>
        </w:numPr>
        <w:tabs>
          <w:tab w:val="left" w:pos="0"/>
        </w:tabs>
        <w:autoSpaceDN/>
        <w:spacing w:line="360" w:lineRule="auto"/>
        <w:ind w:left="284"/>
        <w:contextualSpacing/>
        <w:jc w:val="both"/>
        <w:textAlignment w:val="auto"/>
        <w:rPr>
          <w:rFonts w:asciiTheme="minorHAnsi" w:eastAsia="Times New Roman" w:hAnsiTheme="minorHAnsi" w:cstheme="minorHAnsi"/>
          <w:sz w:val="22"/>
          <w:szCs w:val="22"/>
          <w:lang w:bidi="ar-SA"/>
        </w:rPr>
      </w:pPr>
      <w:r w:rsidRPr="00625920">
        <w:rPr>
          <w:rFonts w:asciiTheme="minorHAnsi" w:eastAsia="Times New Roman" w:hAnsiTheme="minorHAnsi" w:cstheme="minorHAnsi"/>
          <w:sz w:val="22"/>
          <w:szCs w:val="22"/>
          <w:lang w:bidi="ar-SA"/>
        </w:rPr>
        <w:t>grunt niezabudowany bez ograniczonych praw rzeczowych,</w:t>
      </w:r>
    </w:p>
    <w:p w:rsidR="00625920" w:rsidRPr="00625920" w:rsidRDefault="00625920" w:rsidP="00625920">
      <w:pPr>
        <w:widowControl/>
        <w:numPr>
          <w:ilvl w:val="1"/>
          <w:numId w:val="14"/>
        </w:numPr>
        <w:tabs>
          <w:tab w:val="left" w:pos="0"/>
        </w:tabs>
        <w:autoSpaceDN/>
        <w:spacing w:line="360" w:lineRule="auto"/>
        <w:ind w:left="284"/>
        <w:contextualSpacing/>
        <w:jc w:val="both"/>
        <w:textAlignment w:val="auto"/>
        <w:rPr>
          <w:rFonts w:asciiTheme="minorHAnsi" w:eastAsia="Times New Roman" w:hAnsiTheme="minorHAnsi" w:cstheme="minorHAnsi"/>
          <w:sz w:val="22"/>
          <w:szCs w:val="22"/>
          <w:lang w:bidi="ar-SA"/>
        </w:rPr>
      </w:pPr>
      <w:r w:rsidRPr="00625920">
        <w:rPr>
          <w:rFonts w:asciiTheme="minorHAnsi" w:eastAsia="Times New Roman" w:hAnsiTheme="minorHAnsi" w:cstheme="minorHAnsi"/>
          <w:sz w:val="22"/>
          <w:szCs w:val="22"/>
          <w:lang w:bidi="ar-SA"/>
        </w:rPr>
        <w:t>grunt niezabudowany z ograniczonymi prawami rzeczowymi,</w:t>
      </w:r>
    </w:p>
    <w:p w:rsidR="00625920" w:rsidRPr="00625920" w:rsidRDefault="00625920" w:rsidP="00625920">
      <w:pPr>
        <w:widowControl/>
        <w:numPr>
          <w:ilvl w:val="1"/>
          <w:numId w:val="14"/>
        </w:numPr>
        <w:tabs>
          <w:tab w:val="left" w:pos="0"/>
        </w:tabs>
        <w:autoSpaceDN/>
        <w:spacing w:line="360" w:lineRule="auto"/>
        <w:ind w:left="284"/>
        <w:contextualSpacing/>
        <w:jc w:val="both"/>
        <w:textAlignment w:val="auto"/>
        <w:rPr>
          <w:rFonts w:asciiTheme="minorHAnsi" w:eastAsia="Times New Roman" w:hAnsiTheme="minorHAnsi" w:cstheme="minorHAnsi"/>
          <w:sz w:val="22"/>
          <w:szCs w:val="22"/>
          <w:lang w:bidi="ar-SA"/>
        </w:rPr>
      </w:pPr>
      <w:r w:rsidRPr="00625920">
        <w:rPr>
          <w:rFonts w:asciiTheme="minorHAnsi" w:eastAsia="Times New Roman" w:hAnsiTheme="minorHAnsi" w:cstheme="minorHAnsi"/>
          <w:sz w:val="22"/>
          <w:szCs w:val="22"/>
          <w:lang w:bidi="ar-SA"/>
        </w:rPr>
        <w:t>grunt z częściami składowymi bez ograniczonych praw rzeczowych,</w:t>
      </w:r>
    </w:p>
    <w:p w:rsidR="00625920" w:rsidRPr="00625920" w:rsidRDefault="00625920" w:rsidP="00625920">
      <w:pPr>
        <w:widowControl/>
        <w:numPr>
          <w:ilvl w:val="1"/>
          <w:numId w:val="14"/>
        </w:numPr>
        <w:tabs>
          <w:tab w:val="left" w:pos="0"/>
        </w:tabs>
        <w:autoSpaceDN/>
        <w:spacing w:line="360" w:lineRule="auto"/>
        <w:ind w:left="284"/>
        <w:contextualSpacing/>
        <w:jc w:val="both"/>
        <w:textAlignment w:val="auto"/>
        <w:rPr>
          <w:rFonts w:asciiTheme="minorHAnsi" w:eastAsia="Times New Roman" w:hAnsiTheme="minorHAnsi" w:cstheme="minorHAnsi"/>
          <w:sz w:val="22"/>
          <w:szCs w:val="22"/>
          <w:lang w:bidi="ar-SA"/>
        </w:rPr>
      </w:pPr>
      <w:r w:rsidRPr="00625920">
        <w:rPr>
          <w:rFonts w:asciiTheme="minorHAnsi" w:eastAsia="Times New Roman" w:hAnsiTheme="minorHAnsi" w:cstheme="minorHAnsi"/>
          <w:sz w:val="22"/>
          <w:szCs w:val="22"/>
          <w:lang w:bidi="ar-SA"/>
        </w:rPr>
        <w:t>grunt z częściami składowymi z ograniczonymi prawami rzeczowymi.</w:t>
      </w:r>
    </w:p>
    <w:p w:rsidR="00625920" w:rsidRPr="00625920" w:rsidRDefault="00625920" w:rsidP="00625920">
      <w:pPr>
        <w:widowControl/>
        <w:numPr>
          <w:ilvl w:val="0"/>
          <w:numId w:val="12"/>
        </w:numPr>
        <w:tabs>
          <w:tab w:val="left" w:pos="0"/>
        </w:tabs>
        <w:autoSpaceDN/>
        <w:spacing w:line="360" w:lineRule="auto"/>
        <w:ind w:left="284" w:hanging="284"/>
        <w:contextualSpacing/>
        <w:jc w:val="both"/>
        <w:textAlignment w:val="auto"/>
        <w:rPr>
          <w:rFonts w:asciiTheme="minorHAnsi" w:eastAsia="Times New Roman" w:hAnsiTheme="minorHAnsi" w:cstheme="minorHAnsi"/>
          <w:sz w:val="22"/>
          <w:szCs w:val="22"/>
          <w:lang w:bidi="ar-SA"/>
        </w:rPr>
      </w:pPr>
      <w:r w:rsidRPr="00625920">
        <w:rPr>
          <w:rFonts w:asciiTheme="minorHAnsi" w:eastAsia="Times New Roman" w:hAnsiTheme="minorHAnsi" w:cstheme="minorHAnsi"/>
          <w:sz w:val="22"/>
          <w:szCs w:val="22"/>
          <w:lang w:bidi="ar-SA"/>
        </w:rPr>
        <w:t xml:space="preserve">Operaty szacunkowe muszą być wykonane zgodnie z: </w:t>
      </w:r>
    </w:p>
    <w:p w:rsidR="00625920" w:rsidRPr="00625920" w:rsidRDefault="00625920" w:rsidP="00625920">
      <w:pPr>
        <w:widowControl/>
        <w:numPr>
          <w:ilvl w:val="0"/>
          <w:numId w:val="13"/>
        </w:numPr>
        <w:tabs>
          <w:tab w:val="left" w:pos="0"/>
        </w:tabs>
        <w:autoSpaceDN/>
        <w:spacing w:line="360" w:lineRule="auto"/>
        <w:ind w:left="284"/>
        <w:contextualSpacing/>
        <w:jc w:val="both"/>
        <w:textAlignment w:val="auto"/>
        <w:rPr>
          <w:rFonts w:asciiTheme="minorHAnsi" w:eastAsia="Times New Roman" w:hAnsiTheme="minorHAnsi" w:cstheme="minorHAnsi"/>
          <w:sz w:val="22"/>
          <w:szCs w:val="22"/>
          <w:lang w:bidi="ar-SA"/>
        </w:rPr>
      </w:pPr>
      <w:r w:rsidRPr="00625920">
        <w:rPr>
          <w:rFonts w:asciiTheme="minorHAnsi" w:eastAsia="Times New Roman" w:hAnsiTheme="minorHAnsi" w:cstheme="minorHAnsi"/>
          <w:sz w:val="22"/>
          <w:szCs w:val="22"/>
          <w:lang w:bidi="ar-SA"/>
        </w:rPr>
        <w:t>ustawą z 21 sierpnia 1997 r. o gospodarce nieruchomościami (</w:t>
      </w:r>
      <w:proofErr w:type="spellStart"/>
      <w:r w:rsidRPr="00625920">
        <w:rPr>
          <w:rFonts w:asciiTheme="minorHAnsi" w:eastAsia="Times New Roman" w:hAnsiTheme="minorHAnsi" w:cstheme="minorHAnsi"/>
          <w:sz w:val="22"/>
          <w:szCs w:val="22"/>
          <w:lang w:bidi="ar-SA"/>
        </w:rPr>
        <w:t>t.j</w:t>
      </w:r>
      <w:proofErr w:type="spellEnd"/>
      <w:r w:rsidRPr="00625920">
        <w:rPr>
          <w:rFonts w:asciiTheme="minorHAnsi" w:eastAsia="Times New Roman" w:hAnsiTheme="minorHAnsi" w:cstheme="minorHAnsi"/>
          <w:sz w:val="22"/>
          <w:szCs w:val="22"/>
          <w:lang w:bidi="ar-SA"/>
        </w:rPr>
        <w:t xml:space="preserve">. Dz. U. z 2020 r., poz. 1990); </w:t>
      </w:r>
    </w:p>
    <w:p w:rsidR="00625920" w:rsidRPr="00625920" w:rsidRDefault="00625920" w:rsidP="00625920">
      <w:pPr>
        <w:widowControl/>
        <w:numPr>
          <w:ilvl w:val="0"/>
          <w:numId w:val="13"/>
        </w:numPr>
        <w:tabs>
          <w:tab w:val="left" w:pos="0"/>
        </w:tabs>
        <w:autoSpaceDN/>
        <w:spacing w:line="360" w:lineRule="auto"/>
        <w:ind w:left="284"/>
        <w:contextualSpacing/>
        <w:jc w:val="both"/>
        <w:textAlignment w:val="auto"/>
        <w:rPr>
          <w:rFonts w:asciiTheme="minorHAnsi" w:eastAsia="Times New Roman" w:hAnsiTheme="minorHAnsi" w:cstheme="minorHAnsi"/>
          <w:sz w:val="22"/>
          <w:szCs w:val="22"/>
          <w:lang w:bidi="ar-SA"/>
        </w:rPr>
      </w:pPr>
      <w:r w:rsidRPr="00625920">
        <w:rPr>
          <w:rFonts w:asciiTheme="minorHAnsi" w:eastAsia="Times New Roman" w:hAnsiTheme="minorHAnsi" w:cstheme="minorHAnsi"/>
          <w:sz w:val="22"/>
          <w:szCs w:val="22"/>
          <w:lang w:bidi="ar-SA"/>
        </w:rPr>
        <w:t xml:space="preserve">rozporządzeniem Rady Ministrów z 21 września 2004 r. w sprawie wyceny nieruchomości       </w:t>
      </w:r>
      <w:r w:rsidRPr="00625920">
        <w:rPr>
          <w:rFonts w:asciiTheme="minorHAnsi" w:eastAsia="Times New Roman" w:hAnsiTheme="minorHAnsi" w:cstheme="minorHAnsi"/>
          <w:sz w:val="22"/>
          <w:szCs w:val="22"/>
          <w:lang w:bidi="ar-SA"/>
        </w:rPr>
        <w:br/>
        <w:t xml:space="preserve">i sporządzania operatu szacunkowego (Dz.U. z 2004 r. Nr 207, poz. 2109, z </w:t>
      </w:r>
      <w:proofErr w:type="spellStart"/>
      <w:r w:rsidRPr="00625920">
        <w:rPr>
          <w:rFonts w:asciiTheme="minorHAnsi" w:eastAsia="Times New Roman" w:hAnsiTheme="minorHAnsi" w:cstheme="minorHAnsi"/>
          <w:sz w:val="22"/>
          <w:szCs w:val="22"/>
          <w:lang w:bidi="ar-SA"/>
        </w:rPr>
        <w:t>późn</w:t>
      </w:r>
      <w:proofErr w:type="spellEnd"/>
      <w:r w:rsidRPr="00625920">
        <w:rPr>
          <w:rFonts w:asciiTheme="minorHAnsi" w:eastAsia="Times New Roman" w:hAnsiTheme="minorHAnsi" w:cstheme="minorHAnsi"/>
          <w:sz w:val="22"/>
          <w:szCs w:val="22"/>
          <w:lang w:bidi="ar-SA"/>
        </w:rPr>
        <w:t xml:space="preserve">. zm.); </w:t>
      </w:r>
    </w:p>
    <w:p w:rsidR="00625920" w:rsidRPr="00625920" w:rsidRDefault="00625920" w:rsidP="00625920">
      <w:pPr>
        <w:widowControl/>
        <w:numPr>
          <w:ilvl w:val="0"/>
          <w:numId w:val="13"/>
        </w:numPr>
        <w:tabs>
          <w:tab w:val="left" w:pos="0"/>
        </w:tabs>
        <w:autoSpaceDN/>
        <w:spacing w:line="360" w:lineRule="auto"/>
        <w:ind w:left="284"/>
        <w:contextualSpacing/>
        <w:jc w:val="both"/>
        <w:textAlignment w:val="auto"/>
        <w:rPr>
          <w:rFonts w:asciiTheme="minorHAnsi" w:eastAsia="Times New Roman" w:hAnsiTheme="minorHAnsi" w:cstheme="minorHAnsi"/>
          <w:sz w:val="22"/>
          <w:szCs w:val="22"/>
          <w:lang w:bidi="ar-SA"/>
        </w:rPr>
      </w:pPr>
      <w:r w:rsidRPr="00625920">
        <w:rPr>
          <w:rFonts w:asciiTheme="minorHAnsi" w:eastAsia="Times New Roman" w:hAnsiTheme="minorHAnsi" w:cstheme="minorHAnsi"/>
          <w:sz w:val="22"/>
          <w:szCs w:val="22"/>
          <w:lang w:bidi="ar-SA"/>
        </w:rPr>
        <w:t xml:space="preserve">Powszechnymi Krajowymi Zasadami Wyceny; </w:t>
      </w:r>
    </w:p>
    <w:p w:rsidR="00625920" w:rsidRPr="00625920" w:rsidRDefault="00625920" w:rsidP="00625920">
      <w:pPr>
        <w:widowControl/>
        <w:numPr>
          <w:ilvl w:val="0"/>
          <w:numId w:val="13"/>
        </w:numPr>
        <w:tabs>
          <w:tab w:val="left" w:pos="0"/>
        </w:tabs>
        <w:autoSpaceDN/>
        <w:spacing w:line="360" w:lineRule="auto"/>
        <w:ind w:left="284"/>
        <w:contextualSpacing/>
        <w:jc w:val="both"/>
        <w:textAlignment w:val="auto"/>
        <w:rPr>
          <w:rFonts w:asciiTheme="minorHAnsi" w:eastAsia="Times New Roman" w:hAnsiTheme="minorHAnsi" w:cstheme="minorHAnsi"/>
          <w:sz w:val="22"/>
          <w:szCs w:val="22"/>
          <w:lang w:bidi="ar-SA"/>
        </w:rPr>
      </w:pPr>
      <w:r w:rsidRPr="00625920">
        <w:rPr>
          <w:rFonts w:asciiTheme="minorHAnsi" w:eastAsia="Times New Roman" w:hAnsiTheme="minorHAnsi" w:cstheme="minorHAnsi"/>
          <w:sz w:val="22"/>
          <w:szCs w:val="22"/>
          <w:lang w:bidi="ar-SA"/>
        </w:rPr>
        <w:t>innymi przepisami obowiązującymi w tym zakresie.</w:t>
      </w:r>
    </w:p>
    <w:p w:rsidR="00625920" w:rsidRPr="00625920" w:rsidRDefault="00625920" w:rsidP="00625920">
      <w:pPr>
        <w:widowControl/>
        <w:numPr>
          <w:ilvl w:val="0"/>
          <w:numId w:val="12"/>
        </w:numPr>
        <w:tabs>
          <w:tab w:val="left" w:pos="0"/>
        </w:tabs>
        <w:autoSpaceDN/>
        <w:spacing w:line="360" w:lineRule="auto"/>
        <w:ind w:left="284" w:hanging="284"/>
        <w:contextualSpacing/>
        <w:jc w:val="both"/>
        <w:textAlignment w:val="auto"/>
        <w:rPr>
          <w:rFonts w:asciiTheme="minorHAnsi" w:eastAsia="Times New Roman" w:hAnsiTheme="minorHAnsi" w:cstheme="minorHAnsi"/>
          <w:szCs w:val="20"/>
          <w:lang w:bidi="ar-SA"/>
        </w:rPr>
      </w:pPr>
      <w:r w:rsidRPr="00625920">
        <w:rPr>
          <w:rFonts w:asciiTheme="minorHAnsi" w:eastAsia="Times New Roman" w:hAnsiTheme="minorHAnsi" w:cstheme="minorHAnsi"/>
          <w:sz w:val="22"/>
          <w:szCs w:val="22"/>
          <w:lang w:bidi="ar-SA"/>
        </w:rPr>
        <w:lastRenderedPageBreak/>
        <w:t xml:space="preserve">W postępowaniach, na potrzeby których zostaną wykonane ww. opracowania rzeczoznawca majątkowy na wezwanie Zamawiającego zobowiązany jest do uczestnictwa w rozprawach administracyjnych z udziałem stron prowadzonego postępowania (w wypadku konieczności ich przeprowadzenia), do składania pisemnych wyjaśnień oraz do potwierdzania aktualności wykonanych operatów szacunkowych po upływie 12 miesięcy od daty ich sporządzenia, stosownie do art. 156 ust. 4 ustawy o gospodarce nieruchomościami. </w:t>
      </w:r>
    </w:p>
    <w:p w:rsidR="00625920" w:rsidRPr="00625920" w:rsidRDefault="00625920" w:rsidP="00625920">
      <w:pPr>
        <w:widowControl/>
        <w:numPr>
          <w:ilvl w:val="0"/>
          <w:numId w:val="12"/>
        </w:numPr>
        <w:tabs>
          <w:tab w:val="left" w:pos="0"/>
        </w:tabs>
        <w:autoSpaceDN/>
        <w:spacing w:line="360" w:lineRule="auto"/>
        <w:ind w:left="284" w:hanging="284"/>
        <w:contextualSpacing/>
        <w:jc w:val="both"/>
        <w:textAlignment w:val="auto"/>
        <w:rPr>
          <w:rFonts w:asciiTheme="minorHAnsi" w:eastAsia="Times New Roman" w:hAnsiTheme="minorHAnsi" w:cstheme="minorHAnsi"/>
          <w:szCs w:val="20"/>
          <w:lang w:bidi="ar-SA"/>
        </w:rPr>
      </w:pPr>
      <w:r w:rsidRPr="00625920">
        <w:rPr>
          <w:rFonts w:asciiTheme="minorHAnsi" w:eastAsia="Times New Roman" w:hAnsiTheme="minorHAnsi" w:cstheme="minorHAnsi"/>
          <w:sz w:val="22"/>
          <w:szCs w:val="22"/>
          <w:lang w:bidi="ar-SA"/>
        </w:rPr>
        <w:t xml:space="preserve">Rzeczoznawca majątkowy zobowiązany jest uzasadnić przyjęty sposób wyceny oraz wskazać      </w:t>
      </w:r>
      <w:r w:rsidRPr="00625920">
        <w:rPr>
          <w:rFonts w:asciiTheme="minorHAnsi" w:eastAsia="Times New Roman" w:hAnsiTheme="minorHAnsi" w:cstheme="minorHAnsi"/>
          <w:sz w:val="22"/>
          <w:szCs w:val="22"/>
          <w:lang w:bidi="ar-SA"/>
        </w:rPr>
        <w:br/>
        <w:t xml:space="preserve"> i wyjaśnić przesłanki, które doprowadziły do przedstawionych konkluzji w sposób logiczny, spójny </w:t>
      </w:r>
      <w:r w:rsidRPr="00625920">
        <w:rPr>
          <w:rFonts w:asciiTheme="minorHAnsi" w:eastAsia="Times New Roman" w:hAnsiTheme="minorHAnsi" w:cstheme="minorHAnsi"/>
          <w:sz w:val="22"/>
          <w:szCs w:val="22"/>
          <w:lang w:bidi="ar-SA"/>
        </w:rPr>
        <w:br/>
        <w:t>i wiarygodny.</w:t>
      </w:r>
    </w:p>
    <w:p w:rsidR="00625920" w:rsidRPr="00625920" w:rsidRDefault="00625920" w:rsidP="00625920">
      <w:pPr>
        <w:widowControl/>
        <w:numPr>
          <w:ilvl w:val="0"/>
          <w:numId w:val="12"/>
        </w:numPr>
        <w:tabs>
          <w:tab w:val="left" w:pos="0"/>
        </w:tabs>
        <w:autoSpaceDN/>
        <w:spacing w:line="360" w:lineRule="auto"/>
        <w:ind w:left="284" w:hanging="284"/>
        <w:contextualSpacing/>
        <w:jc w:val="both"/>
        <w:textAlignment w:val="auto"/>
        <w:rPr>
          <w:rFonts w:asciiTheme="minorHAnsi" w:eastAsia="Times New Roman" w:hAnsiTheme="minorHAnsi" w:cstheme="minorHAnsi"/>
          <w:szCs w:val="20"/>
          <w:lang w:bidi="ar-SA"/>
        </w:rPr>
      </w:pPr>
      <w:r w:rsidRPr="00625920">
        <w:rPr>
          <w:rFonts w:asciiTheme="minorHAnsi" w:eastAsia="Times New Roman" w:hAnsiTheme="minorHAnsi" w:cstheme="minorHAnsi"/>
          <w:sz w:val="22"/>
          <w:szCs w:val="22"/>
          <w:lang w:bidi="ar-SA"/>
        </w:rPr>
        <w:t>Rzeczoznawca majątkowy zobowiązany jest do zamieszczenia w operacie szacunkowym wyjaśnień, czy przeznaczenie nieruchomości wycenianej, zgodne z celem wywłaszczenia (przejęcia) powoduje wzrost jej wartości (zasada korzyści wynikająca z art. 134 ustawy o gospodarce nieruchomościami).</w:t>
      </w:r>
    </w:p>
    <w:p w:rsidR="00625920" w:rsidRPr="00625920" w:rsidRDefault="00625920" w:rsidP="00625920">
      <w:pPr>
        <w:tabs>
          <w:tab w:val="left" w:pos="0"/>
        </w:tabs>
        <w:suppressAutoHyphens w:val="0"/>
        <w:autoSpaceDE w:val="0"/>
        <w:adjustRightInd w:val="0"/>
        <w:spacing w:line="360" w:lineRule="auto"/>
        <w:jc w:val="both"/>
        <w:rPr>
          <w:rFonts w:asciiTheme="minorHAnsi" w:hAnsiTheme="minorHAnsi" w:cstheme="minorHAnsi"/>
          <w:sz w:val="22"/>
          <w:szCs w:val="22"/>
          <w:lang w:eastAsia="pl-PL"/>
        </w:rPr>
      </w:pPr>
      <w:r w:rsidRPr="00625920">
        <w:rPr>
          <w:rFonts w:asciiTheme="minorHAnsi" w:hAnsiTheme="minorHAnsi" w:cstheme="minorHAnsi"/>
          <w:sz w:val="22"/>
          <w:szCs w:val="22"/>
          <w:lang w:eastAsia="pl-PL"/>
        </w:rPr>
        <w:t>UWAGA:</w:t>
      </w:r>
    </w:p>
    <w:p w:rsidR="00625920" w:rsidRPr="00625920" w:rsidRDefault="00625920" w:rsidP="00625920">
      <w:pPr>
        <w:tabs>
          <w:tab w:val="left" w:pos="0"/>
        </w:tabs>
        <w:suppressAutoHyphens w:val="0"/>
        <w:autoSpaceDE w:val="0"/>
        <w:adjustRightInd w:val="0"/>
        <w:spacing w:line="360" w:lineRule="auto"/>
        <w:jc w:val="both"/>
        <w:rPr>
          <w:rFonts w:asciiTheme="minorHAnsi" w:hAnsiTheme="minorHAnsi" w:cstheme="minorHAnsi"/>
          <w:sz w:val="22"/>
          <w:szCs w:val="22"/>
          <w:lang w:eastAsia="pl-PL"/>
        </w:rPr>
      </w:pPr>
      <w:r w:rsidRPr="00625920">
        <w:rPr>
          <w:rFonts w:asciiTheme="minorHAnsi" w:hAnsiTheme="minorHAnsi" w:cstheme="minorHAnsi"/>
          <w:sz w:val="22"/>
          <w:szCs w:val="22"/>
          <w:lang w:eastAsia="pl-PL"/>
        </w:rPr>
        <w:t>W ofercie wykonawca winien określić oddzielnie cenę jednostkową każdego wymienionego typu op</w:t>
      </w:r>
      <w:r w:rsidRPr="00625920">
        <w:rPr>
          <w:rFonts w:asciiTheme="minorHAnsi" w:hAnsiTheme="minorHAnsi" w:cstheme="minorHAnsi"/>
          <w:sz w:val="22"/>
          <w:szCs w:val="22"/>
          <w:lang w:eastAsia="pl-PL"/>
        </w:rPr>
        <w:t>e</w:t>
      </w:r>
      <w:r w:rsidRPr="00625920">
        <w:rPr>
          <w:rFonts w:asciiTheme="minorHAnsi" w:hAnsiTheme="minorHAnsi" w:cstheme="minorHAnsi"/>
          <w:sz w:val="22"/>
          <w:szCs w:val="22"/>
          <w:lang w:eastAsia="pl-PL"/>
        </w:rPr>
        <w:t xml:space="preserve">ratu szacunkowego. </w:t>
      </w:r>
    </w:p>
    <w:p w:rsidR="00625920" w:rsidRPr="00625920" w:rsidRDefault="00625920" w:rsidP="00625920">
      <w:pPr>
        <w:tabs>
          <w:tab w:val="left" w:pos="0"/>
        </w:tabs>
        <w:suppressAutoHyphens w:val="0"/>
        <w:autoSpaceDE w:val="0"/>
        <w:adjustRightInd w:val="0"/>
        <w:spacing w:line="360" w:lineRule="auto"/>
        <w:jc w:val="both"/>
        <w:rPr>
          <w:rFonts w:asciiTheme="minorHAnsi" w:hAnsiTheme="minorHAnsi" w:cstheme="minorHAnsi"/>
          <w:sz w:val="22"/>
          <w:szCs w:val="22"/>
          <w:lang w:eastAsia="pl-PL"/>
        </w:rPr>
      </w:pPr>
      <w:r w:rsidRPr="00625920">
        <w:rPr>
          <w:rFonts w:asciiTheme="minorHAnsi" w:hAnsiTheme="minorHAnsi" w:cstheme="minorHAnsi"/>
          <w:sz w:val="22"/>
          <w:szCs w:val="22"/>
          <w:lang w:eastAsia="pl-PL"/>
        </w:rPr>
        <w:t xml:space="preserve">Najkorzystniejszą ofertą będzie ta, w której suma poszczególnych cen jednostkowych jest najniższa. </w:t>
      </w:r>
    </w:p>
    <w:p w:rsidR="00625920" w:rsidRPr="00625920" w:rsidRDefault="00625920" w:rsidP="00625920">
      <w:pPr>
        <w:tabs>
          <w:tab w:val="left" w:pos="0"/>
        </w:tabs>
        <w:suppressAutoHyphens w:val="0"/>
        <w:autoSpaceDE w:val="0"/>
        <w:adjustRightInd w:val="0"/>
        <w:spacing w:line="360" w:lineRule="auto"/>
        <w:jc w:val="both"/>
        <w:rPr>
          <w:rFonts w:asciiTheme="minorHAnsi" w:hAnsiTheme="minorHAnsi" w:cstheme="minorHAnsi"/>
          <w:sz w:val="22"/>
          <w:szCs w:val="22"/>
          <w:lang w:eastAsia="pl-PL"/>
        </w:rPr>
      </w:pPr>
      <w:r w:rsidRPr="00625920">
        <w:rPr>
          <w:rFonts w:asciiTheme="minorHAnsi" w:hAnsiTheme="minorHAnsi" w:cstheme="minorHAnsi"/>
          <w:sz w:val="22"/>
          <w:szCs w:val="22"/>
          <w:lang w:eastAsia="pl-PL"/>
        </w:rPr>
        <w:t xml:space="preserve">Należność za wykonane zlecenie będzie iloczynem ceny jednostkowej i ilości poszczególnych typów operatów szacunkowych. </w:t>
      </w:r>
    </w:p>
    <w:p w:rsidR="00625920" w:rsidRPr="00625920" w:rsidRDefault="00625920" w:rsidP="00625920">
      <w:pPr>
        <w:tabs>
          <w:tab w:val="left" w:pos="0"/>
        </w:tabs>
        <w:suppressAutoHyphens w:val="0"/>
        <w:autoSpaceDE w:val="0"/>
        <w:adjustRightInd w:val="0"/>
        <w:spacing w:line="360" w:lineRule="auto"/>
        <w:jc w:val="both"/>
        <w:rPr>
          <w:rFonts w:asciiTheme="minorHAnsi" w:hAnsiTheme="minorHAnsi" w:cstheme="minorHAnsi"/>
          <w:sz w:val="22"/>
          <w:szCs w:val="22"/>
          <w:lang w:eastAsia="pl-PL"/>
        </w:rPr>
      </w:pPr>
      <w:r w:rsidRPr="00625920">
        <w:rPr>
          <w:rFonts w:asciiTheme="minorHAnsi" w:hAnsiTheme="minorHAnsi" w:cstheme="minorHAnsi"/>
          <w:sz w:val="22"/>
          <w:szCs w:val="22"/>
          <w:lang w:eastAsia="pl-PL"/>
        </w:rPr>
        <w:t>Zlecenia będą dokonywane sukcesywnie przez Wydział Gospodarki Nieruchomościami, stąd dopus</w:t>
      </w:r>
      <w:r w:rsidRPr="00625920">
        <w:rPr>
          <w:rFonts w:asciiTheme="minorHAnsi" w:hAnsiTheme="minorHAnsi" w:cstheme="minorHAnsi"/>
          <w:sz w:val="22"/>
          <w:szCs w:val="22"/>
          <w:lang w:eastAsia="pl-PL"/>
        </w:rPr>
        <w:t>z</w:t>
      </w:r>
      <w:r w:rsidRPr="00625920">
        <w:rPr>
          <w:rFonts w:asciiTheme="minorHAnsi" w:hAnsiTheme="minorHAnsi" w:cstheme="minorHAnsi"/>
          <w:sz w:val="22"/>
          <w:szCs w:val="22"/>
          <w:lang w:eastAsia="pl-PL"/>
        </w:rPr>
        <w:t>czenie wystawiania faktur cząstkowych za poszczególne etapy prac wykonanych w terminach wynik</w:t>
      </w:r>
      <w:r w:rsidRPr="00625920">
        <w:rPr>
          <w:rFonts w:asciiTheme="minorHAnsi" w:hAnsiTheme="minorHAnsi" w:cstheme="minorHAnsi"/>
          <w:sz w:val="22"/>
          <w:szCs w:val="22"/>
          <w:lang w:eastAsia="pl-PL"/>
        </w:rPr>
        <w:t>a</w:t>
      </w:r>
      <w:r w:rsidRPr="00625920">
        <w:rPr>
          <w:rFonts w:asciiTheme="minorHAnsi" w:hAnsiTheme="minorHAnsi" w:cstheme="minorHAnsi"/>
          <w:sz w:val="22"/>
          <w:szCs w:val="22"/>
          <w:lang w:eastAsia="pl-PL"/>
        </w:rPr>
        <w:t>jących ze zlecenia.</w:t>
      </w:r>
    </w:p>
    <w:p w:rsidR="0063366A" w:rsidRPr="0063366A" w:rsidRDefault="00625920" w:rsidP="00625920">
      <w:pPr>
        <w:widowControl/>
        <w:tabs>
          <w:tab w:val="left" w:pos="426"/>
        </w:tabs>
        <w:spacing w:line="276" w:lineRule="auto"/>
        <w:jc w:val="both"/>
        <w:rPr>
          <w:rFonts w:ascii="Calibri" w:eastAsia="Times New Roman" w:hAnsi="Calibri" w:cs="Calibri"/>
          <w:sz w:val="22"/>
          <w:szCs w:val="22"/>
          <w:lang w:eastAsia="pl-PL" w:bidi="ar-SA"/>
        </w:rPr>
      </w:pPr>
      <w:r w:rsidRPr="00625920">
        <w:rPr>
          <w:rFonts w:ascii="Calibri" w:eastAsia="Times New Roman" w:hAnsi="Calibri" w:cs="Calibri"/>
          <w:b/>
          <w:i/>
          <w:sz w:val="22"/>
          <w:szCs w:val="22"/>
          <w:lang w:bidi="ar-SA"/>
        </w:rPr>
        <w:t xml:space="preserve">Szczegółowe informacje udzielane są w Wydziale Gospodarki Nieruchomościami pod nr </w:t>
      </w:r>
      <w:r w:rsidRPr="00625920">
        <w:rPr>
          <w:rFonts w:ascii="Calibri" w:hAnsi="Calibri" w:cs="Calibri"/>
          <w:b/>
          <w:i/>
          <w:sz w:val="22"/>
          <w:szCs w:val="22"/>
        </w:rPr>
        <w:br/>
      </w:r>
      <w:r w:rsidRPr="00625920">
        <w:rPr>
          <w:rFonts w:ascii="Calibri" w:eastAsia="Times New Roman" w:hAnsi="Calibri" w:cs="Calibri"/>
          <w:b/>
          <w:i/>
          <w:sz w:val="22"/>
          <w:szCs w:val="22"/>
          <w:lang w:bidi="ar-SA"/>
        </w:rPr>
        <w:t xml:space="preserve">tel. (18) 26-10-781. Osoba prowadząca: Pani Natalia </w:t>
      </w:r>
      <w:proofErr w:type="spellStart"/>
      <w:r w:rsidRPr="00625920">
        <w:rPr>
          <w:rFonts w:ascii="Calibri" w:eastAsia="Times New Roman" w:hAnsi="Calibri" w:cs="Calibri"/>
          <w:b/>
          <w:i/>
          <w:sz w:val="22"/>
          <w:szCs w:val="22"/>
          <w:lang w:bidi="ar-SA"/>
        </w:rPr>
        <w:t>Kasowska</w:t>
      </w:r>
      <w:proofErr w:type="spellEnd"/>
      <w:r w:rsidRPr="00625920">
        <w:rPr>
          <w:rFonts w:ascii="Calibri" w:eastAsia="Times New Roman" w:hAnsi="Calibri" w:cs="Calibri"/>
          <w:b/>
          <w:i/>
          <w:sz w:val="22"/>
          <w:szCs w:val="22"/>
          <w:lang w:bidi="ar-SA"/>
        </w:rPr>
        <w:t>.</w:t>
      </w:r>
      <w:bookmarkStart w:id="0" w:name="_GoBack"/>
      <w:bookmarkEnd w:id="0"/>
    </w:p>
    <w:p w:rsidR="0063366A" w:rsidRPr="0063366A" w:rsidRDefault="0063366A" w:rsidP="0063366A">
      <w:pPr>
        <w:widowControl/>
        <w:suppressAutoHyphens w:val="0"/>
        <w:spacing w:after="120" w:line="276" w:lineRule="auto"/>
        <w:ind w:left="709" w:hanging="709"/>
        <w:jc w:val="both"/>
        <w:rPr>
          <w:rFonts w:ascii="Calibri" w:eastAsia="Times New Roman" w:hAnsi="Calibri" w:cs="Times New Roman"/>
          <w:szCs w:val="20"/>
          <w:lang w:bidi="ar-SA"/>
        </w:rPr>
      </w:pPr>
      <w:r w:rsidRPr="0063366A">
        <w:rPr>
          <w:rFonts w:ascii="Calibri" w:eastAsia="Times New Roman" w:hAnsi="Calibri" w:cs="Calibri"/>
          <w:sz w:val="22"/>
          <w:szCs w:val="22"/>
          <w:lang w:bidi="ar-SA"/>
        </w:rPr>
        <w:t xml:space="preserve">3. </w:t>
      </w:r>
      <w:r w:rsidRPr="0063366A">
        <w:rPr>
          <w:rFonts w:ascii="Calibri" w:eastAsia="Times New Roman" w:hAnsi="Calibri" w:cs="Calibri"/>
          <w:b/>
          <w:sz w:val="22"/>
          <w:szCs w:val="22"/>
          <w:lang w:eastAsia="pl-PL" w:bidi="ar-SA"/>
        </w:rPr>
        <w:t xml:space="preserve">Termin realizacji:  </w:t>
      </w:r>
      <w:r w:rsidRPr="0063366A">
        <w:rPr>
          <w:rFonts w:ascii="Calibri" w:eastAsia="Times New Roman" w:hAnsi="Calibri" w:cs="Calibri"/>
          <w:b/>
          <w:sz w:val="22"/>
          <w:szCs w:val="22"/>
          <w:u w:val="single"/>
          <w:lang w:eastAsia="pl-PL" w:bidi="ar-SA"/>
        </w:rPr>
        <w:t>do 4 tyg. od otrzymania zlecenia</w:t>
      </w:r>
    </w:p>
    <w:p w:rsidR="0063366A" w:rsidRPr="0063366A" w:rsidRDefault="0063366A" w:rsidP="0063366A">
      <w:pPr>
        <w:widowControl/>
        <w:suppressAutoHyphens w:val="0"/>
        <w:spacing w:line="276" w:lineRule="auto"/>
        <w:ind w:left="709" w:hanging="709"/>
        <w:jc w:val="both"/>
        <w:rPr>
          <w:rFonts w:ascii="Calibri" w:eastAsia="Times New Roman" w:hAnsi="Calibri" w:cs="Calibri"/>
          <w:b/>
          <w:sz w:val="22"/>
          <w:szCs w:val="22"/>
          <w:u w:val="single"/>
          <w:lang w:eastAsia="pl-PL" w:bidi="ar-SA"/>
        </w:rPr>
      </w:pPr>
      <w:r w:rsidRPr="0063366A">
        <w:rPr>
          <w:rFonts w:ascii="Calibri" w:eastAsia="Times New Roman" w:hAnsi="Calibri" w:cs="Calibri"/>
          <w:b/>
          <w:sz w:val="22"/>
          <w:szCs w:val="22"/>
          <w:u w:val="single"/>
          <w:lang w:eastAsia="pl-PL" w:bidi="ar-SA"/>
        </w:rPr>
        <w:t>Termin oddania wszystkich opracowań nie mo</w:t>
      </w:r>
      <w:r w:rsidR="00A72475">
        <w:rPr>
          <w:rFonts w:ascii="Calibri" w:eastAsia="Times New Roman" w:hAnsi="Calibri" w:cs="Calibri"/>
          <w:b/>
          <w:sz w:val="22"/>
          <w:szCs w:val="22"/>
          <w:u w:val="single"/>
          <w:lang w:eastAsia="pl-PL" w:bidi="ar-SA"/>
        </w:rPr>
        <w:t>że przekroczyć 30 listopada 2021</w:t>
      </w:r>
      <w:r w:rsidRPr="0063366A">
        <w:rPr>
          <w:rFonts w:ascii="Calibri" w:eastAsia="Times New Roman" w:hAnsi="Calibri" w:cs="Calibri"/>
          <w:b/>
          <w:sz w:val="22"/>
          <w:szCs w:val="22"/>
          <w:u w:val="single"/>
          <w:lang w:eastAsia="pl-PL" w:bidi="ar-SA"/>
        </w:rPr>
        <w:t xml:space="preserve"> r.</w:t>
      </w:r>
    </w:p>
    <w:p w:rsidR="00123A1B" w:rsidRDefault="00123A1B">
      <w:pPr>
        <w:pStyle w:val="Standard"/>
        <w:rPr>
          <w:rFonts w:ascii="Calibri" w:hAnsi="Calibri" w:cs="Calibri"/>
          <w:b/>
          <w:bCs/>
          <w:sz w:val="22"/>
          <w:szCs w:val="22"/>
          <w:u w:val="single"/>
          <w:lang w:eastAsia="pl-PL"/>
        </w:rPr>
      </w:pPr>
    </w:p>
    <w:p w:rsidR="00123A1B" w:rsidRDefault="00123A1B">
      <w:pPr>
        <w:pStyle w:val="Standard"/>
        <w:rPr>
          <w:rFonts w:ascii="Calibri" w:hAnsi="Calibri" w:cs="Calibri"/>
          <w:b/>
          <w:bCs/>
          <w:sz w:val="22"/>
          <w:szCs w:val="22"/>
        </w:rPr>
      </w:pPr>
    </w:p>
    <w:p w:rsidR="00123A1B" w:rsidRDefault="00912A2B">
      <w:pPr>
        <w:pStyle w:val="Standard"/>
        <w:spacing w:line="360" w:lineRule="auto"/>
        <w:jc w:val="center"/>
        <w:rPr>
          <w:rFonts w:ascii="Calibri" w:hAnsi="Calibri" w:cs="Calibri"/>
          <w:b/>
          <w:bCs/>
          <w:sz w:val="28"/>
          <w:szCs w:val="28"/>
        </w:rPr>
      </w:pPr>
      <w:r>
        <w:rPr>
          <w:rFonts w:ascii="Calibri" w:hAnsi="Calibri" w:cs="Calibri"/>
          <w:b/>
          <w:bCs/>
          <w:sz w:val="28"/>
          <w:szCs w:val="28"/>
        </w:rPr>
        <w:t>OFEROWANA CENA:</w:t>
      </w:r>
    </w:p>
    <w:p w:rsidR="00123A1B" w:rsidRDefault="00912A2B">
      <w:pPr>
        <w:pStyle w:val="Standard"/>
        <w:suppressAutoHyphens w:val="0"/>
        <w:spacing w:before="120"/>
        <w:jc w:val="both"/>
        <w:rPr>
          <w:rFonts w:ascii="Calibri" w:hAnsi="Calibri" w:cs="Calibri"/>
          <w:b/>
          <w:sz w:val="22"/>
          <w:szCs w:val="22"/>
          <w:lang w:eastAsia="pl-PL"/>
        </w:rPr>
      </w:pPr>
      <w:r>
        <w:rPr>
          <w:rFonts w:ascii="Calibri" w:hAnsi="Calibri" w:cs="Calibri"/>
          <w:b/>
          <w:sz w:val="22"/>
          <w:szCs w:val="22"/>
          <w:lang w:eastAsia="pl-PL"/>
        </w:rPr>
        <w:t>Cena jednostkowa dotyczy operatu szacunkowego wyceny nieruchomości (jedna księga wieczysta lub jednolite władanie) obejmującej działki położone w jednym kompleksie, dla następujących przypadków:</w:t>
      </w:r>
    </w:p>
    <w:p w:rsidR="00123A1B" w:rsidRDefault="00912A2B">
      <w:pPr>
        <w:pStyle w:val="Standard"/>
        <w:suppressAutoHyphens w:val="0"/>
        <w:spacing w:before="120"/>
        <w:jc w:val="both"/>
        <w:rPr>
          <w:rFonts w:ascii="Calibri" w:hAnsi="Calibri" w:cs="Calibri"/>
          <w:b/>
          <w:bCs/>
          <w:sz w:val="22"/>
          <w:szCs w:val="22"/>
          <w:lang w:eastAsia="pl-PL"/>
        </w:rPr>
      </w:pPr>
      <w:r>
        <w:rPr>
          <w:rFonts w:ascii="Calibri" w:hAnsi="Calibri" w:cs="Calibri"/>
          <w:b/>
          <w:bCs/>
          <w:sz w:val="22"/>
          <w:szCs w:val="22"/>
          <w:lang w:eastAsia="pl-PL"/>
        </w:rPr>
        <w:t>1)</w:t>
      </w:r>
    </w:p>
    <w:p w:rsidR="00123A1B" w:rsidRDefault="00912A2B">
      <w:pPr>
        <w:pStyle w:val="Standard"/>
        <w:pBdr>
          <w:top w:val="single" w:sz="4" w:space="1" w:color="000000"/>
          <w:left w:val="single" w:sz="4" w:space="4" w:color="000000"/>
          <w:bottom w:val="single" w:sz="4" w:space="3" w:color="000000"/>
          <w:right w:val="single" w:sz="4" w:space="4" w:color="000000"/>
        </w:pBdr>
        <w:suppressAutoHyphens w:val="0"/>
        <w:spacing w:line="360" w:lineRule="auto"/>
        <w:jc w:val="both"/>
      </w:pPr>
      <w:r>
        <w:rPr>
          <w:rFonts w:ascii="Calibri" w:hAnsi="Calibri" w:cs="Calibri"/>
          <w:b/>
          <w:spacing w:val="-1"/>
          <w:sz w:val="22"/>
          <w:szCs w:val="22"/>
          <w:lang w:eastAsia="pl-PL"/>
        </w:rPr>
        <w:t xml:space="preserve">Cena </w:t>
      </w:r>
      <w:r>
        <w:rPr>
          <w:rFonts w:ascii="Calibri" w:hAnsi="Calibri" w:cs="Calibri"/>
          <w:b/>
          <w:sz w:val="22"/>
          <w:szCs w:val="22"/>
          <w:lang w:eastAsia="pl-PL"/>
        </w:rPr>
        <w:t>jednostkowa</w:t>
      </w:r>
      <w:r>
        <w:rPr>
          <w:rFonts w:ascii="Calibri" w:hAnsi="Calibri" w:cs="Calibri"/>
          <w:b/>
          <w:iCs/>
          <w:spacing w:val="-1"/>
          <w:sz w:val="22"/>
          <w:szCs w:val="22"/>
          <w:lang w:eastAsia="pl-PL"/>
        </w:rPr>
        <w:t xml:space="preserve"> (brutto)</w:t>
      </w:r>
      <w:r>
        <w:rPr>
          <w:rFonts w:ascii="Calibri" w:hAnsi="Calibri" w:cs="Calibri"/>
          <w:b/>
          <w:sz w:val="22"/>
          <w:szCs w:val="22"/>
          <w:lang w:eastAsia="pl-PL"/>
        </w:rPr>
        <w:t xml:space="preserve"> dotyczy operatu szacunkowego wyceny nieruchomości (jedna księga wieczysta lub jednolite władanie) obejmującej działki położone w jednym kompleksie, dla </w:t>
      </w:r>
      <w:r>
        <w:rPr>
          <w:rFonts w:ascii="Calibri" w:hAnsi="Calibri" w:cs="Calibri"/>
          <w:b/>
          <w:sz w:val="22"/>
          <w:szCs w:val="22"/>
          <w:u w:val="single"/>
          <w:lang w:eastAsia="pl-PL"/>
        </w:rPr>
        <w:t>gruntu niezabudowanego  bez ograniczonych praw rzeczowych</w:t>
      </w:r>
      <w:r>
        <w:rPr>
          <w:rFonts w:ascii="Calibri" w:hAnsi="Calibri" w:cs="Calibri"/>
          <w:b/>
          <w:sz w:val="22"/>
          <w:szCs w:val="22"/>
          <w:lang w:eastAsia="pl-PL"/>
        </w:rPr>
        <w:t>:</w:t>
      </w:r>
      <w:r>
        <w:rPr>
          <w:rFonts w:ascii="Calibri" w:hAnsi="Calibri" w:cs="Calibri"/>
          <w:b/>
          <w:sz w:val="22"/>
          <w:szCs w:val="22"/>
          <w:lang w:eastAsia="pl-PL"/>
        </w:rPr>
        <w:tab/>
      </w:r>
      <w:r>
        <w:rPr>
          <w:rFonts w:ascii="Calibri" w:hAnsi="Calibri" w:cs="Calibri"/>
          <w:b/>
          <w:iCs/>
          <w:spacing w:val="-1"/>
          <w:sz w:val="22"/>
          <w:szCs w:val="22"/>
          <w:lang w:eastAsia="pl-PL"/>
        </w:rPr>
        <w:t xml:space="preserve">  </w:t>
      </w:r>
      <w:r>
        <w:rPr>
          <w:rFonts w:ascii="Calibri" w:hAnsi="Calibri" w:cs="Calibri"/>
          <w:b/>
          <w:iCs/>
          <w:sz w:val="22"/>
          <w:szCs w:val="22"/>
          <w:lang w:eastAsia="pl-PL"/>
        </w:rPr>
        <w:t xml:space="preserve"> …………………………………………………………   zł</w:t>
      </w:r>
    </w:p>
    <w:p w:rsidR="00123A1B" w:rsidRDefault="00912A2B">
      <w:pPr>
        <w:pStyle w:val="Standard"/>
        <w:pBdr>
          <w:top w:val="single" w:sz="4" w:space="1" w:color="000000"/>
          <w:left w:val="single" w:sz="4" w:space="4" w:color="000000"/>
          <w:bottom w:val="single" w:sz="4" w:space="3" w:color="000000"/>
          <w:right w:val="single" w:sz="4" w:space="4" w:color="000000"/>
        </w:pBdr>
        <w:suppressAutoHyphens w:val="0"/>
        <w:spacing w:line="360" w:lineRule="auto"/>
        <w:jc w:val="both"/>
        <w:rPr>
          <w:rFonts w:ascii="Calibri" w:hAnsi="Calibri" w:cs="Calibri"/>
          <w:b/>
          <w:sz w:val="22"/>
          <w:szCs w:val="22"/>
          <w:lang w:eastAsia="pl-PL"/>
        </w:rPr>
      </w:pPr>
      <w:r>
        <w:rPr>
          <w:rFonts w:ascii="Calibri" w:hAnsi="Calibri" w:cs="Calibri"/>
          <w:b/>
          <w:sz w:val="22"/>
          <w:szCs w:val="22"/>
          <w:lang w:eastAsia="pl-PL"/>
        </w:rPr>
        <w:t>/słownie/...........................................................................................................................................</w:t>
      </w:r>
    </w:p>
    <w:p w:rsidR="00123A1B" w:rsidRDefault="00123A1B">
      <w:pPr>
        <w:pStyle w:val="Standard"/>
        <w:suppressAutoHyphens w:val="0"/>
        <w:rPr>
          <w:rFonts w:ascii="Calibri" w:hAnsi="Calibri" w:cs="Calibri"/>
          <w:b/>
          <w:sz w:val="22"/>
          <w:szCs w:val="22"/>
          <w:lang w:eastAsia="pl-PL"/>
        </w:rPr>
      </w:pPr>
    </w:p>
    <w:p w:rsidR="00123A1B" w:rsidRDefault="00912A2B">
      <w:pPr>
        <w:pStyle w:val="Standard"/>
        <w:suppressAutoHyphens w:val="0"/>
        <w:rPr>
          <w:rFonts w:ascii="Calibri" w:hAnsi="Calibri" w:cs="Calibri"/>
          <w:b/>
          <w:sz w:val="22"/>
          <w:szCs w:val="22"/>
          <w:lang w:eastAsia="pl-PL"/>
        </w:rPr>
      </w:pPr>
      <w:r>
        <w:rPr>
          <w:rFonts w:ascii="Calibri" w:hAnsi="Calibri" w:cs="Calibri"/>
          <w:b/>
          <w:sz w:val="22"/>
          <w:szCs w:val="22"/>
          <w:lang w:eastAsia="pl-PL"/>
        </w:rPr>
        <w:t>2)</w:t>
      </w:r>
    </w:p>
    <w:p w:rsidR="00123A1B" w:rsidRDefault="00912A2B">
      <w:pPr>
        <w:pStyle w:val="Standard"/>
        <w:pBdr>
          <w:top w:val="single" w:sz="4" w:space="1" w:color="000000"/>
          <w:left w:val="single" w:sz="4" w:space="4" w:color="000000"/>
          <w:bottom w:val="single" w:sz="4" w:space="3" w:color="000000"/>
          <w:right w:val="single" w:sz="4" w:space="4" w:color="000000"/>
        </w:pBdr>
        <w:suppressAutoHyphens w:val="0"/>
        <w:spacing w:line="360" w:lineRule="auto"/>
        <w:jc w:val="both"/>
      </w:pPr>
      <w:r>
        <w:rPr>
          <w:rFonts w:ascii="Calibri" w:hAnsi="Calibri" w:cs="Calibri"/>
          <w:b/>
          <w:spacing w:val="-1"/>
          <w:sz w:val="22"/>
          <w:szCs w:val="22"/>
          <w:lang w:eastAsia="pl-PL"/>
        </w:rPr>
        <w:lastRenderedPageBreak/>
        <w:t xml:space="preserve">Cena </w:t>
      </w:r>
      <w:r>
        <w:rPr>
          <w:rFonts w:ascii="Calibri" w:hAnsi="Calibri" w:cs="Calibri"/>
          <w:b/>
          <w:sz w:val="22"/>
          <w:szCs w:val="22"/>
          <w:lang w:eastAsia="pl-PL"/>
        </w:rPr>
        <w:t>jednostkowa</w:t>
      </w:r>
      <w:r>
        <w:rPr>
          <w:rFonts w:ascii="Calibri" w:hAnsi="Calibri" w:cs="Calibri"/>
          <w:b/>
          <w:iCs/>
          <w:spacing w:val="-1"/>
          <w:sz w:val="22"/>
          <w:szCs w:val="22"/>
          <w:lang w:eastAsia="pl-PL"/>
        </w:rPr>
        <w:t xml:space="preserve"> (brutto)</w:t>
      </w:r>
      <w:r>
        <w:rPr>
          <w:rFonts w:ascii="Calibri" w:hAnsi="Calibri" w:cs="Calibri"/>
          <w:b/>
          <w:sz w:val="22"/>
          <w:szCs w:val="22"/>
          <w:lang w:eastAsia="pl-PL"/>
        </w:rPr>
        <w:t xml:space="preserve"> dotyczy operatu szacunkowego wyceny nieruchomości (jedna księga wieczysta lub jednolite władanie) obejmującej działki położone w jednym kompleksie, dla </w:t>
      </w:r>
      <w:r>
        <w:rPr>
          <w:rFonts w:ascii="Calibri" w:hAnsi="Calibri" w:cs="Calibri"/>
          <w:b/>
          <w:sz w:val="22"/>
          <w:szCs w:val="22"/>
          <w:u w:val="single"/>
          <w:lang w:eastAsia="pl-PL"/>
        </w:rPr>
        <w:t>gruntu niezabudowanego z ograniczonymi prawami rzeczowymi:</w:t>
      </w:r>
      <w:r>
        <w:rPr>
          <w:rFonts w:ascii="Calibri" w:hAnsi="Calibri" w:cs="Calibri"/>
          <w:b/>
          <w:sz w:val="22"/>
          <w:szCs w:val="22"/>
          <w:lang w:eastAsia="pl-PL"/>
        </w:rPr>
        <w:tab/>
      </w:r>
      <w:r>
        <w:rPr>
          <w:rFonts w:ascii="Calibri" w:hAnsi="Calibri" w:cs="Calibri"/>
          <w:b/>
          <w:iCs/>
          <w:spacing w:val="-1"/>
          <w:sz w:val="22"/>
          <w:szCs w:val="22"/>
          <w:lang w:eastAsia="pl-PL"/>
        </w:rPr>
        <w:t xml:space="preserve">  </w:t>
      </w:r>
      <w:r>
        <w:rPr>
          <w:rFonts w:ascii="Calibri" w:hAnsi="Calibri" w:cs="Calibri"/>
          <w:b/>
          <w:iCs/>
          <w:sz w:val="22"/>
          <w:szCs w:val="22"/>
          <w:lang w:eastAsia="pl-PL"/>
        </w:rPr>
        <w:t xml:space="preserve"> ……………………………………………………   zł</w:t>
      </w:r>
    </w:p>
    <w:p w:rsidR="00123A1B" w:rsidRDefault="00912A2B">
      <w:pPr>
        <w:pStyle w:val="Standard"/>
        <w:pBdr>
          <w:top w:val="single" w:sz="4" w:space="1" w:color="000000"/>
          <w:left w:val="single" w:sz="4" w:space="4" w:color="000000"/>
          <w:bottom w:val="single" w:sz="4" w:space="3" w:color="000000"/>
          <w:right w:val="single" w:sz="4" w:space="4" w:color="000000"/>
        </w:pBdr>
        <w:suppressAutoHyphens w:val="0"/>
        <w:spacing w:line="360" w:lineRule="auto"/>
        <w:jc w:val="both"/>
        <w:rPr>
          <w:rFonts w:ascii="Calibri" w:hAnsi="Calibri" w:cs="Calibri"/>
          <w:b/>
          <w:sz w:val="22"/>
          <w:szCs w:val="22"/>
          <w:lang w:eastAsia="pl-PL"/>
        </w:rPr>
      </w:pPr>
      <w:r>
        <w:rPr>
          <w:rFonts w:ascii="Calibri" w:hAnsi="Calibri" w:cs="Calibri"/>
          <w:b/>
          <w:sz w:val="22"/>
          <w:szCs w:val="22"/>
          <w:lang w:eastAsia="pl-PL"/>
        </w:rPr>
        <w:t>/słownie/...........................................................................................................................................</w:t>
      </w:r>
    </w:p>
    <w:p w:rsidR="00123A1B" w:rsidRDefault="00123A1B">
      <w:pPr>
        <w:pStyle w:val="Standard"/>
        <w:suppressAutoHyphens w:val="0"/>
        <w:rPr>
          <w:rFonts w:ascii="Calibri" w:hAnsi="Calibri" w:cs="Calibri"/>
          <w:b/>
          <w:sz w:val="22"/>
          <w:szCs w:val="22"/>
          <w:lang w:eastAsia="pl-PL"/>
        </w:rPr>
      </w:pPr>
    </w:p>
    <w:p w:rsidR="00123A1B" w:rsidRDefault="00912A2B">
      <w:pPr>
        <w:pStyle w:val="Standard"/>
        <w:suppressAutoHyphens w:val="0"/>
        <w:rPr>
          <w:rFonts w:ascii="Calibri" w:hAnsi="Calibri" w:cs="Calibri"/>
          <w:b/>
          <w:sz w:val="22"/>
          <w:szCs w:val="22"/>
          <w:lang w:eastAsia="pl-PL"/>
        </w:rPr>
      </w:pPr>
      <w:r>
        <w:rPr>
          <w:rFonts w:ascii="Calibri" w:hAnsi="Calibri" w:cs="Calibri"/>
          <w:b/>
          <w:sz w:val="22"/>
          <w:szCs w:val="22"/>
          <w:lang w:eastAsia="pl-PL"/>
        </w:rPr>
        <w:t>3)</w:t>
      </w:r>
    </w:p>
    <w:p w:rsidR="00123A1B" w:rsidRDefault="00912A2B">
      <w:pPr>
        <w:pStyle w:val="Standard"/>
        <w:pBdr>
          <w:top w:val="single" w:sz="4" w:space="1" w:color="000000"/>
          <w:left w:val="single" w:sz="4" w:space="0" w:color="000000"/>
          <w:bottom w:val="single" w:sz="4" w:space="3" w:color="000000"/>
          <w:right w:val="single" w:sz="4" w:space="4" w:color="000000"/>
        </w:pBdr>
        <w:suppressAutoHyphens w:val="0"/>
        <w:spacing w:line="360" w:lineRule="auto"/>
        <w:jc w:val="both"/>
      </w:pPr>
      <w:r>
        <w:rPr>
          <w:rFonts w:ascii="Calibri" w:hAnsi="Calibri" w:cs="Calibri"/>
          <w:b/>
          <w:spacing w:val="-1"/>
          <w:sz w:val="22"/>
          <w:szCs w:val="22"/>
          <w:lang w:eastAsia="pl-PL"/>
        </w:rPr>
        <w:t xml:space="preserve">Cena </w:t>
      </w:r>
      <w:r>
        <w:rPr>
          <w:rFonts w:ascii="Calibri" w:hAnsi="Calibri" w:cs="Calibri"/>
          <w:b/>
          <w:sz w:val="22"/>
          <w:szCs w:val="22"/>
          <w:lang w:eastAsia="pl-PL"/>
        </w:rPr>
        <w:t>jednostkowa</w:t>
      </w:r>
      <w:r>
        <w:rPr>
          <w:rFonts w:ascii="Calibri" w:hAnsi="Calibri" w:cs="Calibri"/>
          <w:b/>
          <w:iCs/>
          <w:spacing w:val="-1"/>
          <w:sz w:val="22"/>
          <w:szCs w:val="22"/>
          <w:lang w:eastAsia="pl-PL"/>
        </w:rPr>
        <w:t xml:space="preserve"> (brutto)</w:t>
      </w:r>
      <w:r>
        <w:rPr>
          <w:rFonts w:ascii="Calibri" w:hAnsi="Calibri" w:cs="Calibri"/>
          <w:b/>
          <w:sz w:val="22"/>
          <w:szCs w:val="22"/>
          <w:lang w:eastAsia="pl-PL"/>
        </w:rPr>
        <w:t xml:space="preserve"> dotyczy operatu szacunkowego wyceny nieruchomości (jedna księga wieczysta lub jednolite władanie) obejmującej działki położone w jednym kompleksie, dla  </w:t>
      </w:r>
      <w:r>
        <w:rPr>
          <w:rFonts w:ascii="Calibri" w:hAnsi="Calibri" w:cs="Calibri"/>
          <w:b/>
          <w:sz w:val="22"/>
          <w:szCs w:val="22"/>
          <w:u w:val="single"/>
          <w:lang w:eastAsia="pl-PL"/>
        </w:rPr>
        <w:t>gruntu</w:t>
      </w:r>
      <w:r>
        <w:rPr>
          <w:rFonts w:ascii="Calibri" w:hAnsi="Calibri" w:cs="Calibri"/>
          <w:b/>
          <w:sz w:val="22"/>
          <w:szCs w:val="22"/>
          <w:u w:val="single"/>
          <w:lang w:eastAsia="pl-PL"/>
        </w:rPr>
        <w:br/>
        <w:t xml:space="preserve"> z częściami składowymi bez ograniczonych praw rzeczowych:</w:t>
      </w:r>
      <w:r>
        <w:rPr>
          <w:rFonts w:ascii="Calibri" w:hAnsi="Calibri" w:cs="Calibri"/>
          <w:b/>
          <w:sz w:val="22"/>
          <w:szCs w:val="22"/>
          <w:lang w:eastAsia="pl-PL"/>
        </w:rPr>
        <w:tab/>
      </w:r>
      <w:r>
        <w:rPr>
          <w:rFonts w:ascii="Calibri" w:hAnsi="Calibri" w:cs="Calibri"/>
          <w:b/>
          <w:iCs/>
          <w:spacing w:val="-1"/>
          <w:sz w:val="22"/>
          <w:szCs w:val="22"/>
          <w:lang w:eastAsia="pl-PL"/>
        </w:rPr>
        <w:t xml:space="preserve">  </w:t>
      </w:r>
      <w:r>
        <w:rPr>
          <w:rFonts w:ascii="Calibri" w:hAnsi="Calibri" w:cs="Calibri"/>
          <w:b/>
          <w:iCs/>
          <w:sz w:val="22"/>
          <w:szCs w:val="22"/>
          <w:lang w:eastAsia="pl-PL"/>
        </w:rPr>
        <w:t xml:space="preserve"> …………………………………………………  zł</w:t>
      </w:r>
    </w:p>
    <w:p w:rsidR="00123A1B" w:rsidRDefault="00912A2B">
      <w:pPr>
        <w:pStyle w:val="Standard"/>
        <w:pBdr>
          <w:top w:val="single" w:sz="4" w:space="1" w:color="000000"/>
          <w:left w:val="single" w:sz="4" w:space="0" w:color="000000"/>
          <w:bottom w:val="single" w:sz="4" w:space="3" w:color="000000"/>
          <w:right w:val="single" w:sz="4" w:space="4" w:color="000000"/>
        </w:pBdr>
        <w:suppressAutoHyphens w:val="0"/>
        <w:spacing w:line="360" w:lineRule="auto"/>
        <w:jc w:val="both"/>
        <w:rPr>
          <w:rFonts w:ascii="Calibri" w:hAnsi="Calibri" w:cs="Calibri"/>
          <w:b/>
          <w:sz w:val="22"/>
          <w:szCs w:val="22"/>
          <w:lang w:eastAsia="pl-PL"/>
        </w:rPr>
      </w:pPr>
      <w:r>
        <w:rPr>
          <w:rFonts w:ascii="Calibri" w:hAnsi="Calibri" w:cs="Calibri"/>
          <w:b/>
          <w:sz w:val="22"/>
          <w:szCs w:val="22"/>
          <w:lang w:eastAsia="pl-PL"/>
        </w:rPr>
        <w:t>/słownie/...........................................................................................................................................</w:t>
      </w:r>
    </w:p>
    <w:p w:rsidR="00123A1B" w:rsidRDefault="00123A1B">
      <w:pPr>
        <w:pStyle w:val="Standard"/>
        <w:suppressAutoHyphens w:val="0"/>
        <w:rPr>
          <w:rFonts w:ascii="Calibri" w:hAnsi="Calibri" w:cs="Calibri"/>
          <w:b/>
          <w:sz w:val="22"/>
          <w:szCs w:val="22"/>
          <w:lang w:eastAsia="pl-PL"/>
        </w:rPr>
      </w:pPr>
    </w:p>
    <w:p w:rsidR="00123A1B" w:rsidRDefault="00123A1B">
      <w:pPr>
        <w:pStyle w:val="Standard"/>
        <w:suppressAutoHyphens w:val="0"/>
        <w:rPr>
          <w:rFonts w:ascii="Calibri" w:hAnsi="Calibri" w:cs="Calibri"/>
          <w:b/>
          <w:sz w:val="22"/>
          <w:szCs w:val="22"/>
          <w:lang w:eastAsia="pl-PL"/>
        </w:rPr>
      </w:pPr>
    </w:p>
    <w:p w:rsidR="00123A1B" w:rsidRDefault="00912A2B">
      <w:pPr>
        <w:pStyle w:val="Standard"/>
        <w:suppressAutoHyphens w:val="0"/>
        <w:rPr>
          <w:rFonts w:ascii="Calibri" w:hAnsi="Calibri" w:cs="Calibri"/>
          <w:b/>
          <w:sz w:val="22"/>
          <w:szCs w:val="22"/>
          <w:lang w:eastAsia="pl-PL"/>
        </w:rPr>
      </w:pPr>
      <w:r>
        <w:rPr>
          <w:rFonts w:ascii="Calibri" w:hAnsi="Calibri" w:cs="Calibri"/>
          <w:b/>
          <w:sz w:val="22"/>
          <w:szCs w:val="22"/>
          <w:lang w:eastAsia="pl-PL"/>
        </w:rPr>
        <w:t>4)</w:t>
      </w:r>
    </w:p>
    <w:p w:rsidR="00123A1B" w:rsidRDefault="00912A2B">
      <w:pPr>
        <w:pStyle w:val="Standard"/>
        <w:pBdr>
          <w:top w:val="single" w:sz="4" w:space="1" w:color="000000"/>
          <w:left w:val="single" w:sz="4" w:space="4" w:color="000000"/>
          <w:bottom w:val="single" w:sz="4" w:space="3" w:color="000000"/>
          <w:right w:val="single" w:sz="4" w:space="4" w:color="000000"/>
        </w:pBdr>
        <w:suppressAutoHyphens w:val="0"/>
        <w:spacing w:line="360" w:lineRule="auto"/>
        <w:jc w:val="both"/>
      </w:pPr>
      <w:r>
        <w:rPr>
          <w:rFonts w:ascii="Calibri" w:hAnsi="Calibri" w:cs="Calibri"/>
          <w:b/>
          <w:spacing w:val="-1"/>
          <w:sz w:val="22"/>
          <w:szCs w:val="22"/>
          <w:lang w:eastAsia="pl-PL"/>
        </w:rPr>
        <w:t xml:space="preserve">Cena </w:t>
      </w:r>
      <w:r>
        <w:rPr>
          <w:rFonts w:ascii="Calibri" w:hAnsi="Calibri" w:cs="Calibri"/>
          <w:b/>
          <w:sz w:val="22"/>
          <w:szCs w:val="22"/>
          <w:lang w:eastAsia="pl-PL"/>
        </w:rPr>
        <w:t>jednostkowa</w:t>
      </w:r>
      <w:r>
        <w:rPr>
          <w:rFonts w:ascii="Calibri" w:hAnsi="Calibri" w:cs="Calibri"/>
          <w:b/>
          <w:iCs/>
          <w:spacing w:val="-1"/>
          <w:sz w:val="22"/>
          <w:szCs w:val="22"/>
          <w:lang w:eastAsia="pl-PL"/>
        </w:rPr>
        <w:t xml:space="preserve"> (brutto)</w:t>
      </w:r>
      <w:r>
        <w:rPr>
          <w:rFonts w:ascii="Calibri" w:hAnsi="Calibri" w:cs="Calibri"/>
          <w:b/>
          <w:sz w:val="22"/>
          <w:szCs w:val="22"/>
          <w:lang w:eastAsia="pl-PL"/>
        </w:rPr>
        <w:t xml:space="preserve"> dotyczy operatu szacunkowego wyceny nieruchomości (jedna księga wieczysta lub jednolite władanie) obejmującej działki położone w jednym kompleksie, dla </w:t>
      </w:r>
      <w:r>
        <w:rPr>
          <w:rFonts w:ascii="Calibri" w:hAnsi="Calibri" w:cs="Calibri"/>
          <w:b/>
          <w:sz w:val="22"/>
          <w:szCs w:val="22"/>
          <w:u w:val="single"/>
          <w:lang w:eastAsia="pl-PL"/>
        </w:rPr>
        <w:t>gruntu</w:t>
      </w:r>
      <w:r>
        <w:rPr>
          <w:rFonts w:ascii="Calibri" w:hAnsi="Calibri" w:cs="Calibri"/>
          <w:b/>
          <w:sz w:val="22"/>
          <w:szCs w:val="22"/>
          <w:u w:val="single"/>
          <w:lang w:eastAsia="pl-PL"/>
        </w:rPr>
        <w:br/>
        <w:t xml:space="preserve"> z częściami składowymi z ograniczonymi prawami rzeczowymi</w:t>
      </w:r>
      <w:r>
        <w:rPr>
          <w:rFonts w:ascii="Calibri" w:hAnsi="Calibri" w:cs="Calibri"/>
          <w:b/>
          <w:sz w:val="22"/>
          <w:szCs w:val="22"/>
          <w:lang w:eastAsia="pl-PL"/>
        </w:rPr>
        <w:tab/>
      </w:r>
      <w:r>
        <w:rPr>
          <w:rFonts w:ascii="Calibri" w:hAnsi="Calibri" w:cs="Calibri"/>
          <w:b/>
          <w:iCs/>
          <w:spacing w:val="-1"/>
          <w:sz w:val="22"/>
          <w:szCs w:val="22"/>
          <w:lang w:eastAsia="pl-PL"/>
        </w:rPr>
        <w:t xml:space="preserve">  </w:t>
      </w:r>
      <w:r>
        <w:rPr>
          <w:rFonts w:ascii="Calibri" w:hAnsi="Calibri" w:cs="Calibri"/>
          <w:b/>
          <w:iCs/>
          <w:sz w:val="22"/>
          <w:szCs w:val="22"/>
          <w:lang w:eastAsia="pl-PL"/>
        </w:rPr>
        <w:t xml:space="preserve"> ……………………………………………   zł</w:t>
      </w:r>
    </w:p>
    <w:p w:rsidR="00123A1B" w:rsidRDefault="00912A2B">
      <w:pPr>
        <w:pStyle w:val="Standard"/>
        <w:pBdr>
          <w:top w:val="single" w:sz="4" w:space="1" w:color="000000"/>
          <w:left w:val="single" w:sz="4" w:space="4" w:color="000000"/>
          <w:bottom w:val="single" w:sz="4" w:space="3" w:color="000000"/>
          <w:right w:val="single" w:sz="4" w:space="4" w:color="000000"/>
        </w:pBdr>
        <w:suppressAutoHyphens w:val="0"/>
        <w:spacing w:line="360" w:lineRule="auto"/>
        <w:jc w:val="both"/>
        <w:rPr>
          <w:rFonts w:ascii="Calibri" w:hAnsi="Calibri" w:cs="Calibri"/>
          <w:b/>
          <w:sz w:val="22"/>
          <w:szCs w:val="22"/>
          <w:lang w:eastAsia="pl-PL"/>
        </w:rPr>
      </w:pPr>
      <w:r>
        <w:rPr>
          <w:rFonts w:ascii="Calibri" w:hAnsi="Calibri" w:cs="Calibri"/>
          <w:b/>
          <w:sz w:val="22"/>
          <w:szCs w:val="22"/>
          <w:lang w:eastAsia="pl-PL"/>
        </w:rPr>
        <w:t>/słownie/...........................................................................................................................................</w:t>
      </w:r>
    </w:p>
    <w:p w:rsidR="00123A1B" w:rsidRDefault="00123A1B">
      <w:pPr>
        <w:pStyle w:val="Standard"/>
        <w:suppressAutoHyphens w:val="0"/>
        <w:rPr>
          <w:rFonts w:ascii="Calibri" w:hAnsi="Calibri" w:cs="Calibri"/>
          <w:b/>
          <w:sz w:val="22"/>
          <w:szCs w:val="22"/>
          <w:lang w:eastAsia="pl-PL"/>
        </w:rPr>
      </w:pPr>
    </w:p>
    <w:p w:rsidR="00123A1B" w:rsidRDefault="00123A1B">
      <w:pPr>
        <w:pStyle w:val="Standard"/>
        <w:suppressAutoHyphens w:val="0"/>
        <w:rPr>
          <w:rFonts w:ascii="Calibri" w:hAnsi="Calibri" w:cs="Calibri"/>
          <w:b/>
          <w:sz w:val="22"/>
          <w:szCs w:val="22"/>
          <w:lang w:eastAsia="pl-PL"/>
        </w:rPr>
      </w:pPr>
    </w:p>
    <w:p w:rsidR="00123A1B" w:rsidRDefault="00912A2B">
      <w:pPr>
        <w:pStyle w:val="Standard"/>
        <w:pBdr>
          <w:top w:val="single" w:sz="4" w:space="1" w:color="000000"/>
          <w:left w:val="single" w:sz="4" w:space="4" w:color="000000"/>
          <w:bottom w:val="single" w:sz="4" w:space="3" w:color="000000"/>
          <w:right w:val="single" w:sz="4" w:space="4" w:color="000000"/>
        </w:pBdr>
        <w:suppressAutoHyphens w:val="0"/>
        <w:spacing w:line="360" w:lineRule="auto"/>
        <w:jc w:val="both"/>
      </w:pPr>
      <w:r>
        <w:rPr>
          <w:rFonts w:ascii="Calibri" w:hAnsi="Calibri" w:cs="Calibri"/>
          <w:b/>
          <w:spacing w:val="-1"/>
          <w:lang w:eastAsia="pl-PL"/>
        </w:rPr>
        <w:t xml:space="preserve">Suma poszczególnych cen </w:t>
      </w:r>
      <w:r>
        <w:rPr>
          <w:rFonts w:ascii="Calibri" w:hAnsi="Calibri" w:cs="Calibri"/>
          <w:b/>
          <w:lang w:eastAsia="pl-PL"/>
        </w:rPr>
        <w:t>jednostkowych</w:t>
      </w:r>
      <w:r>
        <w:rPr>
          <w:rFonts w:ascii="Calibri" w:hAnsi="Calibri" w:cs="Calibri"/>
          <w:b/>
          <w:iCs/>
          <w:spacing w:val="-1"/>
          <w:lang w:eastAsia="pl-PL"/>
        </w:rPr>
        <w:t xml:space="preserve"> brutto (1+2+3+4)</w:t>
      </w:r>
      <w:r>
        <w:rPr>
          <w:rFonts w:ascii="Calibri" w:hAnsi="Calibri" w:cs="Calibri"/>
          <w:b/>
          <w:lang w:eastAsia="pl-PL"/>
        </w:rPr>
        <w:t xml:space="preserve"> dotyczących każdego wymi</w:t>
      </w:r>
      <w:r>
        <w:rPr>
          <w:rFonts w:ascii="Calibri" w:hAnsi="Calibri" w:cs="Calibri"/>
          <w:b/>
          <w:lang w:eastAsia="pl-PL"/>
        </w:rPr>
        <w:t>e</w:t>
      </w:r>
      <w:r>
        <w:rPr>
          <w:rFonts w:ascii="Calibri" w:hAnsi="Calibri" w:cs="Calibri"/>
          <w:b/>
          <w:lang w:eastAsia="pl-PL"/>
        </w:rPr>
        <w:t>nionego typu operatu szacunkowego: ……………………………………………………</w:t>
      </w:r>
      <w:r>
        <w:rPr>
          <w:rFonts w:ascii="Calibri" w:hAnsi="Calibri" w:cs="Calibri"/>
          <w:b/>
          <w:iCs/>
          <w:lang w:eastAsia="pl-PL"/>
        </w:rPr>
        <w:t xml:space="preserve">   zł</w:t>
      </w:r>
    </w:p>
    <w:p w:rsidR="00123A1B" w:rsidRDefault="00912A2B">
      <w:pPr>
        <w:pStyle w:val="Standard"/>
        <w:pBdr>
          <w:top w:val="single" w:sz="4" w:space="1" w:color="000000"/>
          <w:left w:val="single" w:sz="4" w:space="4" w:color="000000"/>
          <w:bottom w:val="single" w:sz="4" w:space="3" w:color="000000"/>
          <w:right w:val="single" w:sz="4" w:space="4" w:color="000000"/>
        </w:pBdr>
        <w:suppressAutoHyphens w:val="0"/>
        <w:spacing w:line="360" w:lineRule="auto"/>
        <w:jc w:val="both"/>
        <w:rPr>
          <w:rFonts w:ascii="Calibri" w:hAnsi="Calibri" w:cs="Calibri"/>
          <w:b/>
          <w:lang w:eastAsia="pl-PL"/>
        </w:rPr>
      </w:pPr>
      <w:r>
        <w:rPr>
          <w:rFonts w:ascii="Calibri" w:hAnsi="Calibri" w:cs="Calibri"/>
          <w:b/>
          <w:lang w:eastAsia="pl-PL"/>
        </w:rPr>
        <w:t>/słownie/..............................................................................................................................</w:t>
      </w:r>
    </w:p>
    <w:p w:rsidR="00123A1B" w:rsidRDefault="00123A1B">
      <w:pPr>
        <w:pStyle w:val="Standard"/>
        <w:spacing w:line="360" w:lineRule="auto"/>
        <w:jc w:val="both"/>
        <w:rPr>
          <w:rFonts w:ascii="Calibri" w:hAnsi="Calibri" w:cs="Calibri"/>
          <w:b/>
          <w:bCs/>
          <w:sz w:val="22"/>
          <w:szCs w:val="22"/>
          <w:lang w:eastAsia="pl-PL"/>
        </w:rPr>
      </w:pPr>
    </w:p>
    <w:p w:rsidR="00123A1B" w:rsidRDefault="00123A1B">
      <w:pPr>
        <w:pStyle w:val="Zwykytekst1"/>
        <w:jc w:val="both"/>
        <w:rPr>
          <w:rFonts w:ascii="Calibri" w:hAnsi="Calibri" w:cs="Calibri"/>
          <w:b/>
          <w:bCs/>
          <w:sz w:val="22"/>
          <w:szCs w:val="22"/>
        </w:rPr>
      </w:pPr>
    </w:p>
    <w:p w:rsidR="00123A1B" w:rsidRDefault="00912A2B">
      <w:pPr>
        <w:pStyle w:val="Zwykytekst1"/>
        <w:jc w:val="both"/>
        <w:rPr>
          <w:rFonts w:ascii="Calibri" w:hAnsi="Calibri" w:cs="Calibri"/>
          <w:b/>
          <w:sz w:val="22"/>
          <w:szCs w:val="22"/>
        </w:rPr>
      </w:pPr>
      <w:r>
        <w:rPr>
          <w:rFonts w:ascii="Calibri" w:hAnsi="Calibri" w:cs="Calibri"/>
          <w:b/>
          <w:sz w:val="22"/>
          <w:szCs w:val="22"/>
        </w:rPr>
        <w:t>Oświadczamy, że :</w:t>
      </w:r>
    </w:p>
    <w:p w:rsidR="00123A1B" w:rsidRDefault="00123A1B">
      <w:pPr>
        <w:pStyle w:val="Zwykytekst1"/>
        <w:jc w:val="both"/>
        <w:rPr>
          <w:rFonts w:ascii="Calibri" w:hAnsi="Calibri" w:cs="Calibri"/>
          <w:b/>
          <w:sz w:val="22"/>
          <w:szCs w:val="22"/>
        </w:rPr>
      </w:pPr>
    </w:p>
    <w:p w:rsidR="00123A1B" w:rsidRDefault="00912A2B">
      <w:pPr>
        <w:pStyle w:val="Zwykytekst1"/>
        <w:numPr>
          <w:ilvl w:val="0"/>
          <w:numId w:val="11"/>
        </w:numPr>
        <w:tabs>
          <w:tab w:val="left" w:pos="710"/>
        </w:tabs>
        <w:ind w:left="426" w:hanging="426"/>
        <w:jc w:val="both"/>
      </w:pPr>
      <w:r>
        <w:rPr>
          <w:rFonts w:ascii="Calibri" w:eastAsia="Calibri" w:hAnsi="Calibri" w:cs="Calibri"/>
          <w:sz w:val="22"/>
          <w:szCs w:val="22"/>
        </w:rPr>
        <w:t xml:space="preserve">  </w:t>
      </w:r>
      <w:r>
        <w:rPr>
          <w:rFonts w:ascii="Calibri" w:hAnsi="Calibri" w:cs="Calibri"/>
          <w:sz w:val="22"/>
          <w:szCs w:val="22"/>
        </w:rPr>
        <w:t>uzyskaliśmy wszelkie niezbędne informacje do przygotowania oferty</w:t>
      </w:r>
    </w:p>
    <w:p w:rsidR="00123A1B" w:rsidRDefault="00912A2B" w:rsidP="0063366A">
      <w:pPr>
        <w:pStyle w:val="Zwykytekst1"/>
        <w:numPr>
          <w:ilvl w:val="0"/>
          <w:numId w:val="1"/>
        </w:numPr>
        <w:tabs>
          <w:tab w:val="left" w:pos="567"/>
        </w:tabs>
        <w:jc w:val="both"/>
        <w:rPr>
          <w:rFonts w:ascii="Calibri" w:hAnsi="Calibri" w:cs="Calibri"/>
          <w:sz w:val="22"/>
          <w:szCs w:val="22"/>
        </w:rPr>
      </w:pPr>
      <w:r>
        <w:rPr>
          <w:rFonts w:ascii="Calibri" w:hAnsi="Calibri" w:cs="Calibri"/>
          <w:sz w:val="22"/>
          <w:szCs w:val="22"/>
        </w:rPr>
        <w:t xml:space="preserve">zapoznaliśmy się z treścią zapytania ofertowego oraz wszystkimi jego załącznikami </w:t>
      </w:r>
      <w:r w:rsidR="0063366A">
        <w:rPr>
          <w:rFonts w:ascii="Calibri" w:hAnsi="Calibri" w:cs="Calibri"/>
          <w:sz w:val="22"/>
          <w:szCs w:val="22"/>
        </w:rPr>
        <w:br/>
      </w:r>
      <w:r>
        <w:rPr>
          <w:rFonts w:ascii="Calibri" w:hAnsi="Calibri" w:cs="Calibri"/>
          <w:sz w:val="22"/>
          <w:szCs w:val="22"/>
        </w:rPr>
        <w:t>i przyjmujemy je bez zastrzeżeń</w:t>
      </w:r>
    </w:p>
    <w:p w:rsidR="00123A1B" w:rsidRDefault="00123A1B">
      <w:pPr>
        <w:pStyle w:val="Zwykytekst1"/>
        <w:jc w:val="both"/>
        <w:rPr>
          <w:rFonts w:ascii="Calibri" w:hAnsi="Calibri" w:cs="Calibri"/>
          <w:sz w:val="22"/>
          <w:szCs w:val="22"/>
        </w:rPr>
      </w:pPr>
    </w:p>
    <w:p w:rsidR="00123A1B" w:rsidRDefault="00123A1B">
      <w:pPr>
        <w:pStyle w:val="Zwykytekst1"/>
        <w:jc w:val="both"/>
        <w:rPr>
          <w:rFonts w:ascii="Calibri" w:hAnsi="Calibri" w:cs="Calibri"/>
          <w:sz w:val="22"/>
          <w:szCs w:val="22"/>
        </w:rPr>
      </w:pPr>
    </w:p>
    <w:p w:rsidR="00123A1B" w:rsidRDefault="00123A1B">
      <w:pPr>
        <w:pStyle w:val="Zwykytekst1"/>
        <w:jc w:val="both"/>
        <w:rPr>
          <w:rFonts w:ascii="Calibri" w:hAnsi="Calibri" w:cs="Calibri"/>
          <w:sz w:val="22"/>
          <w:szCs w:val="22"/>
        </w:rPr>
      </w:pPr>
    </w:p>
    <w:p w:rsidR="00123A1B" w:rsidRDefault="00123A1B">
      <w:pPr>
        <w:pStyle w:val="Zwykytekst1"/>
        <w:jc w:val="both"/>
        <w:rPr>
          <w:rFonts w:ascii="Calibri" w:hAnsi="Calibri" w:cs="Calibri"/>
          <w:sz w:val="22"/>
          <w:szCs w:val="22"/>
        </w:rPr>
      </w:pPr>
    </w:p>
    <w:p w:rsidR="00123A1B" w:rsidRDefault="00912A2B">
      <w:pPr>
        <w:pStyle w:val="Zwykytekst1"/>
        <w:jc w:val="both"/>
      </w:pPr>
      <w:r>
        <w:rPr>
          <w:rFonts w:ascii="Calibri" w:eastAsia="Calibri" w:hAnsi="Calibri" w:cs="Calibri"/>
          <w:sz w:val="22"/>
          <w:szCs w:val="22"/>
        </w:rPr>
        <w:t xml:space="preserve">    </w:t>
      </w:r>
      <w:r>
        <w:rPr>
          <w:rFonts w:ascii="Calibri" w:hAnsi="Calibri" w:cs="Calibri"/>
          <w:sz w:val="22"/>
          <w:szCs w:val="22"/>
        </w:rPr>
        <w:t>data: .........................</w:t>
      </w:r>
      <w:r>
        <w:rPr>
          <w:rFonts w:ascii="Calibri" w:hAnsi="Calibri" w:cs="Calibri"/>
          <w:sz w:val="22"/>
          <w:szCs w:val="22"/>
        </w:rPr>
        <w:tab/>
      </w:r>
      <w:r>
        <w:rPr>
          <w:rFonts w:ascii="Calibri" w:hAnsi="Calibri" w:cs="Calibri"/>
          <w:sz w:val="22"/>
          <w:szCs w:val="22"/>
        </w:rPr>
        <w:tab/>
        <w:t xml:space="preserve">                                                                      .............................................</w:t>
      </w:r>
    </w:p>
    <w:p w:rsidR="00123A1B" w:rsidRDefault="00912A2B">
      <w:pPr>
        <w:pStyle w:val="Standard"/>
        <w:shd w:val="clear" w:color="auto" w:fill="FFFFFF"/>
        <w:tabs>
          <w:tab w:val="left" w:pos="720"/>
        </w:tabs>
        <w:spacing w:before="110" w:line="288" w:lineRule="exact"/>
        <w:ind w:left="720" w:hanging="720"/>
        <w:jc w:val="both"/>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 podpis /</w:t>
      </w:r>
    </w:p>
    <w:sectPr w:rsidR="00123A1B">
      <w:headerReference w:type="default" r:id="rId8"/>
      <w:footerReference w:type="default" r:id="rId9"/>
      <w:pgSz w:w="11906" w:h="16838"/>
      <w:pgMar w:top="709" w:right="1417" w:bottom="851" w:left="1417" w:header="426"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3A5" w:rsidRDefault="00912A2B">
      <w:r>
        <w:separator/>
      </w:r>
    </w:p>
  </w:endnote>
  <w:endnote w:type="continuationSeparator" w:id="0">
    <w:p w:rsidR="00C453A5" w:rsidRDefault="00912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40502020204"/>
    <w:charset w:val="EE"/>
    <w:family w:val="swiss"/>
    <w:pitch w:val="variable"/>
    <w:sig w:usb0="8100AAF7" w:usb1="0000807B" w:usb2="00000008" w:usb3="00000000" w:csb0="000000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6A9" w:rsidRDefault="0062592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3A5" w:rsidRDefault="00912A2B">
      <w:r>
        <w:rPr>
          <w:color w:val="000000"/>
        </w:rPr>
        <w:separator/>
      </w:r>
    </w:p>
  </w:footnote>
  <w:footnote w:type="continuationSeparator" w:id="0">
    <w:p w:rsidR="00C453A5" w:rsidRDefault="00912A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6A9" w:rsidRDefault="0062592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A3693"/>
    <w:multiLevelType w:val="multilevel"/>
    <w:tmpl w:val="A59E1D6E"/>
    <w:styleLink w:val="WWNum2"/>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
    <w:nsid w:val="0586186E"/>
    <w:multiLevelType w:val="multilevel"/>
    <w:tmpl w:val="AEB6EBA8"/>
    <w:styleLink w:val="WW8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nsid w:val="0AAB7C99"/>
    <w:multiLevelType w:val="multilevel"/>
    <w:tmpl w:val="BEDCAD3E"/>
    <w:styleLink w:val="WW8Num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nsid w:val="108978C2"/>
    <w:multiLevelType w:val="hybridMultilevel"/>
    <w:tmpl w:val="D8B40F4E"/>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nsid w:val="27D302E2"/>
    <w:multiLevelType w:val="multilevel"/>
    <w:tmpl w:val="9280C15C"/>
    <w:styleLink w:val="WW8Num3"/>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nsid w:val="27E64B3A"/>
    <w:multiLevelType w:val="multilevel"/>
    <w:tmpl w:val="4C9696FA"/>
    <w:styleLink w:val="WWNum1"/>
    <w:lvl w:ilvl="0">
      <w:start w:val="1"/>
      <w:numFmt w:val="decimal"/>
      <w:lvlText w:val="%1."/>
      <w:lvlJc w:val="left"/>
      <w:rPr>
        <w:rFonts w:ascii="Arial" w:hAnsi="Arial" w:cs="Arial"/>
        <w:sz w:val="22"/>
      </w:rPr>
    </w:lvl>
    <w:lvl w:ilvl="1">
      <w:start w:val="1"/>
      <w:numFmt w:val="decim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
    <w:nsid w:val="319311CE"/>
    <w:multiLevelType w:val="multilevel"/>
    <w:tmpl w:val="79788E6A"/>
    <w:styleLink w:val="WW8Num4"/>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7">
    <w:nsid w:val="47A84872"/>
    <w:multiLevelType w:val="hybridMultilevel"/>
    <w:tmpl w:val="EC58AE66"/>
    <w:lvl w:ilvl="0" w:tplc="939676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4B4258DD"/>
    <w:multiLevelType w:val="multilevel"/>
    <w:tmpl w:val="DF2C1BD4"/>
    <w:styleLink w:val="WWNum3"/>
    <w:lvl w:ilvl="0">
      <w:start w:val="1"/>
      <w:numFmt w:val="lowerLetter"/>
      <w:lvlText w:val="%1)"/>
      <w:lvlJc w:val="left"/>
      <w:rPr>
        <w:rFonts w:cs="Times New Roman"/>
      </w:rPr>
    </w:lvl>
    <w:lvl w:ilvl="1">
      <w:start w:val="1"/>
      <w:numFmt w:val="lowerLetter"/>
      <w:lvlText w:val="%2."/>
      <w:lvlJc w:val="left"/>
      <w:rPr>
        <w:rFonts w:ascii="Arial" w:hAnsi="Arial" w:cs="Times New Roman"/>
        <w:sz w:val="22"/>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9">
    <w:nsid w:val="56425DD9"/>
    <w:multiLevelType w:val="hybridMultilevel"/>
    <w:tmpl w:val="6B841146"/>
    <w:lvl w:ilvl="0" w:tplc="82D822C0">
      <w:start w:val="1"/>
      <w:numFmt w:val="decimal"/>
      <w:lvlText w:val="%1."/>
      <w:lvlJc w:val="left"/>
      <w:pPr>
        <w:ind w:left="720" w:hanging="360"/>
      </w:pPr>
      <w:rPr>
        <w:rFonts w:ascii="Arial" w:hAnsi="Arial" w:cs="Arial" w:hint="default"/>
        <w:i/>
        <w:sz w:val="22"/>
        <w:szCs w:val="22"/>
      </w:rPr>
    </w:lvl>
    <w:lvl w:ilvl="1" w:tplc="05BC747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61776A65"/>
    <w:multiLevelType w:val="multilevel"/>
    <w:tmpl w:val="DF7C24F4"/>
    <w:styleLink w:val="WW8Num1"/>
    <w:lvl w:ilvl="0">
      <w:numFmt w:val="bullet"/>
      <w:lvlText w:val=""/>
      <w:lvlJc w:val="left"/>
      <w:rPr>
        <w:rFonts w:ascii="Wingdings" w:hAnsi="Wingdings" w:cs="Wingdings"/>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7F1C2547"/>
    <w:multiLevelType w:val="multilevel"/>
    <w:tmpl w:val="7946042A"/>
    <w:styleLink w:val="WW8Num5"/>
    <w:lvl w:ilvl="0">
      <w:start w:val="1"/>
      <w:numFmt w:val="decimal"/>
      <w:lvlText w:val="%1)"/>
      <w:lvlJc w:val="left"/>
      <w:rPr>
        <w:rFonts w:ascii="Calibri" w:hAnsi="Calibri" w:cs="Calibri"/>
        <w:i w:val="0"/>
        <w:sz w:val="22"/>
        <w:szCs w:val="22"/>
        <w:lang w:eastAsia="pl-PL"/>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num w:numId="1">
    <w:abstractNumId w:val="10"/>
  </w:num>
  <w:num w:numId="2">
    <w:abstractNumId w:val="1"/>
  </w:num>
  <w:num w:numId="3">
    <w:abstractNumId w:val="4"/>
  </w:num>
  <w:num w:numId="4">
    <w:abstractNumId w:val="6"/>
  </w:num>
  <w:num w:numId="5">
    <w:abstractNumId w:val="11"/>
  </w:num>
  <w:num w:numId="6">
    <w:abstractNumId w:val="2"/>
  </w:num>
  <w:num w:numId="7">
    <w:abstractNumId w:val="8"/>
  </w:num>
  <w:num w:numId="8">
    <w:abstractNumId w:val="0"/>
  </w:num>
  <w:num w:numId="9">
    <w:abstractNumId w:val="5"/>
  </w:num>
  <w:num w:numId="10">
    <w:abstractNumId w:val="0"/>
  </w:num>
  <w:num w:numId="11">
    <w:abstractNumId w:val="10"/>
  </w:num>
  <w:num w:numId="12">
    <w:abstractNumId w:val="9"/>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defaultTabStop w:val="245"/>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123A1B"/>
    <w:rsid w:val="00123A1B"/>
    <w:rsid w:val="00625920"/>
    <w:rsid w:val="0063366A"/>
    <w:rsid w:val="00912A2B"/>
    <w:rsid w:val="00A72475"/>
    <w:rsid w:val="00C453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Lucida Sans"/>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pPr>
    <w:rPr>
      <w:rFonts w:ascii="Times New Roman" w:eastAsia="Times New Roman" w:hAnsi="Times New Roman" w:cs="Times New Roman"/>
      <w:lang w:bidi="ar-SA"/>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jc w:val="center"/>
    </w:pPr>
    <w:rPr>
      <w:sz w:val="72"/>
      <w:szCs w:val="40"/>
    </w:rPr>
  </w:style>
  <w:style w:type="paragraph" w:styleId="Lista">
    <w:name w:val="List"/>
    <w:basedOn w:val="Textbody"/>
    <w:rPr>
      <w:rFonts w:cs="Lucida Sans"/>
    </w:rPr>
  </w:style>
  <w:style w:type="paragraph" w:styleId="Legenda">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customStyle="1" w:styleId="Nagwek1">
    <w:name w:val="Nagłówek1"/>
    <w:basedOn w:val="Standard"/>
    <w:next w:val="Textbody"/>
    <w:pPr>
      <w:keepNext/>
      <w:spacing w:before="240" w:after="120"/>
    </w:pPr>
    <w:rPr>
      <w:rFonts w:ascii="Liberation Sans" w:eastAsia="Microsoft YaHei" w:hAnsi="Liberation Sans" w:cs="Lucida Sans"/>
      <w:sz w:val="28"/>
      <w:szCs w:val="28"/>
    </w:rPr>
  </w:style>
  <w:style w:type="paragraph" w:customStyle="1" w:styleId="Zwykytekst1">
    <w:name w:val="Zwykły tekst1"/>
    <w:basedOn w:val="Standard"/>
    <w:rPr>
      <w:rFonts w:ascii="Courier New" w:hAnsi="Courier New" w:cs="Courier New"/>
      <w:sz w:val="20"/>
      <w:szCs w:val="20"/>
    </w:rPr>
  </w:style>
  <w:style w:type="paragraph" w:customStyle="1" w:styleId="Textbodyindent">
    <w:name w:val="Text body indent"/>
    <w:basedOn w:val="Standard"/>
    <w:pPr>
      <w:shd w:val="clear" w:color="auto" w:fill="FFFFFF"/>
      <w:ind w:left="346"/>
    </w:pPr>
    <w:rPr>
      <w:rFonts w:ascii="Arial" w:hAnsi="Arial" w:cs="Arial"/>
      <w:spacing w:val="-11"/>
    </w:rPr>
  </w:style>
  <w:style w:type="paragraph" w:customStyle="1" w:styleId="Tekstblokowy1">
    <w:name w:val="Tekst blokowy1"/>
    <w:basedOn w:val="Standard"/>
    <w:pPr>
      <w:shd w:val="clear" w:color="auto" w:fill="FFFFFF"/>
      <w:spacing w:before="115" w:line="274" w:lineRule="exact"/>
      <w:ind w:left="360" w:right="5" w:hanging="20"/>
      <w:jc w:val="both"/>
    </w:pPr>
    <w:rPr>
      <w:rFonts w:ascii="Arial" w:hAnsi="Arial" w:cs="Arial"/>
    </w:rPr>
  </w:style>
  <w:style w:type="paragraph" w:customStyle="1" w:styleId="Tekstpodstawowy21">
    <w:name w:val="Tekst podstawowy 21"/>
    <w:basedOn w:val="Standard"/>
    <w:pPr>
      <w:spacing w:after="120" w:line="480" w:lineRule="auto"/>
    </w:pPr>
  </w:style>
  <w:style w:type="paragraph" w:styleId="Tekstdymka">
    <w:name w:val="Balloon Text"/>
    <w:basedOn w:val="Standard"/>
    <w:rPr>
      <w:rFonts w:ascii="Tahoma" w:hAnsi="Tahoma" w:cs="Tahoma"/>
      <w:sz w:val="16"/>
      <w:szCs w:val="16"/>
    </w:rPr>
  </w:style>
  <w:style w:type="paragraph" w:styleId="Podtytu">
    <w:name w:val="Subtitle"/>
    <w:basedOn w:val="Standard"/>
    <w:next w:val="Standard"/>
    <w:pPr>
      <w:spacing w:after="60"/>
      <w:jc w:val="center"/>
    </w:pPr>
    <w:rPr>
      <w:rFonts w:ascii="Cambria" w:hAnsi="Cambria" w:cs="Cambria"/>
    </w:rPr>
  </w:style>
  <w:style w:type="paragraph" w:customStyle="1" w:styleId="HeaderandFooter">
    <w:name w:val="Header and Footer"/>
    <w:basedOn w:val="Standard"/>
    <w:pPr>
      <w:suppressLineNumbers/>
      <w:tabs>
        <w:tab w:val="center" w:pos="4819"/>
        <w:tab w:val="right" w:pos="9638"/>
      </w:tabs>
    </w:pPr>
  </w:style>
  <w:style w:type="paragraph" w:styleId="Stopka">
    <w:name w:val="footer"/>
    <w:basedOn w:val="Standard"/>
    <w:pPr>
      <w:tabs>
        <w:tab w:val="center" w:pos="5245"/>
        <w:tab w:val="right" w:pos="9781"/>
      </w:tabs>
      <w:spacing w:line="360" w:lineRule="auto"/>
      <w:ind w:left="709" w:hanging="709"/>
      <w:jc w:val="both"/>
    </w:pPr>
    <w:rPr>
      <w:szCs w:val="20"/>
    </w:rPr>
  </w:style>
  <w:style w:type="paragraph" w:styleId="Nagwek">
    <w:name w:val="header"/>
    <w:basedOn w:val="Standard"/>
    <w:pPr>
      <w:tabs>
        <w:tab w:val="center" w:pos="4536"/>
        <w:tab w:val="right" w:pos="9072"/>
      </w:tab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paragraph" w:styleId="Akapitzlist">
    <w:name w:val="List Paragraph"/>
    <w:basedOn w:val="Standard"/>
    <w:pPr>
      <w:ind w:left="720" w:hanging="709"/>
    </w:pPr>
  </w:style>
  <w:style w:type="character" w:customStyle="1" w:styleId="WW8Num1z0">
    <w:name w:val="WW8Num1z0"/>
    <w:rPr>
      <w:rFonts w:ascii="Wingdings" w:hAnsi="Wingdings" w:cs="Wingdings"/>
      <w:sz w:val="22"/>
      <w:szCs w:val="22"/>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rFonts w:ascii="Calibri" w:hAnsi="Calibri" w:cs="Calibri"/>
      <w:i w:val="0"/>
      <w:sz w:val="22"/>
      <w:szCs w:val="22"/>
      <w:lang w:eastAsia="pl-PL"/>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Wingdings" w:hAnsi="Wingdings" w:cs="Wingdings"/>
    </w:rPr>
  </w:style>
  <w:style w:type="character" w:customStyle="1" w:styleId="WW8Num11z1">
    <w:name w:val="WW8Num11z1"/>
    <w:rPr>
      <w:rFonts w:ascii="Courier New" w:hAnsi="Courier New" w:cs="Courier New"/>
    </w:rPr>
  </w:style>
  <w:style w:type="character" w:customStyle="1" w:styleId="WW8Num11z3">
    <w:name w:val="WW8Num11z3"/>
    <w:rPr>
      <w:rFonts w:ascii="Symbol" w:hAnsi="Symbol" w:cs="Symbol"/>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rPr>
      <w:rFonts w:ascii="Symbol" w:hAnsi="Symbol" w:cs="Symbol"/>
      <w:b w:val="0"/>
      <w:i w:val="0"/>
      <w:color w:val="000000"/>
      <w:sz w:val="24"/>
      <w:szCs w:val="24"/>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Domylnaczcionkaakapitu1">
    <w:name w:val="Domyślna czcionka akapitu1"/>
  </w:style>
  <w:style w:type="character" w:styleId="Numerstrony">
    <w:name w:val="page number"/>
    <w:basedOn w:val="Domylnaczcionkaakapitu1"/>
  </w:style>
  <w:style w:type="character" w:customStyle="1" w:styleId="PodtytuZnak">
    <w:name w:val="Podtytuł Znak"/>
    <w:rPr>
      <w:rFonts w:ascii="Cambria" w:eastAsia="Times New Roman" w:hAnsi="Cambria" w:cs="Times New Roman"/>
      <w:sz w:val="24"/>
      <w:szCs w:val="24"/>
    </w:rPr>
  </w:style>
  <w:style w:type="character" w:customStyle="1" w:styleId="StopkaZnak">
    <w:name w:val="Stopka Znak"/>
    <w:rPr>
      <w:sz w:val="24"/>
    </w:rPr>
  </w:style>
  <w:style w:type="character" w:customStyle="1" w:styleId="ZwykytekstZnak">
    <w:name w:val="Zwykły tekst Znak"/>
    <w:rPr>
      <w:rFonts w:ascii="Courier New" w:hAnsi="Courier New" w:cs="Courier New"/>
    </w:rPr>
  </w:style>
  <w:style w:type="character" w:customStyle="1" w:styleId="NagwekZnak">
    <w:name w:val="Nagłówek Znak"/>
    <w:rPr>
      <w:sz w:val="24"/>
      <w:szCs w:val="24"/>
    </w:rPr>
  </w:style>
  <w:style w:type="character" w:customStyle="1" w:styleId="ListLabel10">
    <w:name w:val="ListLabel 10"/>
    <w:rPr>
      <w:rFonts w:cs="Times New Roman"/>
    </w:rPr>
  </w:style>
  <w:style w:type="character" w:customStyle="1" w:styleId="ListLabel11">
    <w:name w:val="ListLabel 11"/>
    <w:rPr>
      <w:rFonts w:ascii="Arial" w:hAnsi="Arial" w:cs="Times New Roman"/>
      <w:sz w:val="22"/>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cs="Times New Roman"/>
    </w:rPr>
  </w:style>
  <w:style w:type="character" w:customStyle="1" w:styleId="ListLabel18">
    <w:name w:val="ListLabel 18"/>
    <w:rPr>
      <w:rFonts w:cs="Times New Roman"/>
    </w:rPr>
  </w:style>
  <w:style w:type="character" w:customStyle="1" w:styleId="ListLabel1">
    <w:name w:val="ListLabel 1"/>
    <w:rPr>
      <w:rFonts w:ascii="Arial" w:hAnsi="Arial" w:cs="Arial"/>
      <w:sz w:val="22"/>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numbering" w:customStyle="1" w:styleId="WW8Num1">
    <w:name w:val="WW8Num1"/>
    <w:basedOn w:val="Bezlisty"/>
    <w:pPr>
      <w:numPr>
        <w:numId w:val="1"/>
      </w:numPr>
    </w:pPr>
  </w:style>
  <w:style w:type="numbering" w:customStyle="1" w:styleId="WW8Num2">
    <w:name w:val="WW8Num2"/>
    <w:basedOn w:val="Bezlisty"/>
    <w:pPr>
      <w:numPr>
        <w:numId w:val="2"/>
      </w:numPr>
    </w:pPr>
  </w:style>
  <w:style w:type="numbering" w:customStyle="1" w:styleId="WW8Num3">
    <w:name w:val="WW8Num3"/>
    <w:basedOn w:val="Bezlisty"/>
    <w:pPr>
      <w:numPr>
        <w:numId w:val="3"/>
      </w:numPr>
    </w:pPr>
  </w:style>
  <w:style w:type="numbering" w:customStyle="1" w:styleId="WW8Num4">
    <w:name w:val="WW8Num4"/>
    <w:basedOn w:val="Bezlisty"/>
    <w:pPr>
      <w:numPr>
        <w:numId w:val="4"/>
      </w:numPr>
    </w:pPr>
  </w:style>
  <w:style w:type="numbering" w:customStyle="1" w:styleId="WW8Num5">
    <w:name w:val="WW8Num5"/>
    <w:basedOn w:val="Bezlisty"/>
    <w:pPr>
      <w:numPr>
        <w:numId w:val="5"/>
      </w:numPr>
    </w:pPr>
  </w:style>
  <w:style w:type="numbering" w:customStyle="1" w:styleId="WW8Num6">
    <w:name w:val="WW8Num6"/>
    <w:basedOn w:val="Bezlisty"/>
    <w:pPr>
      <w:numPr>
        <w:numId w:val="6"/>
      </w:numPr>
    </w:pPr>
  </w:style>
  <w:style w:type="numbering" w:customStyle="1" w:styleId="WWNum3">
    <w:name w:val="WWNum3"/>
    <w:basedOn w:val="Bezlisty"/>
    <w:pPr>
      <w:numPr>
        <w:numId w:val="7"/>
      </w:numPr>
    </w:pPr>
  </w:style>
  <w:style w:type="numbering" w:customStyle="1" w:styleId="WWNum2">
    <w:name w:val="WWNum2"/>
    <w:basedOn w:val="Bezlisty"/>
    <w:pPr>
      <w:numPr>
        <w:numId w:val="8"/>
      </w:numPr>
    </w:pPr>
  </w:style>
  <w:style w:type="numbering" w:customStyle="1" w:styleId="WWNum1">
    <w:name w:val="WWNum1"/>
    <w:basedOn w:val="Bezlisty"/>
    <w:pPr>
      <w:numPr>
        <w:numId w:val="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Lucida Sans"/>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pPr>
    <w:rPr>
      <w:rFonts w:ascii="Times New Roman" w:eastAsia="Times New Roman" w:hAnsi="Times New Roman" w:cs="Times New Roman"/>
      <w:lang w:bidi="ar-SA"/>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jc w:val="center"/>
    </w:pPr>
    <w:rPr>
      <w:sz w:val="72"/>
      <w:szCs w:val="40"/>
    </w:rPr>
  </w:style>
  <w:style w:type="paragraph" w:styleId="Lista">
    <w:name w:val="List"/>
    <w:basedOn w:val="Textbody"/>
    <w:rPr>
      <w:rFonts w:cs="Lucida Sans"/>
    </w:rPr>
  </w:style>
  <w:style w:type="paragraph" w:styleId="Legenda">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customStyle="1" w:styleId="Nagwek1">
    <w:name w:val="Nagłówek1"/>
    <w:basedOn w:val="Standard"/>
    <w:next w:val="Textbody"/>
    <w:pPr>
      <w:keepNext/>
      <w:spacing w:before="240" w:after="120"/>
    </w:pPr>
    <w:rPr>
      <w:rFonts w:ascii="Liberation Sans" w:eastAsia="Microsoft YaHei" w:hAnsi="Liberation Sans" w:cs="Lucida Sans"/>
      <w:sz w:val="28"/>
      <w:szCs w:val="28"/>
    </w:rPr>
  </w:style>
  <w:style w:type="paragraph" w:customStyle="1" w:styleId="Zwykytekst1">
    <w:name w:val="Zwykły tekst1"/>
    <w:basedOn w:val="Standard"/>
    <w:rPr>
      <w:rFonts w:ascii="Courier New" w:hAnsi="Courier New" w:cs="Courier New"/>
      <w:sz w:val="20"/>
      <w:szCs w:val="20"/>
    </w:rPr>
  </w:style>
  <w:style w:type="paragraph" w:customStyle="1" w:styleId="Textbodyindent">
    <w:name w:val="Text body indent"/>
    <w:basedOn w:val="Standard"/>
    <w:pPr>
      <w:shd w:val="clear" w:color="auto" w:fill="FFFFFF"/>
      <w:ind w:left="346"/>
    </w:pPr>
    <w:rPr>
      <w:rFonts w:ascii="Arial" w:hAnsi="Arial" w:cs="Arial"/>
      <w:spacing w:val="-11"/>
    </w:rPr>
  </w:style>
  <w:style w:type="paragraph" w:customStyle="1" w:styleId="Tekstblokowy1">
    <w:name w:val="Tekst blokowy1"/>
    <w:basedOn w:val="Standard"/>
    <w:pPr>
      <w:shd w:val="clear" w:color="auto" w:fill="FFFFFF"/>
      <w:spacing w:before="115" w:line="274" w:lineRule="exact"/>
      <w:ind w:left="360" w:right="5" w:hanging="20"/>
      <w:jc w:val="both"/>
    </w:pPr>
    <w:rPr>
      <w:rFonts w:ascii="Arial" w:hAnsi="Arial" w:cs="Arial"/>
    </w:rPr>
  </w:style>
  <w:style w:type="paragraph" w:customStyle="1" w:styleId="Tekstpodstawowy21">
    <w:name w:val="Tekst podstawowy 21"/>
    <w:basedOn w:val="Standard"/>
    <w:pPr>
      <w:spacing w:after="120" w:line="480" w:lineRule="auto"/>
    </w:pPr>
  </w:style>
  <w:style w:type="paragraph" w:styleId="Tekstdymka">
    <w:name w:val="Balloon Text"/>
    <w:basedOn w:val="Standard"/>
    <w:rPr>
      <w:rFonts w:ascii="Tahoma" w:hAnsi="Tahoma" w:cs="Tahoma"/>
      <w:sz w:val="16"/>
      <w:szCs w:val="16"/>
    </w:rPr>
  </w:style>
  <w:style w:type="paragraph" w:styleId="Podtytu">
    <w:name w:val="Subtitle"/>
    <w:basedOn w:val="Standard"/>
    <w:next w:val="Standard"/>
    <w:pPr>
      <w:spacing w:after="60"/>
      <w:jc w:val="center"/>
    </w:pPr>
    <w:rPr>
      <w:rFonts w:ascii="Cambria" w:hAnsi="Cambria" w:cs="Cambria"/>
    </w:rPr>
  </w:style>
  <w:style w:type="paragraph" w:customStyle="1" w:styleId="HeaderandFooter">
    <w:name w:val="Header and Footer"/>
    <w:basedOn w:val="Standard"/>
    <w:pPr>
      <w:suppressLineNumbers/>
      <w:tabs>
        <w:tab w:val="center" w:pos="4819"/>
        <w:tab w:val="right" w:pos="9638"/>
      </w:tabs>
    </w:pPr>
  </w:style>
  <w:style w:type="paragraph" w:styleId="Stopka">
    <w:name w:val="footer"/>
    <w:basedOn w:val="Standard"/>
    <w:pPr>
      <w:tabs>
        <w:tab w:val="center" w:pos="5245"/>
        <w:tab w:val="right" w:pos="9781"/>
      </w:tabs>
      <w:spacing w:line="360" w:lineRule="auto"/>
      <w:ind w:left="709" w:hanging="709"/>
      <w:jc w:val="both"/>
    </w:pPr>
    <w:rPr>
      <w:szCs w:val="20"/>
    </w:rPr>
  </w:style>
  <w:style w:type="paragraph" w:styleId="Nagwek">
    <w:name w:val="header"/>
    <w:basedOn w:val="Standard"/>
    <w:pPr>
      <w:tabs>
        <w:tab w:val="center" w:pos="4536"/>
        <w:tab w:val="right" w:pos="9072"/>
      </w:tab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paragraph" w:styleId="Akapitzlist">
    <w:name w:val="List Paragraph"/>
    <w:basedOn w:val="Standard"/>
    <w:pPr>
      <w:ind w:left="720" w:hanging="709"/>
    </w:pPr>
  </w:style>
  <w:style w:type="character" w:customStyle="1" w:styleId="WW8Num1z0">
    <w:name w:val="WW8Num1z0"/>
    <w:rPr>
      <w:rFonts w:ascii="Wingdings" w:hAnsi="Wingdings" w:cs="Wingdings"/>
      <w:sz w:val="22"/>
      <w:szCs w:val="22"/>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rFonts w:ascii="Calibri" w:hAnsi="Calibri" w:cs="Calibri"/>
      <w:i w:val="0"/>
      <w:sz w:val="22"/>
      <w:szCs w:val="22"/>
      <w:lang w:eastAsia="pl-PL"/>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Wingdings" w:hAnsi="Wingdings" w:cs="Wingdings"/>
    </w:rPr>
  </w:style>
  <w:style w:type="character" w:customStyle="1" w:styleId="WW8Num11z1">
    <w:name w:val="WW8Num11z1"/>
    <w:rPr>
      <w:rFonts w:ascii="Courier New" w:hAnsi="Courier New" w:cs="Courier New"/>
    </w:rPr>
  </w:style>
  <w:style w:type="character" w:customStyle="1" w:styleId="WW8Num11z3">
    <w:name w:val="WW8Num11z3"/>
    <w:rPr>
      <w:rFonts w:ascii="Symbol" w:hAnsi="Symbol" w:cs="Symbol"/>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rPr>
      <w:rFonts w:ascii="Symbol" w:hAnsi="Symbol" w:cs="Symbol"/>
      <w:b w:val="0"/>
      <w:i w:val="0"/>
      <w:color w:val="000000"/>
      <w:sz w:val="24"/>
      <w:szCs w:val="24"/>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Domylnaczcionkaakapitu1">
    <w:name w:val="Domyślna czcionka akapitu1"/>
  </w:style>
  <w:style w:type="character" w:styleId="Numerstrony">
    <w:name w:val="page number"/>
    <w:basedOn w:val="Domylnaczcionkaakapitu1"/>
  </w:style>
  <w:style w:type="character" w:customStyle="1" w:styleId="PodtytuZnak">
    <w:name w:val="Podtytuł Znak"/>
    <w:rPr>
      <w:rFonts w:ascii="Cambria" w:eastAsia="Times New Roman" w:hAnsi="Cambria" w:cs="Times New Roman"/>
      <w:sz w:val="24"/>
      <w:szCs w:val="24"/>
    </w:rPr>
  </w:style>
  <w:style w:type="character" w:customStyle="1" w:styleId="StopkaZnak">
    <w:name w:val="Stopka Znak"/>
    <w:rPr>
      <w:sz w:val="24"/>
    </w:rPr>
  </w:style>
  <w:style w:type="character" w:customStyle="1" w:styleId="ZwykytekstZnak">
    <w:name w:val="Zwykły tekst Znak"/>
    <w:rPr>
      <w:rFonts w:ascii="Courier New" w:hAnsi="Courier New" w:cs="Courier New"/>
    </w:rPr>
  </w:style>
  <w:style w:type="character" w:customStyle="1" w:styleId="NagwekZnak">
    <w:name w:val="Nagłówek Znak"/>
    <w:rPr>
      <w:sz w:val="24"/>
      <w:szCs w:val="24"/>
    </w:rPr>
  </w:style>
  <w:style w:type="character" w:customStyle="1" w:styleId="ListLabel10">
    <w:name w:val="ListLabel 10"/>
    <w:rPr>
      <w:rFonts w:cs="Times New Roman"/>
    </w:rPr>
  </w:style>
  <w:style w:type="character" w:customStyle="1" w:styleId="ListLabel11">
    <w:name w:val="ListLabel 11"/>
    <w:rPr>
      <w:rFonts w:ascii="Arial" w:hAnsi="Arial" w:cs="Times New Roman"/>
      <w:sz w:val="22"/>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cs="Times New Roman"/>
    </w:rPr>
  </w:style>
  <w:style w:type="character" w:customStyle="1" w:styleId="ListLabel18">
    <w:name w:val="ListLabel 18"/>
    <w:rPr>
      <w:rFonts w:cs="Times New Roman"/>
    </w:rPr>
  </w:style>
  <w:style w:type="character" w:customStyle="1" w:styleId="ListLabel1">
    <w:name w:val="ListLabel 1"/>
    <w:rPr>
      <w:rFonts w:ascii="Arial" w:hAnsi="Arial" w:cs="Arial"/>
      <w:sz w:val="22"/>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numbering" w:customStyle="1" w:styleId="WW8Num1">
    <w:name w:val="WW8Num1"/>
    <w:basedOn w:val="Bezlisty"/>
    <w:pPr>
      <w:numPr>
        <w:numId w:val="1"/>
      </w:numPr>
    </w:pPr>
  </w:style>
  <w:style w:type="numbering" w:customStyle="1" w:styleId="WW8Num2">
    <w:name w:val="WW8Num2"/>
    <w:basedOn w:val="Bezlisty"/>
    <w:pPr>
      <w:numPr>
        <w:numId w:val="2"/>
      </w:numPr>
    </w:pPr>
  </w:style>
  <w:style w:type="numbering" w:customStyle="1" w:styleId="WW8Num3">
    <w:name w:val="WW8Num3"/>
    <w:basedOn w:val="Bezlisty"/>
    <w:pPr>
      <w:numPr>
        <w:numId w:val="3"/>
      </w:numPr>
    </w:pPr>
  </w:style>
  <w:style w:type="numbering" w:customStyle="1" w:styleId="WW8Num4">
    <w:name w:val="WW8Num4"/>
    <w:basedOn w:val="Bezlisty"/>
    <w:pPr>
      <w:numPr>
        <w:numId w:val="4"/>
      </w:numPr>
    </w:pPr>
  </w:style>
  <w:style w:type="numbering" w:customStyle="1" w:styleId="WW8Num5">
    <w:name w:val="WW8Num5"/>
    <w:basedOn w:val="Bezlisty"/>
    <w:pPr>
      <w:numPr>
        <w:numId w:val="5"/>
      </w:numPr>
    </w:pPr>
  </w:style>
  <w:style w:type="numbering" w:customStyle="1" w:styleId="WW8Num6">
    <w:name w:val="WW8Num6"/>
    <w:basedOn w:val="Bezlisty"/>
    <w:pPr>
      <w:numPr>
        <w:numId w:val="6"/>
      </w:numPr>
    </w:pPr>
  </w:style>
  <w:style w:type="numbering" w:customStyle="1" w:styleId="WWNum3">
    <w:name w:val="WWNum3"/>
    <w:basedOn w:val="Bezlisty"/>
    <w:pPr>
      <w:numPr>
        <w:numId w:val="7"/>
      </w:numPr>
    </w:pPr>
  </w:style>
  <w:style w:type="numbering" w:customStyle="1" w:styleId="WWNum2">
    <w:name w:val="WWNum2"/>
    <w:basedOn w:val="Bezlisty"/>
    <w:pPr>
      <w:numPr>
        <w:numId w:val="8"/>
      </w:numPr>
    </w:pPr>
  </w:style>
  <w:style w:type="numbering" w:customStyle="1" w:styleId="WWNum1">
    <w:name w:val="WWNum1"/>
    <w:basedOn w:val="Bezlisty"/>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3</Pages>
  <Words>1045</Words>
  <Characters>6271</Characters>
  <Application>Microsoft Office Word</Application>
  <DocSecurity>0</DocSecurity>
  <Lines>52</Lines>
  <Paragraphs>14</Paragraphs>
  <ScaleCrop>false</ScaleCrop>
  <Company/>
  <LinksUpToDate>false</LinksUpToDate>
  <CharactersWithSpaces>7302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 O R M U L A R Z     O F E R T Y</dc:title>
  <dc:creator>Iwona</dc:creator>
  <cp:lastModifiedBy>Jolanta Mrugała</cp:lastModifiedBy>
  <cp:revision>4</cp:revision>
  <cp:lastPrinted>2019-07-29T14:48:00Z</cp:lastPrinted>
  <dcterms:created xsi:type="dcterms:W3CDTF">2008-10-03T10:05:00Z</dcterms:created>
  <dcterms:modified xsi:type="dcterms:W3CDTF">2021-05-24T08:31:00Z</dcterms:modified>
</cp:coreProperties>
</file>