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0CA42ECA" w:rsidR="00FE1011" w:rsidRDefault="001C2F34">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na </w:t>
      </w:r>
      <w:r w:rsidR="00E570FE">
        <w:rPr>
          <w:sz w:val="20"/>
          <w:szCs w:val="20"/>
        </w:rPr>
        <w:t>dostawy</w:t>
      </w:r>
      <w:r>
        <w:rPr>
          <w:sz w:val="20"/>
          <w:szCs w:val="20"/>
        </w:rPr>
        <w:t> </w:t>
      </w:r>
      <w:r>
        <w:rPr>
          <w:sz w:val="20"/>
          <w:szCs w:val="20"/>
        </w:rPr>
        <w:t>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708495B1" w:rsidR="00944389" w:rsidRPr="00944389" w:rsidRDefault="00FE21E9" w:rsidP="00FE21E9">
      <w:pPr>
        <w:jc w:val="center"/>
        <w:rPr>
          <w:b/>
          <w:sz w:val="32"/>
          <w:szCs w:val="32"/>
        </w:rPr>
      </w:pPr>
      <w:r>
        <w:rPr>
          <w:b/>
          <w:iCs/>
          <w:sz w:val="28"/>
          <w:szCs w:val="24"/>
        </w:rPr>
        <w:t>„</w:t>
      </w:r>
      <w:bookmarkStart w:id="0" w:name="_Hlk67909007"/>
      <w:r w:rsidRPr="00A43164">
        <w:rPr>
          <w:b/>
          <w:iCs/>
          <w:sz w:val="28"/>
          <w:szCs w:val="24"/>
        </w:rPr>
        <w:t xml:space="preserve">Dostawa </w:t>
      </w:r>
      <w:bookmarkEnd w:id="0"/>
      <w:r w:rsidR="000C0494">
        <w:rPr>
          <w:b/>
          <w:iCs/>
          <w:sz w:val="28"/>
          <w:szCs w:val="24"/>
        </w:rPr>
        <w:t>płyt drogowych typu YOMB w roku 2021</w:t>
      </w:r>
      <w:r w:rsidR="00944389" w:rsidRPr="00944389">
        <w:rPr>
          <w:b/>
          <w:sz w:val="32"/>
          <w:szCs w:val="32"/>
        </w:rPr>
        <w:t>”</w:t>
      </w:r>
    </w:p>
    <w:p w14:paraId="00000010" w14:textId="77777777" w:rsidR="00FE1011" w:rsidRDefault="00FE1011">
      <w:pPr>
        <w:jc w:val="center"/>
        <w:rPr>
          <w:sz w:val="16"/>
          <w:szCs w:val="16"/>
        </w:rPr>
      </w:pPr>
    </w:p>
    <w:p w14:paraId="00000011" w14:textId="40A458F1" w:rsidR="00FE1011" w:rsidRPr="001C2F34" w:rsidRDefault="001C2F34">
      <w:pPr>
        <w:jc w:val="center"/>
        <w:rPr>
          <w:b/>
        </w:rPr>
      </w:pPr>
      <w:r>
        <w:t xml:space="preserve">Nr postępowania: </w:t>
      </w:r>
      <w:r>
        <w:rPr>
          <w:sz w:val="20"/>
          <w:szCs w:val="20"/>
        </w:rPr>
        <w:t>ZP.271</w:t>
      </w:r>
      <w:r w:rsidR="00B83783">
        <w:rPr>
          <w:sz w:val="20"/>
          <w:szCs w:val="20"/>
        </w:rPr>
        <w:t xml:space="preserve"> 5</w:t>
      </w:r>
      <w:r>
        <w:rPr>
          <w:sz w:val="20"/>
          <w:szCs w:val="20"/>
        </w:rPr>
        <w:t>..2021</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rsidP="00941A87"/>
    <w:p w14:paraId="0000001D" w14:textId="77777777" w:rsidR="00FE1011" w:rsidRDefault="00FE1011">
      <w:pPr>
        <w:jc w:val="center"/>
      </w:pPr>
    </w:p>
    <w:p w14:paraId="00000026" w14:textId="77777777" w:rsidR="00FE1011" w:rsidRDefault="00FE1011">
      <w:pPr>
        <w:jc w:val="center"/>
      </w:pPr>
    </w:p>
    <w:p w14:paraId="00000028" w14:textId="1D9809B0" w:rsidR="00FE1011" w:rsidRPr="00944389" w:rsidRDefault="00B83783">
      <w:pPr>
        <w:jc w:val="center"/>
        <w:rPr>
          <w:b/>
          <w:color w:val="000000" w:themeColor="text1"/>
        </w:rPr>
      </w:pPr>
      <w:r>
        <w:rPr>
          <w:b/>
          <w:color w:val="000000" w:themeColor="text1"/>
        </w:rPr>
        <w:t>1</w:t>
      </w:r>
      <w:r w:rsidR="00B23025">
        <w:rPr>
          <w:b/>
          <w:color w:val="000000" w:themeColor="text1"/>
        </w:rPr>
        <w:t>4</w:t>
      </w:r>
      <w:r w:rsidR="00944389" w:rsidRPr="00944389">
        <w:rPr>
          <w:b/>
          <w:color w:val="000000" w:themeColor="text1"/>
        </w:rPr>
        <w:t>.0</w:t>
      </w:r>
      <w:r w:rsidR="008678A3">
        <w:rPr>
          <w:b/>
          <w:color w:val="000000" w:themeColor="text1"/>
        </w:rPr>
        <w:t>4</w:t>
      </w:r>
      <w:r w:rsidR="00944389" w:rsidRPr="00944389">
        <w:rPr>
          <w:b/>
          <w:color w:val="000000" w:themeColor="text1"/>
        </w:rPr>
        <w:t>.</w:t>
      </w:r>
      <w:r w:rsidR="001C2F34" w:rsidRPr="00944389">
        <w:rPr>
          <w:b/>
          <w:color w:val="000000" w:themeColor="text1"/>
        </w:rPr>
        <w:t>2021</w:t>
      </w:r>
    </w:p>
    <w:p w14:paraId="00000029" w14:textId="77777777" w:rsidR="00FE1011" w:rsidRDefault="00FE1011"/>
    <w:p w14:paraId="52DFF25B" w14:textId="77777777" w:rsidR="00BE2AED" w:rsidRDefault="001C2F34" w:rsidP="00BE2AED">
      <w:pPr>
        <w:jc w:val="center"/>
        <w:rPr>
          <w:b/>
          <w:sz w:val="28"/>
          <w:szCs w:val="28"/>
        </w:rPr>
      </w:pPr>
      <w:r>
        <w:br w:type="page"/>
      </w:r>
      <w:r w:rsidR="00BE2AED">
        <w:rPr>
          <w:b/>
          <w:sz w:val="30"/>
          <w:szCs w:val="30"/>
        </w:rPr>
        <w:lastRenderedPageBreak/>
        <w:t>SPIS TREŚCI</w:t>
      </w:r>
    </w:p>
    <w:p w14:paraId="0000002A" w14:textId="74616565" w:rsidR="00FE1011" w:rsidRDefault="00FE1011">
      <w:pPr>
        <w:rPr>
          <w:b/>
          <w:sz w:val="24"/>
          <w:szCs w:val="24"/>
        </w:rPr>
      </w:pPr>
    </w:p>
    <w:sdt>
      <w:sdtPr>
        <w:id w:val="405338092"/>
        <w:docPartObj>
          <w:docPartGallery w:val="Table of Contents"/>
          <w:docPartUnique/>
        </w:docPartObj>
      </w:sdtPr>
      <w:sdtEndPr/>
      <w:sdtContent>
        <w:p w14:paraId="1C364911" w14:textId="5A2C2ECC" w:rsidR="00BE2AED" w:rsidRDefault="00EC5F86">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8867399" w:history="1">
            <w:r w:rsidR="00BE2AED" w:rsidRPr="00862167">
              <w:rPr>
                <w:rStyle w:val="Hipercze"/>
                <w:noProof/>
              </w:rPr>
              <w:t>I. Nazwa oraz adres Zamawiającego</w:t>
            </w:r>
            <w:r w:rsidR="00BE2AED">
              <w:rPr>
                <w:noProof/>
                <w:webHidden/>
              </w:rPr>
              <w:tab/>
            </w:r>
            <w:r w:rsidR="00BE2AED">
              <w:rPr>
                <w:noProof/>
                <w:webHidden/>
              </w:rPr>
              <w:fldChar w:fldCharType="begin"/>
            </w:r>
            <w:r w:rsidR="00BE2AED">
              <w:rPr>
                <w:noProof/>
                <w:webHidden/>
              </w:rPr>
              <w:instrText xml:space="preserve"> PAGEREF _Toc68867399 \h </w:instrText>
            </w:r>
            <w:r w:rsidR="00BE2AED">
              <w:rPr>
                <w:noProof/>
                <w:webHidden/>
              </w:rPr>
            </w:r>
            <w:r w:rsidR="00BE2AED">
              <w:rPr>
                <w:noProof/>
                <w:webHidden/>
              </w:rPr>
              <w:fldChar w:fldCharType="separate"/>
            </w:r>
            <w:r w:rsidR="00BE2AED">
              <w:rPr>
                <w:noProof/>
                <w:webHidden/>
              </w:rPr>
              <w:t>3</w:t>
            </w:r>
            <w:r w:rsidR="00BE2AED">
              <w:rPr>
                <w:noProof/>
                <w:webHidden/>
              </w:rPr>
              <w:fldChar w:fldCharType="end"/>
            </w:r>
          </w:hyperlink>
        </w:p>
        <w:p w14:paraId="699DD270" w14:textId="078BC48B" w:rsidR="00BE2AED" w:rsidRDefault="00B23025">
          <w:pPr>
            <w:pStyle w:val="Spistreci2"/>
            <w:tabs>
              <w:tab w:val="right" w:pos="9019"/>
            </w:tabs>
            <w:rPr>
              <w:rFonts w:asciiTheme="minorHAnsi" w:eastAsiaTheme="minorEastAsia" w:hAnsiTheme="minorHAnsi" w:cstheme="minorBidi"/>
              <w:noProof/>
              <w:lang w:val="pl-PL"/>
            </w:rPr>
          </w:pPr>
          <w:hyperlink w:anchor="_Toc68867400" w:history="1">
            <w:r w:rsidR="00BE2AED" w:rsidRPr="00862167">
              <w:rPr>
                <w:rStyle w:val="Hipercze"/>
                <w:noProof/>
              </w:rPr>
              <w:t>II. Tryb udzielania zamówienia</w:t>
            </w:r>
            <w:r w:rsidR="00BE2AED">
              <w:rPr>
                <w:noProof/>
                <w:webHidden/>
              </w:rPr>
              <w:tab/>
            </w:r>
            <w:r w:rsidR="00BE2AED">
              <w:rPr>
                <w:noProof/>
                <w:webHidden/>
              </w:rPr>
              <w:fldChar w:fldCharType="begin"/>
            </w:r>
            <w:r w:rsidR="00BE2AED">
              <w:rPr>
                <w:noProof/>
                <w:webHidden/>
              </w:rPr>
              <w:instrText xml:space="preserve"> PAGEREF _Toc68867400 \h </w:instrText>
            </w:r>
            <w:r w:rsidR="00BE2AED">
              <w:rPr>
                <w:noProof/>
                <w:webHidden/>
              </w:rPr>
            </w:r>
            <w:r w:rsidR="00BE2AED">
              <w:rPr>
                <w:noProof/>
                <w:webHidden/>
              </w:rPr>
              <w:fldChar w:fldCharType="separate"/>
            </w:r>
            <w:r w:rsidR="00BE2AED">
              <w:rPr>
                <w:noProof/>
                <w:webHidden/>
              </w:rPr>
              <w:t>3</w:t>
            </w:r>
            <w:r w:rsidR="00BE2AED">
              <w:rPr>
                <w:noProof/>
                <w:webHidden/>
              </w:rPr>
              <w:fldChar w:fldCharType="end"/>
            </w:r>
          </w:hyperlink>
        </w:p>
        <w:p w14:paraId="669EF48B" w14:textId="0172D452" w:rsidR="00BE2AED" w:rsidRDefault="00B23025">
          <w:pPr>
            <w:pStyle w:val="Spistreci2"/>
            <w:tabs>
              <w:tab w:val="right" w:pos="9019"/>
            </w:tabs>
            <w:rPr>
              <w:rFonts w:asciiTheme="minorHAnsi" w:eastAsiaTheme="minorEastAsia" w:hAnsiTheme="minorHAnsi" w:cstheme="minorBidi"/>
              <w:noProof/>
              <w:lang w:val="pl-PL"/>
            </w:rPr>
          </w:pPr>
          <w:hyperlink w:anchor="_Toc68867401" w:history="1">
            <w:r w:rsidR="00BE2AED" w:rsidRPr="00862167">
              <w:rPr>
                <w:rStyle w:val="Hipercze"/>
                <w:noProof/>
              </w:rPr>
              <w:t>III. Opis przedmiotu zamówienia</w:t>
            </w:r>
            <w:r w:rsidR="00BE2AED">
              <w:rPr>
                <w:noProof/>
                <w:webHidden/>
              </w:rPr>
              <w:tab/>
            </w:r>
            <w:r w:rsidR="00BE2AED">
              <w:rPr>
                <w:noProof/>
                <w:webHidden/>
              </w:rPr>
              <w:fldChar w:fldCharType="begin"/>
            </w:r>
            <w:r w:rsidR="00BE2AED">
              <w:rPr>
                <w:noProof/>
                <w:webHidden/>
              </w:rPr>
              <w:instrText xml:space="preserve"> PAGEREF _Toc68867401 \h </w:instrText>
            </w:r>
            <w:r w:rsidR="00BE2AED">
              <w:rPr>
                <w:noProof/>
                <w:webHidden/>
              </w:rPr>
            </w:r>
            <w:r w:rsidR="00BE2AED">
              <w:rPr>
                <w:noProof/>
                <w:webHidden/>
              </w:rPr>
              <w:fldChar w:fldCharType="separate"/>
            </w:r>
            <w:r w:rsidR="00BE2AED">
              <w:rPr>
                <w:noProof/>
                <w:webHidden/>
              </w:rPr>
              <w:t>3</w:t>
            </w:r>
            <w:r w:rsidR="00BE2AED">
              <w:rPr>
                <w:noProof/>
                <w:webHidden/>
              </w:rPr>
              <w:fldChar w:fldCharType="end"/>
            </w:r>
          </w:hyperlink>
        </w:p>
        <w:p w14:paraId="7B185AE0" w14:textId="07204C5E" w:rsidR="00BE2AED" w:rsidRDefault="00B23025">
          <w:pPr>
            <w:pStyle w:val="Spistreci2"/>
            <w:tabs>
              <w:tab w:val="right" w:pos="9019"/>
            </w:tabs>
            <w:rPr>
              <w:rFonts w:asciiTheme="minorHAnsi" w:eastAsiaTheme="minorEastAsia" w:hAnsiTheme="minorHAnsi" w:cstheme="minorBidi"/>
              <w:noProof/>
              <w:lang w:val="pl-PL"/>
            </w:rPr>
          </w:pPr>
          <w:hyperlink w:anchor="_Toc68867402" w:history="1">
            <w:r w:rsidR="00BE2AED" w:rsidRPr="00862167">
              <w:rPr>
                <w:rStyle w:val="Hipercze"/>
                <w:noProof/>
              </w:rPr>
              <w:t>IV. Wizja lokalna</w:t>
            </w:r>
            <w:r w:rsidR="00BE2AED">
              <w:rPr>
                <w:noProof/>
                <w:webHidden/>
              </w:rPr>
              <w:tab/>
            </w:r>
            <w:r w:rsidR="00BE2AED">
              <w:rPr>
                <w:noProof/>
                <w:webHidden/>
              </w:rPr>
              <w:fldChar w:fldCharType="begin"/>
            </w:r>
            <w:r w:rsidR="00BE2AED">
              <w:rPr>
                <w:noProof/>
                <w:webHidden/>
              </w:rPr>
              <w:instrText xml:space="preserve"> PAGEREF _Toc68867402 \h </w:instrText>
            </w:r>
            <w:r w:rsidR="00BE2AED">
              <w:rPr>
                <w:noProof/>
                <w:webHidden/>
              </w:rPr>
            </w:r>
            <w:r w:rsidR="00BE2AED">
              <w:rPr>
                <w:noProof/>
                <w:webHidden/>
              </w:rPr>
              <w:fldChar w:fldCharType="separate"/>
            </w:r>
            <w:r w:rsidR="00BE2AED">
              <w:rPr>
                <w:noProof/>
                <w:webHidden/>
              </w:rPr>
              <w:t>4</w:t>
            </w:r>
            <w:r w:rsidR="00BE2AED">
              <w:rPr>
                <w:noProof/>
                <w:webHidden/>
              </w:rPr>
              <w:fldChar w:fldCharType="end"/>
            </w:r>
          </w:hyperlink>
        </w:p>
        <w:p w14:paraId="7063302B" w14:textId="463085D3" w:rsidR="00BE2AED" w:rsidRDefault="00B23025">
          <w:pPr>
            <w:pStyle w:val="Spistreci2"/>
            <w:tabs>
              <w:tab w:val="right" w:pos="9019"/>
            </w:tabs>
            <w:rPr>
              <w:rFonts w:asciiTheme="minorHAnsi" w:eastAsiaTheme="minorEastAsia" w:hAnsiTheme="minorHAnsi" w:cstheme="minorBidi"/>
              <w:noProof/>
              <w:lang w:val="pl-PL"/>
            </w:rPr>
          </w:pPr>
          <w:hyperlink w:anchor="_Toc68867403" w:history="1">
            <w:r w:rsidR="00BE2AED" w:rsidRPr="00862167">
              <w:rPr>
                <w:rStyle w:val="Hipercze"/>
                <w:noProof/>
              </w:rPr>
              <w:t>V. Podwykonawstwo</w:t>
            </w:r>
            <w:r w:rsidR="00BE2AED">
              <w:rPr>
                <w:noProof/>
                <w:webHidden/>
              </w:rPr>
              <w:tab/>
            </w:r>
            <w:r w:rsidR="00BE2AED">
              <w:rPr>
                <w:noProof/>
                <w:webHidden/>
              </w:rPr>
              <w:fldChar w:fldCharType="begin"/>
            </w:r>
            <w:r w:rsidR="00BE2AED">
              <w:rPr>
                <w:noProof/>
                <w:webHidden/>
              </w:rPr>
              <w:instrText xml:space="preserve"> PAGEREF _Toc68867403 \h </w:instrText>
            </w:r>
            <w:r w:rsidR="00BE2AED">
              <w:rPr>
                <w:noProof/>
                <w:webHidden/>
              </w:rPr>
            </w:r>
            <w:r w:rsidR="00BE2AED">
              <w:rPr>
                <w:noProof/>
                <w:webHidden/>
              </w:rPr>
              <w:fldChar w:fldCharType="separate"/>
            </w:r>
            <w:r w:rsidR="00BE2AED">
              <w:rPr>
                <w:noProof/>
                <w:webHidden/>
              </w:rPr>
              <w:t>4</w:t>
            </w:r>
            <w:r w:rsidR="00BE2AED">
              <w:rPr>
                <w:noProof/>
                <w:webHidden/>
              </w:rPr>
              <w:fldChar w:fldCharType="end"/>
            </w:r>
          </w:hyperlink>
        </w:p>
        <w:p w14:paraId="283BD7EF" w14:textId="4F447499" w:rsidR="00BE2AED" w:rsidRDefault="00B23025">
          <w:pPr>
            <w:pStyle w:val="Spistreci2"/>
            <w:tabs>
              <w:tab w:val="right" w:pos="9019"/>
            </w:tabs>
            <w:rPr>
              <w:rFonts w:asciiTheme="minorHAnsi" w:eastAsiaTheme="minorEastAsia" w:hAnsiTheme="minorHAnsi" w:cstheme="minorBidi"/>
              <w:noProof/>
              <w:lang w:val="pl-PL"/>
            </w:rPr>
          </w:pPr>
          <w:hyperlink w:anchor="_Toc68867404" w:history="1">
            <w:r w:rsidR="00BE2AED" w:rsidRPr="00862167">
              <w:rPr>
                <w:rStyle w:val="Hipercze"/>
                <w:noProof/>
              </w:rPr>
              <w:t>VI. Termin wykonania zamówienia</w:t>
            </w:r>
            <w:r w:rsidR="00BE2AED">
              <w:rPr>
                <w:noProof/>
                <w:webHidden/>
              </w:rPr>
              <w:tab/>
            </w:r>
            <w:r w:rsidR="00BE2AED">
              <w:rPr>
                <w:noProof/>
                <w:webHidden/>
              </w:rPr>
              <w:fldChar w:fldCharType="begin"/>
            </w:r>
            <w:r w:rsidR="00BE2AED">
              <w:rPr>
                <w:noProof/>
                <w:webHidden/>
              </w:rPr>
              <w:instrText xml:space="preserve"> PAGEREF _Toc68867404 \h </w:instrText>
            </w:r>
            <w:r w:rsidR="00BE2AED">
              <w:rPr>
                <w:noProof/>
                <w:webHidden/>
              </w:rPr>
            </w:r>
            <w:r w:rsidR="00BE2AED">
              <w:rPr>
                <w:noProof/>
                <w:webHidden/>
              </w:rPr>
              <w:fldChar w:fldCharType="separate"/>
            </w:r>
            <w:r w:rsidR="00BE2AED">
              <w:rPr>
                <w:noProof/>
                <w:webHidden/>
              </w:rPr>
              <w:t>4</w:t>
            </w:r>
            <w:r w:rsidR="00BE2AED">
              <w:rPr>
                <w:noProof/>
                <w:webHidden/>
              </w:rPr>
              <w:fldChar w:fldCharType="end"/>
            </w:r>
          </w:hyperlink>
        </w:p>
        <w:p w14:paraId="1AD7BE79" w14:textId="34E43C8C" w:rsidR="00BE2AED" w:rsidRDefault="00B23025">
          <w:pPr>
            <w:pStyle w:val="Spistreci2"/>
            <w:tabs>
              <w:tab w:val="right" w:pos="9019"/>
            </w:tabs>
            <w:rPr>
              <w:rFonts w:asciiTheme="minorHAnsi" w:eastAsiaTheme="minorEastAsia" w:hAnsiTheme="minorHAnsi" w:cstheme="minorBidi"/>
              <w:noProof/>
              <w:lang w:val="pl-PL"/>
            </w:rPr>
          </w:pPr>
          <w:hyperlink w:anchor="_Toc68867405" w:history="1">
            <w:r w:rsidR="00BE2AED" w:rsidRPr="00862167">
              <w:rPr>
                <w:rStyle w:val="Hipercze"/>
                <w:noProof/>
              </w:rPr>
              <w:t>VII. Warunki udziału w postępowaniu</w:t>
            </w:r>
            <w:r w:rsidR="00BE2AED">
              <w:rPr>
                <w:noProof/>
                <w:webHidden/>
              </w:rPr>
              <w:tab/>
            </w:r>
            <w:r w:rsidR="00BE2AED">
              <w:rPr>
                <w:noProof/>
                <w:webHidden/>
              </w:rPr>
              <w:fldChar w:fldCharType="begin"/>
            </w:r>
            <w:r w:rsidR="00BE2AED">
              <w:rPr>
                <w:noProof/>
                <w:webHidden/>
              </w:rPr>
              <w:instrText xml:space="preserve"> PAGEREF _Toc68867405 \h </w:instrText>
            </w:r>
            <w:r w:rsidR="00BE2AED">
              <w:rPr>
                <w:noProof/>
                <w:webHidden/>
              </w:rPr>
            </w:r>
            <w:r w:rsidR="00BE2AED">
              <w:rPr>
                <w:noProof/>
                <w:webHidden/>
              </w:rPr>
              <w:fldChar w:fldCharType="separate"/>
            </w:r>
            <w:r w:rsidR="00BE2AED">
              <w:rPr>
                <w:noProof/>
                <w:webHidden/>
              </w:rPr>
              <w:t>5</w:t>
            </w:r>
            <w:r w:rsidR="00BE2AED">
              <w:rPr>
                <w:noProof/>
                <w:webHidden/>
              </w:rPr>
              <w:fldChar w:fldCharType="end"/>
            </w:r>
          </w:hyperlink>
        </w:p>
        <w:p w14:paraId="61B2E8D8" w14:textId="1E87920D" w:rsidR="00BE2AED" w:rsidRDefault="00B23025">
          <w:pPr>
            <w:pStyle w:val="Spistreci2"/>
            <w:tabs>
              <w:tab w:val="right" w:pos="9019"/>
            </w:tabs>
            <w:rPr>
              <w:rFonts w:asciiTheme="minorHAnsi" w:eastAsiaTheme="minorEastAsia" w:hAnsiTheme="minorHAnsi" w:cstheme="minorBidi"/>
              <w:noProof/>
              <w:lang w:val="pl-PL"/>
            </w:rPr>
          </w:pPr>
          <w:hyperlink w:anchor="_Toc68867406" w:history="1">
            <w:r w:rsidR="00BE2AED" w:rsidRPr="00862167">
              <w:rPr>
                <w:rStyle w:val="Hipercze"/>
                <w:noProof/>
              </w:rPr>
              <w:t>VIII. Podstawy wykluczenia z postępowania</w:t>
            </w:r>
            <w:r w:rsidR="00BE2AED">
              <w:rPr>
                <w:noProof/>
                <w:webHidden/>
              </w:rPr>
              <w:tab/>
            </w:r>
            <w:r w:rsidR="00BE2AED">
              <w:rPr>
                <w:noProof/>
                <w:webHidden/>
              </w:rPr>
              <w:fldChar w:fldCharType="begin"/>
            </w:r>
            <w:r w:rsidR="00BE2AED">
              <w:rPr>
                <w:noProof/>
                <w:webHidden/>
              </w:rPr>
              <w:instrText xml:space="preserve"> PAGEREF _Toc68867406 \h </w:instrText>
            </w:r>
            <w:r w:rsidR="00BE2AED">
              <w:rPr>
                <w:noProof/>
                <w:webHidden/>
              </w:rPr>
            </w:r>
            <w:r w:rsidR="00BE2AED">
              <w:rPr>
                <w:noProof/>
                <w:webHidden/>
              </w:rPr>
              <w:fldChar w:fldCharType="separate"/>
            </w:r>
            <w:r w:rsidR="00BE2AED">
              <w:rPr>
                <w:noProof/>
                <w:webHidden/>
              </w:rPr>
              <w:t>5</w:t>
            </w:r>
            <w:r w:rsidR="00BE2AED">
              <w:rPr>
                <w:noProof/>
                <w:webHidden/>
              </w:rPr>
              <w:fldChar w:fldCharType="end"/>
            </w:r>
          </w:hyperlink>
        </w:p>
        <w:p w14:paraId="279B8BD9" w14:textId="5695DF01" w:rsidR="00BE2AED" w:rsidRDefault="00B23025">
          <w:pPr>
            <w:pStyle w:val="Spistreci2"/>
            <w:tabs>
              <w:tab w:val="right" w:pos="9019"/>
            </w:tabs>
            <w:rPr>
              <w:rFonts w:asciiTheme="minorHAnsi" w:eastAsiaTheme="minorEastAsia" w:hAnsiTheme="minorHAnsi" w:cstheme="minorBidi"/>
              <w:noProof/>
              <w:lang w:val="pl-PL"/>
            </w:rPr>
          </w:pPr>
          <w:hyperlink w:anchor="_Toc68867407" w:history="1">
            <w:r w:rsidR="00BE2AED" w:rsidRPr="00862167">
              <w:rPr>
                <w:rStyle w:val="Hipercze"/>
                <w:noProof/>
              </w:rPr>
              <w:t>IX. Podmiotowe środki dowodowe. Oświadczenia i dokumenty, jakie zobowiązani są dostarczyć Wykonawcy w celu potwierdzenia spełniania warunków udziału w postępowaniu oraz wykazania braku podstaw wykluczenia</w:t>
            </w:r>
            <w:r w:rsidR="00BE2AED">
              <w:rPr>
                <w:noProof/>
                <w:webHidden/>
              </w:rPr>
              <w:tab/>
            </w:r>
            <w:r w:rsidR="00BE2AED">
              <w:rPr>
                <w:noProof/>
                <w:webHidden/>
              </w:rPr>
              <w:fldChar w:fldCharType="begin"/>
            </w:r>
            <w:r w:rsidR="00BE2AED">
              <w:rPr>
                <w:noProof/>
                <w:webHidden/>
              </w:rPr>
              <w:instrText xml:space="preserve"> PAGEREF _Toc68867407 \h </w:instrText>
            </w:r>
            <w:r w:rsidR="00BE2AED">
              <w:rPr>
                <w:noProof/>
                <w:webHidden/>
              </w:rPr>
            </w:r>
            <w:r w:rsidR="00BE2AED">
              <w:rPr>
                <w:noProof/>
                <w:webHidden/>
              </w:rPr>
              <w:fldChar w:fldCharType="separate"/>
            </w:r>
            <w:r w:rsidR="00BE2AED">
              <w:rPr>
                <w:noProof/>
                <w:webHidden/>
              </w:rPr>
              <w:t>6</w:t>
            </w:r>
            <w:r w:rsidR="00BE2AED">
              <w:rPr>
                <w:noProof/>
                <w:webHidden/>
              </w:rPr>
              <w:fldChar w:fldCharType="end"/>
            </w:r>
          </w:hyperlink>
        </w:p>
        <w:p w14:paraId="1550D475" w14:textId="3FDD09BF" w:rsidR="00BE2AED" w:rsidRDefault="00B23025">
          <w:pPr>
            <w:pStyle w:val="Spistreci2"/>
            <w:tabs>
              <w:tab w:val="right" w:pos="9019"/>
            </w:tabs>
            <w:rPr>
              <w:rFonts w:asciiTheme="minorHAnsi" w:eastAsiaTheme="minorEastAsia" w:hAnsiTheme="minorHAnsi" w:cstheme="minorBidi"/>
              <w:noProof/>
              <w:lang w:val="pl-PL"/>
            </w:rPr>
          </w:pPr>
          <w:hyperlink w:anchor="_Toc68867408" w:history="1">
            <w:r w:rsidR="00BE2AED" w:rsidRPr="00862167">
              <w:rPr>
                <w:rStyle w:val="Hipercze"/>
                <w:noProof/>
              </w:rPr>
              <w:t>X. Przedmiotowe środki dowodowe</w:t>
            </w:r>
            <w:r w:rsidR="00BE2AED">
              <w:rPr>
                <w:noProof/>
                <w:webHidden/>
              </w:rPr>
              <w:tab/>
            </w:r>
            <w:r w:rsidR="00BE2AED">
              <w:rPr>
                <w:noProof/>
                <w:webHidden/>
              </w:rPr>
              <w:fldChar w:fldCharType="begin"/>
            </w:r>
            <w:r w:rsidR="00BE2AED">
              <w:rPr>
                <w:noProof/>
                <w:webHidden/>
              </w:rPr>
              <w:instrText xml:space="preserve"> PAGEREF _Toc68867408 \h </w:instrText>
            </w:r>
            <w:r w:rsidR="00BE2AED">
              <w:rPr>
                <w:noProof/>
                <w:webHidden/>
              </w:rPr>
            </w:r>
            <w:r w:rsidR="00BE2AED">
              <w:rPr>
                <w:noProof/>
                <w:webHidden/>
              </w:rPr>
              <w:fldChar w:fldCharType="separate"/>
            </w:r>
            <w:r w:rsidR="00BE2AED">
              <w:rPr>
                <w:noProof/>
                <w:webHidden/>
              </w:rPr>
              <w:t>7</w:t>
            </w:r>
            <w:r w:rsidR="00BE2AED">
              <w:rPr>
                <w:noProof/>
                <w:webHidden/>
              </w:rPr>
              <w:fldChar w:fldCharType="end"/>
            </w:r>
          </w:hyperlink>
        </w:p>
        <w:p w14:paraId="58F35110" w14:textId="5CD8E654" w:rsidR="00BE2AED" w:rsidRDefault="00B23025">
          <w:pPr>
            <w:pStyle w:val="Spistreci2"/>
            <w:tabs>
              <w:tab w:val="right" w:pos="9019"/>
            </w:tabs>
            <w:rPr>
              <w:rFonts w:asciiTheme="minorHAnsi" w:eastAsiaTheme="minorEastAsia" w:hAnsiTheme="minorHAnsi" w:cstheme="minorBidi"/>
              <w:noProof/>
              <w:lang w:val="pl-PL"/>
            </w:rPr>
          </w:pPr>
          <w:hyperlink w:anchor="_Toc68867409" w:history="1">
            <w:r w:rsidR="00BE2AED" w:rsidRPr="00862167">
              <w:rPr>
                <w:rStyle w:val="Hipercze"/>
                <w:noProof/>
              </w:rPr>
              <w:t>XI. Poleganie na zasobach innych podmiotów</w:t>
            </w:r>
            <w:r w:rsidR="00BE2AED">
              <w:rPr>
                <w:noProof/>
                <w:webHidden/>
              </w:rPr>
              <w:tab/>
            </w:r>
            <w:r w:rsidR="00BE2AED">
              <w:rPr>
                <w:noProof/>
                <w:webHidden/>
              </w:rPr>
              <w:fldChar w:fldCharType="begin"/>
            </w:r>
            <w:r w:rsidR="00BE2AED">
              <w:rPr>
                <w:noProof/>
                <w:webHidden/>
              </w:rPr>
              <w:instrText xml:space="preserve"> PAGEREF _Toc68867409 \h </w:instrText>
            </w:r>
            <w:r w:rsidR="00BE2AED">
              <w:rPr>
                <w:noProof/>
                <w:webHidden/>
              </w:rPr>
            </w:r>
            <w:r w:rsidR="00BE2AED">
              <w:rPr>
                <w:noProof/>
                <w:webHidden/>
              </w:rPr>
              <w:fldChar w:fldCharType="separate"/>
            </w:r>
            <w:r w:rsidR="00BE2AED">
              <w:rPr>
                <w:noProof/>
                <w:webHidden/>
              </w:rPr>
              <w:t>7</w:t>
            </w:r>
            <w:r w:rsidR="00BE2AED">
              <w:rPr>
                <w:noProof/>
                <w:webHidden/>
              </w:rPr>
              <w:fldChar w:fldCharType="end"/>
            </w:r>
          </w:hyperlink>
        </w:p>
        <w:p w14:paraId="0979B45F" w14:textId="4492800C" w:rsidR="00BE2AED" w:rsidRDefault="00B23025">
          <w:pPr>
            <w:pStyle w:val="Spistreci2"/>
            <w:tabs>
              <w:tab w:val="right" w:pos="9019"/>
            </w:tabs>
            <w:rPr>
              <w:rFonts w:asciiTheme="minorHAnsi" w:eastAsiaTheme="minorEastAsia" w:hAnsiTheme="minorHAnsi" w:cstheme="minorBidi"/>
              <w:noProof/>
              <w:lang w:val="pl-PL"/>
            </w:rPr>
          </w:pPr>
          <w:hyperlink w:anchor="_Toc68867410" w:history="1">
            <w:r w:rsidR="00BE2AED" w:rsidRPr="00862167">
              <w:rPr>
                <w:rStyle w:val="Hipercze"/>
                <w:noProof/>
              </w:rPr>
              <w:t>XI. Informacja dla Wykonawców wspólnie ubiegających się o udzielenie zamówienia</w:t>
            </w:r>
            <w:r w:rsidR="00BE2AED">
              <w:rPr>
                <w:noProof/>
                <w:webHidden/>
              </w:rPr>
              <w:tab/>
            </w:r>
            <w:r w:rsidR="00BE2AED">
              <w:rPr>
                <w:noProof/>
                <w:webHidden/>
              </w:rPr>
              <w:fldChar w:fldCharType="begin"/>
            </w:r>
            <w:r w:rsidR="00BE2AED">
              <w:rPr>
                <w:noProof/>
                <w:webHidden/>
              </w:rPr>
              <w:instrText xml:space="preserve"> PAGEREF _Toc68867410 \h </w:instrText>
            </w:r>
            <w:r w:rsidR="00BE2AED">
              <w:rPr>
                <w:noProof/>
                <w:webHidden/>
              </w:rPr>
            </w:r>
            <w:r w:rsidR="00BE2AED">
              <w:rPr>
                <w:noProof/>
                <w:webHidden/>
              </w:rPr>
              <w:fldChar w:fldCharType="separate"/>
            </w:r>
            <w:r w:rsidR="00BE2AED">
              <w:rPr>
                <w:noProof/>
                <w:webHidden/>
              </w:rPr>
              <w:t>8</w:t>
            </w:r>
            <w:r w:rsidR="00BE2AED">
              <w:rPr>
                <w:noProof/>
                <w:webHidden/>
              </w:rPr>
              <w:fldChar w:fldCharType="end"/>
            </w:r>
          </w:hyperlink>
        </w:p>
        <w:p w14:paraId="1D096706" w14:textId="35427046" w:rsidR="00BE2AED" w:rsidRDefault="00B23025">
          <w:pPr>
            <w:pStyle w:val="Spistreci2"/>
            <w:tabs>
              <w:tab w:val="right" w:pos="9019"/>
            </w:tabs>
            <w:rPr>
              <w:rFonts w:asciiTheme="minorHAnsi" w:eastAsiaTheme="minorEastAsia" w:hAnsiTheme="minorHAnsi" w:cstheme="minorBidi"/>
              <w:noProof/>
              <w:lang w:val="pl-PL"/>
            </w:rPr>
          </w:pPr>
          <w:hyperlink w:anchor="_Toc68867411" w:history="1">
            <w:r w:rsidR="00BE2AED" w:rsidRPr="00862167">
              <w:rPr>
                <w:rStyle w:val="Hipercze"/>
                <w:noProof/>
              </w:rPr>
              <w:t>XII. Informacje o sposobie porozumiewania się zamawiającego z Wykonawcami oraz przekazywania oświadczeń lub dokumentów</w:t>
            </w:r>
            <w:r w:rsidR="00BE2AED">
              <w:rPr>
                <w:noProof/>
                <w:webHidden/>
              </w:rPr>
              <w:tab/>
            </w:r>
            <w:r w:rsidR="00BE2AED">
              <w:rPr>
                <w:noProof/>
                <w:webHidden/>
              </w:rPr>
              <w:fldChar w:fldCharType="begin"/>
            </w:r>
            <w:r w:rsidR="00BE2AED">
              <w:rPr>
                <w:noProof/>
                <w:webHidden/>
              </w:rPr>
              <w:instrText xml:space="preserve"> PAGEREF _Toc68867411 \h </w:instrText>
            </w:r>
            <w:r w:rsidR="00BE2AED">
              <w:rPr>
                <w:noProof/>
                <w:webHidden/>
              </w:rPr>
            </w:r>
            <w:r w:rsidR="00BE2AED">
              <w:rPr>
                <w:noProof/>
                <w:webHidden/>
              </w:rPr>
              <w:fldChar w:fldCharType="separate"/>
            </w:r>
            <w:r w:rsidR="00BE2AED">
              <w:rPr>
                <w:noProof/>
                <w:webHidden/>
              </w:rPr>
              <w:t>9</w:t>
            </w:r>
            <w:r w:rsidR="00BE2AED">
              <w:rPr>
                <w:noProof/>
                <w:webHidden/>
              </w:rPr>
              <w:fldChar w:fldCharType="end"/>
            </w:r>
          </w:hyperlink>
        </w:p>
        <w:p w14:paraId="0CC201BD" w14:textId="2FFB1D73" w:rsidR="00BE2AED" w:rsidRDefault="00B23025">
          <w:pPr>
            <w:pStyle w:val="Spistreci2"/>
            <w:tabs>
              <w:tab w:val="right" w:pos="9019"/>
            </w:tabs>
            <w:rPr>
              <w:rFonts w:asciiTheme="minorHAnsi" w:eastAsiaTheme="minorEastAsia" w:hAnsiTheme="minorHAnsi" w:cstheme="minorBidi"/>
              <w:noProof/>
              <w:lang w:val="pl-PL"/>
            </w:rPr>
          </w:pPr>
          <w:hyperlink w:anchor="_Toc68867412" w:history="1">
            <w:r w:rsidR="00BE2AED" w:rsidRPr="00862167">
              <w:rPr>
                <w:rStyle w:val="Hipercze"/>
                <w:noProof/>
              </w:rPr>
              <w:t>XIII. Opis sposobu przygotowania ofert oraz dokumentów wymaganych przez Zamawiającego w SWZ</w:t>
            </w:r>
            <w:r w:rsidR="00BE2AED">
              <w:rPr>
                <w:noProof/>
                <w:webHidden/>
              </w:rPr>
              <w:tab/>
            </w:r>
            <w:r w:rsidR="00BE2AED">
              <w:rPr>
                <w:noProof/>
                <w:webHidden/>
              </w:rPr>
              <w:fldChar w:fldCharType="begin"/>
            </w:r>
            <w:r w:rsidR="00BE2AED">
              <w:rPr>
                <w:noProof/>
                <w:webHidden/>
              </w:rPr>
              <w:instrText xml:space="preserve"> PAGEREF _Toc68867412 \h </w:instrText>
            </w:r>
            <w:r w:rsidR="00BE2AED">
              <w:rPr>
                <w:noProof/>
                <w:webHidden/>
              </w:rPr>
            </w:r>
            <w:r w:rsidR="00BE2AED">
              <w:rPr>
                <w:noProof/>
                <w:webHidden/>
              </w:rPr>
              <w:fldChar w:fldCharType="separate"/>
            </w:r>
            <w:r w:rsidR="00BE2AED">
              <w:rPr>
                <w:noProof/>
                <w:webHidden/>
              </w:rPr>
              <w:t>11</w:t>
            </w:r>
            <w:r w:rsidR="00BE2AED">
              <w:rPr>
                <w:noProof/>
                <w:webHidden/>
              </w:rPr>
              <w:fldChar w:fldCharType="end"/>
            </w:r>
          </w:hyperlink>
        </w:p>
        <w:p w14:paraId="0C381B0C" w14:textId="3FA36CC4" w:rsidR="00BE2AED" w:rsidRDefault="00B23025">
          <w:pPr>
            <w:pStyle w:val="Spistreci2"/>
            <w:tabs>
              <w:tab w:val="right" w:pos="9019"/>
            </w:tabs>
            <w:rPr>
              <w:rFonts w:asciiTheme="minorHAnsi" w:eastAsiaTheme="minorEastAsia" w:hAnsiTheme="minorHAnsi" w:cstheme="minorBidi"/>
              <w:noProof/>
              <w:lang w:val="pl-PL"/>
            </w:rPr>
          </w:pPr>
          <w:hyperlink w:anchor="_Toc68867414" w:history="1">
            <w:r w:rsidR="00BE2AED" w:rsidRPr="00862167">
              <w:rPr>
                <w:rStyle w:val="Hipercze"/>
                <w:noProof/>
              </w:rPr>
              <w:t>XIV. Sposób obliczania ceny oferty</w:t>
            </w:r>
            <w:r w:rsidR="00BE2AED">
              <w:rPr>
                <w:noProof/>
                <w:webHidden/>
              </w:rPr>
              <w:tab/>
            </w:r>
            <w:r w:rsidR="00BE2AED">
              <w:rPr>
                <w:noProof/>
                <w:webHidden/>
              </w:rPr>
              <w:fldChar w:fldCharType="begin"/>
            </w:r>
            <w:r w:rsidR="00BE2AED">
              <w:rPr>
                <w:noProof/>
                <w:webHidden/>
              </w:rPr>
              <w:instrText xml:space="preserve"> PAGEREF _Toc68867414 \h </w:instrText>
            </w:r>
            <w:r w:rsidR="00BE2AED">
              <w:rPr>
                <w:noProof/>
                <w:webHidden/>
              </w:rPr>
            </w:r>
            <w:r w:rsidR="00BE2AED">
              <w:rPr>
                <w:noProof/>
                <w:webHidden/>
              </w:rPr>
              <w:fldChar w:fldCharType="separate"/>
            </w:r>
            <w:r w:rsidR="00BE2AED">
              <w:rPr>
                <w:noProof/>
                <w:webHidden/>
              </w:rPr>
              <w:t>14</w:t>
            </w:r>
            <w:r w:rsidR="00BE2AED">
              <w:rPr>
                <w:noProof/>
                <w:webHidden/>
              </w:rPr>
              <w:fldChar w:fldCharType="end"/>
            </w:r>
          </w:hyperlink>
        </w:p>
        <w:p w14:paraId="5F725AF9" w14:textId="40E6F9A2" w:rsidR="00BE2AED" w:rsidRDefault="00B23025">
          <w:pPr>
            <w:pStyle w:val="Spistreci2"/>
            <w:tabs>
              <w:tab w:val="right" w:pos="9019"/>
            </w:tabs>
            <w:rPr>
              <w:rFonts w:asciiTheme="minorHAnsi" w:eastAsiaTheme="minorEastAsia" w:hAnsiTheme="minorHAnsi" w:cstheme="minorBidi"/>
              <w:noProof/>
              <w:lang w:val="pl-PL"/>
            </w:rPr>
          </w:pPr>
          <w:hyperlink w:anchor="_Toc68867415" w:history="1">
            <w:r w:rsidR="00BE2AED" w:rsidRPr="00862167">
              <w:rPr>
                <w:rStyle w:val="Hipercze"/>
                <w:noProof/>
              </w:rPr>
              <w:t>XV. Wymagania dotyczące wadium</w:t>
            </w:r>
            <w:r w:rsidR="00BE2AED">
              <w:rPr>
                <w:noProof/>
                <w:webHidden/>
              </w:rPr>
              <w:tab/>
            </w:r>
            <w:r w:rsidR="00BE2AED">
              <w:rPr>
                <w:noProof/>
                <w:webHidden/>
              </w:rPr>
              <w:fldChar w:fldCharType="begin"/>
            </w:r>
            <w:r w:rsidR="00BE2AED">
              <w:rPr>
                <w:noProof/>
                <w:webHidden/>
              </w:rPr>
              <w:instrText xml:space="preserve"> PAGEREF _Toc68867415 \h </w:instrText>
            </w:r>
            <w:r w:rsidR="00BE2AED">
              <w:rPr>
                <w:noProof/>
                <w:webHidden/>
              </w:rPr>
            </w:r>
            <w:r w:rsidR="00BE2AED">
              <w:rPr>
                <w:noProof/>
                <w:webHidden/>
              </w:rPr>
              <w:fldChar w:fldCharType="separate"/>
            </w:r>
            <w:r w:rsidR="00BE2AED">
              <w:rPr>
                <w:noProof/>
                <w:webHidden/>
              </w:rPr>
              <w:t>14</w:t>
            </w:r>
            <w:r w:rsidR="00BE2AED">
              <w:rPr>
                <w:noProof/>
                <w:webHidden/>
              </w:rPr>
              <w:fldChar w:fldCharType="end"/>
            </w:r>
          </w:hyperlink>
        </w:p>
        <w:p w14:paraId="4118E477" w14:textId="64A51198" w:rsidR="00BE2AED" w:rsidRDefault="00B23025">
          <w:pPr>
            <w:pStyle w:val="Spistreci2"/>
            <w:tabs>
              <w:tab w:val="right" w:pos="9019"/>
            </w:tabs>
            <w:rPr>
              <w:rFonts w:asciiTheme="minorHAnsi" w:eastAsiaTheme="minorEastAsia" w:hAnsiTheme="minorHAnsi" w:cstheme="minorBidi"/>
              <w:noProof/>
              <w:lang w:val="pl-PL"/>
            </w:rPr>
          </w:pPr>
          <w:hyperlink w:anchor="_Toc68867416" w:history="1">
            <w:r w:rsidR="00BE2AED" w:rsidRPr="00862167">
              <w:rPr>
                <w:rStyle w:val="Hipercze"/>
                <w:noProof/>
              </w:rPr>
              <w:t>XVI. Termin związania ofertą</w:t>
            </w:r>
            <w:r w:rsidR="00BE2AED">
              <w:rPr>
                <w:noProof/>
                <w:webHidden/>
              </w:rPr>
              <w:tab/>
            </w:r>
            <w:r w:rsidR="00BE2AED">
              <w:rPr>
                <w:noProof/>
                <w:webHidden/>
              </w:rPr>
              <w:fldChar w:fldCharType="begin"/>
            </w:r>
            <w:r w:rsidR="00BE2AED">
              <w:rPr>
                <w:noProof/>
                <w:webHidden/>
              </w:rPr>
              <w:instrText xml:space="preserve"> PAGEREF _Toc68867416 \h </w:instrText>
            </w:r>
            <w:r w:rsidR="00BE2AED">
              <w:rPr>
                <w:noProof/>
                <w:webHidden/>
              </w:rPr>
            </w:r>
            <w:r w:rsidR="00BE2AED">
              <w:rPr>
                <w:noProof/>
                <w:webHidden/>
              </w:rPr>
              <w:fldChar w:fldCharType="separate"/>
            </w:r>
            <w:r w:rsidR="00BE2AED">
              <w:rPr>
                <w:noProof/>
                <w:webHidden/>
              </w:rPr>
              <w:t>15</w:t>
            </w:r>
            <w:r w:rsidR="00BE2AED">
              <w:rPr>
                <w:noProof/>
                <w:webHidden/>
              </w:rPr>
              <w:fldChar w:fldCharType="end"/>
            </w:r>
          </w:hyperlink>
        </w:p>
        <w:p w14:paraId="7301732F" w14:textId="564C1462" w:rsidR="00BE2AED" w:rsidRDefault="00B23025">
          <w:pPr>
            <w:pStyle w:val="Spistreci2"/>
            <w:tabs>
              <w:tab w:val="right" w:pos="9019"/>
            </w:tabs>
            <w:rPr>
              <w:rFonts w:asciiTheme="minorHAnsi" w:eastAsiaTheme="minorEastAsia" w:hAnsiTheme="minorHAnsi" w:cstheme="minorBidi"/>
              <w:noProof/>
              <w:lang w:val="pl-PL"/>
            </w:rPr>
          </w:pPr>
          <w:hyperlink w:anchor="_Toc68867417" w:history="1">
            <w:r w:rsidR="00BE2AED" w:rsidRPr="00862167">
              <w:rPr>
                <w:rStyle w:val="Hipercze"/>
                <w:noProof/>
              </w:rPr>
              <w:t>XVII. Miejsce i termin składania ofert</w:t>
            </w:r>
            <w:r w:rsidR="00BE2AED">
              <w:rPr>
                <w:noProof/>
                <w:webHidden/>
              </w:rPr>
              <w:tab/>
            </w:r>
            <w:r w:rsidR="00BE2AED">
              <w:rPr>
                <w:noProof/>
                <w:webHidden/>
              </w:rPr>
              <w:fldChar w:fldCharType="begin"/>
            </w:r>
            <w:r w:rsidR="00BE2AED">
              <w:rPr>
                <w:noProof/>
                <w:webHidden/>
              </w:rPr>
              <w:instrText xml:space="preserve"> PAGEREF _Toc68867417 \h </w:instrText>
            </w:r>
            <w:r w:rsidR="00BE2AED">
              <w:rPr>
                <w:noProof/>
                <w:webHidden/>
              </w:rPr>
            </w:r>
            <w:r w:rsidR="00BE2AED">
              <w:rPr>
                <w:noProof/>
                <w:webHidden/>
              </w:rPr>
              <w:fldChar w:fldCharType="separate"/>
            </w:r>
            <w:r w:rsidR="00BE2AED">
              <w:rPr>
                <w:noProof/>
                <w:webHidden/>
              </w:rPr>
              <w:t>16</w:t>
            </w:r>
            <w:r w:rsidR="00BE2AED">
              <w:rPr>
                <w:noProof/>
                <w:webHidden/>
              </w:rPr>
              <w:fldChar w:fldCharType="end"/>
            </w:r>
          </w:hyperlink>
        </w:p>
        <w:p w14:paraId="19ACB6A1" w14:textId="69E2D8AF" w:rsidR="00BE2AED" w:rsidRDefault="00B23025">
          <w:pPr>
            <w:pStyle w:val="Spistreci2"/>
            <w:tabs>
              <w:tab w:val="right" w:pos="9019"/>
            </w:tabs>
            <w:rPr>
              <w:rFonts w:asciiTheme="minorHAnsi" w:eastAsiaTheme="minorEastAsia" w:hAnsiTheme="minorHAnsi" w:cstheme="minorBidi"/>
              <w:noProof/>
              <w:lang w:val="pl-PL"/>
            </w:rPr>
          </w:pPr>
          <w:hyperlink w:anchor="_Toc68867418" w:history="1">
            <w:r w:rsidR="00BE2AED" w:rsidRPr="00862167">
              <w:rPr>
                <w:rStyle w:val="Hipercze"/>
                <w:noProof/>
              </w:rPr>
              <w:t>XVIII. Otwarcie ofert</w:t>
            </w:r>
            <w:r w:rsidR="00BE2AED">
              <w:rPr>
                <w:noProof/>
                <w:webHidden/>
              </w:rPr>
              <w:tab/>
            </w:r>
            <w:r w:rsidR="00BE2AED">
              <w:rPr>
                <w:noProof/>
                <w:webHidden/>
              </w:rPr>
              <w:fldChar w:fldCharType="begin"/>
            </w:r>
            <w:r w:rsidR="00BE2AED">
              <w:rPr>
                <w:noProof/>
                <w:webHidden/>
              </w:rPr>
              <w:instrText xml:space="preserve"> PAGEREF _Toc68867418 \h </w:instrText>
            </w:r>
            <w:r w:rsidR="00BE2AED">
              <w:rPr>
                <w:noProof/>
                <w:webHidden/>
              </w:rPr>
            </w:r>
            <w:r w:rsidR="00BE2AED">
              <w:rPr>
                <w:noProof/>
                <w:webHidden/>
              </w:rPr>
              <w:fldChar w:fldCharType="separate"/>
            </w:r>
            <w:r w:rsidR="00BE2AED">
              <w:rPr>
                <w:noProof/>
                <w:webHidden/>
              </w:rPr>
              <w:t>16</w:t>
            </w:r>
            <w:r w:rsidR="00BE2AED">
              <w:rPr>
                <w:noProof/>
                <w:webHidden/>
              </w:rPr>
              <w:fldChar w:fldCharType="end"/>
            </w:r>
          </w:hyperlink>
        </w:p>
        <w:p w14:paraId="11E70F57" w14:textId="71CD6DBC" w:rsidR="00BE2AED" w:rsidRDefault="00B23025">
          <w:pPr>
            <w:pStyle w:val="Spistreci2"/>
            <w:tabs>
              <w:tab w:val="right" w:pos="9019"/>
            </w:tabs>
            <w:rPr>
              <w:rFonts w:asciiTheme="minorHAnsi" w:eastAsiaTheme="minorEastAsia" w:hAnsiTheme="minorHAnsi" w:cstheme="minorBidi"/>
              <w:noProof/>
              <w:lang w:val="pl-PL"/>
            </w:rPr>
          </w:pPr>
          <w:hyperlink w:anchor="_Toc68867419" w:history="1">
            <w:r w:rsidR="00BE2AED" w:rsidRPr="00862167">
              <w:rPr>
                <w:rStyle w:val="Hipercze"/>
                <w:noProof/>
              </w:rPr>
              <w:t>XIX. Opis kryteriów oceny ofert wraz z podaniem wag tych kryteriów i sposobu oceny ofert</w:t>
            </w:r>
            <w:r w:rsidR="00BE2AED">
              <w:rPr>
                <w:noProof/>
                <w:webHidden/>
              </w:rPr>
              <w:tab/>
            </w:r>
            <w:r w:rsidR="00BE2AED">
              <w:rPr>
                <w:noProof/>
                <w:webHidden/>
              </w:rPr>
              <w:fldChar w:fldCharType="begin"/>
            </w:r>
            <w:r w:rsidR="00BE2AED">
              <w:rPr>
                <w:noProof/>
                <w:webHidden/>
              </w:rPr>
              <w:instrText xml:space="preserve"> PAGEREF _Toc68867419 \h </w:instrText>
            </w:r>
            <w:r w:rsidR="00BE2AED">
              <w:rPr>
                <w:noProof/>
                <w:webHidden/>
              </w:rPr>
            </w:r>
            <w:r w:rsidR="00BE2AED">
              <w:rPr>
                <w:noProof/>
                <w:webHidden/>
              </w:rPr>
              <w:fldChar w:fldCharType="separate"/>
            </w:r>
            <w:r w:rsidR="00BE2AED">
              <w:rPr>
                <w:noProof/>
                <w:webHidden/>
              </w:rPr>
              <w:t>17</w:t>
            </w:r>
            <w:r w:rsidR="00BE2AED">
              <w:rPr>
                <w:noProof/>
                <w:webHidden/>
              </w:rPr>
              <w:fldChar w:fldCharType="end"/>
            </w:r>
          </w:hyperlink>
        </w:p>
        <w:p w14:paraId="68442FB4" w14:textId="290AFA66" w:rsidR="00BE2AED" w:rsidRDefault="00B23025">
          <w:pPr>
            <w:pStyle w:val="Spistreci2"/>
            <w:tabs>
              <w:tab w:val="right" w:pos="9019"/>
            </w:tabs>
            <w:rPr>
              <w:rFonts w:asciiTheme="minorHAnsi" w:eastAsiaTheme="minorEastAsia" w:hAnsiTheme="minorHAnsi" w:cstheme="minorBidi"/>
              <w:noProof/>
              <w:lang w:val="pl-PL"/>
            </w:rPr>
          </w:pPr>
          <w:hyperlink w:anchor="_Toc68867420" w:history="1">
            <w:r w:rsidR="00BE2AED" w:rsidRPr="00862167">
              <w:rPr>
                <w:rStyle w:val="Hipercze"/>
                <w:noProof/>
              </w:rPr>
              <w:t>XX. Informacje o formalnościach, jakie powinny być dopełnione po wyborze oferty w celu zawarcia umowy</w:t>
            </w:r>
            <w:r w:rsidR="00BE2AED">
              <w:rPr>
                <w:noProof/>
                <w:webHidden/>
              </w:rPr>
              <w:tab/>
            </w:r>
            <w:r w:rsidR="00BE2AED">
              <w:rPr>
                <w:noProof/>
                <w:webHidden/>
              </w:rPr>
              <w:fldChar w:fldCharType="begin"/>
            </w:r>
            <w:r w:rsidR="00BE2AED">
              <w:rPr>
                <w:noProof/>
                <w:webHidden/>
              </w:rPr>
              <w:instrText xml:space="preserve"> PAGEREF _Toc68867420 \h </w:instrText>
            </w:r>
            <w:r w:rsidR="00BE2AED">
              <w:rPr>
                <w:noProof/>
                <w:webHidden/>
              </w:rPr>
            </w:r>
            <w:r w:rsidR="00BE2AED">
              <w:rPr>
                <w:noProof/>
                <w:webHidden/>
              </w:rPr>
              <w:fldChar w:fldCharType="separate"/>
            </w:r>
            <w:r w:rsidR="00BE2AED">
              <w:rPr>
                <w:noProof/>
                <w:webHidden/>
              </w:rPr>
              <w:t>18</w:t>
            </w:r>
            <w:r w:rsidR="00BE2AED">
              <w:rPr>
                <w:noProof/>
                <w:webHidden/>
              </w:rPr>
              <w:fldChar w:fldCharType="end"/>
            </w:r>
          </w:hyperlink>
        </w:p>
        <w:p w14:paraId="1AE707F3" w14:textId="34F316A9" w:rsidR="00BE2AED" w:rsidRDefault="00B23025">
          <w:pPr>
            <w:pStyle w:val="Spistreci2"/>
            <w:tabs>
              <w:tab w:val="right" w:pos="9019"/>
            </w:tabs>
            <w:rPr>
              <w:rFonts w:asciiTheme="minorHAnsi" w:eastAsiaTheme="minorEastAsia" w:hAnsiTheme="minorHAnsi" w:cstheme="minorBidi"/>
              <w:noProof/>
              <w:lang w:val="pl-PL"/>
            </w:rPr>
          </w:pPr>
          <w:hyperlink w:anchor="_Toc68867421" w:history="1">
            <w:r w:rsidR="00BE2AED" w:rsidRPr="00862167">
              <w:rPr>
                <w:rStyle w:val="Hipercze"/>
                <w:noProof/>
              </w:rPr>
              <w:t>XXI. Wymagania dotyczące zabezpieczenia należytego wykonania umowy</w:t>
            </w:r>
            <w:r w:rsidR="00BE2AED">
              <w:rPr>
                <w:noProof/>
                <w:webHidden/>
              </w:rPr>
              <w:tab/>
            </w:r>
            <w:r w:rsidR="00BE2AED">
              <w:rPr>
                <w:noProof/>
                <w:webHidden/>
              </w:rPr>
              <w:fldChar w:fldCharType="begin"/>
            </w:r>
            <w:r w:rsidR="00BE2AED">
              <w:rPr>
                <w:noProof/>
                <w:webHidden/>
              </w:rPr>
              <w:instrText xml:space="preserve"> PAGEREF _Toc68867421 \h </w:instrText>
            </w:r>
            <w:r w:rsidR="00BE2AED">
              <w:rPr>
                <w:noProof/>
                <w:webHidden/>
              </w:rPr>
            </w:r>
            <w:r w:rsidR="00BE2AED">
              <w:rPr>
                <w:noProof/>
                <w:webHidden/>
              </w:rPr>
              <w:fldChar w:fldCharType="separate"/>
            </w:r>
            <w:r w:rsidR="00BE2AED">
              <w:rPr>
                <w:noProof/>
                <w:webHidden/>
              </w:rPr>
              <w:t>19</w:t>
            </w:r>
            <w:r w:rsidR="00BE2AED">
              <w:rPr>
                <w:noProof/>
                <w:webHidden/>
              </w:rPr>
              <w:fldChar w:fldCharType="end"/>
            </w:r>
          </w:hyperlink>
        </w:p>
        <w:p w14:paraId="2C28BCE9" w14:textId="624355E3" w:rsidR="00BE2AED" w:rsidRDefault="00B23025">
          <w:pPr>
            <w:pStyle w:val="Spistreci2"/>
            <w:tabs>
              <w:tab w:val="right" w:pos="9019"/>
            </w:tabs>
            <w:rPr>
              <w:rFonts w:asciiTheme="minorHAnsi" w:eastAsiaTheme="minorEastAsia" w:hAnsiTheme="minorHAnsi" w:cstheme="minorBidi"/>
              <w:noProof/>
              <w:lang w:val="pl-PL"/>
            </w:rPr>
          </w:pPr>
          <w:hyperlink w:anchor="_Toc68867422" w:history="1">
            <w:r w:rsidR="00BE2AED" w:rsidRPr="00862167">
              <w:rPr>
                <w:rStyle w:val="Hipercze"/>
                <w:noProof/>
              </w:rPr>
              <w:t>XXII. Informacje o treści zawieranej umowy oraz możliwości jej zmiany</w:t>
            </w:r>
            <w:r w:rsidR="00BE2AED">
              <w:rPr>
                <w:noProof/>
                <w:webHidden/>
              </w:rPr>
              <w:tab/>
            </w:r>
            <w:r w:rsidR="00BE2AED">
              <w:rPr>
                <w:noProof/>
                <w:webHidden/>
              </w:rPr>
              <w:fldChar w:fldCharType="begin"/>
            </w:r>
            <w:r w:rsidR="00BE2AED">
              <w:rPr>
                <w:noProof/>
                <w:webHidden/>
              </w:rPr>
              <w:instrText xml:space="preserve"> PAGEREF _Toc68867422 \h </w:instrText>
            </w:r>
            <w:r w:rsidR="00BE2AED">
              <w:rPr>
                <w:noProof/>
                <w:webHidden/>
              </w:rPr>
            </w:r>
            <w:r w:rsidR="00BE2AED">
              <w:rPr>
                <w:noProof/>
                <w:webHidden/>
              </w:rPr>
              <w:fldChar w:fldCharType="separate"/>
            </w:r>
            <w:r w:rsidR="00BE2AED">
              <w:rPr>
                <w:noProof/>
                <w:webHidden/>
              </w:rPr>
              <w:t>19</w:t>
            </w:r>
            <w:r w:rsidR="00BE2AED">
              <w:rPr>
                <w:noProof/>
                <w:webHidden/>
              </w:rPr>
              <w:fldChar w:fldCharType="end"/>
            </w:r>
          </w:hyperlink>
        </w:p>
        <w:p w14:paraId="31E402FF" w14:textId="63541875" w:rsidR="00BE2AED" w:rsidRDefault="00B23025">
          <w:pPr>
            <w:pStyle w:val="Spistreci2"/>
            <w:tabs>
              <w:tab w:val="right" w:pos="9019"/>
            </w:tabs>
            <w:rPr>
              <w:rFonts w:asciiTheme="minorHAnsi" w:eastAsiaTheme="minorEastAsia" w:hAnsiTheme="minorHAnsi" w:cstheme="minorBidi"/>
              <w:noProof/>
              <w:lang w:val="pl-PL"/>
            </w:rPr>
          </w:pPr>
          <w:hyperlink w:anchor="_Toc68867423" w:history="1">
            <w:r w:rsidR="00BE2AED" w:rsidRPr="00862167">
              <w:rPr>
                <w:rStyle w:val="Hipercze"/>
                <w:noProof/>
              </w:rPr>
              <w:t>XXIII. Pouczenie o środkach ochrony prawnej przysługujących Wykonawcy</w:t>
            </w:r>
            <w:r w:rsidR="00BE2AED">
              <w:rPr>
                <w:noProof/>
                <w:webHidden/>
              </w:rPr>
              <w:tab/>
            </w:r>
            <w:r w:rsidR="00BE2AED">
              <w:rPr>
                <w:noProof/>
                <w:webHidden/>
              </w:rPr>
              <w:fldChar w:fldCharType="begin"/>
            </w:r>
            <w:r w:rsidR="00BE2AED">
              <w:rPr>
                <w:noProof/>
                <w:webHidden/>
              </w:rPr>
              <w:instrText xml:space="preserve"> PAGEREF _Toc68867423 \h </w:instrText>
            </w:r>
            <w:r w:rsidR="00BE2AED">
              <w:rPr>
                <w:noProof/>
                <w:webHidden/>
              </w:rPr>
            </w:r>
            <w:r w:rsidR="00BE2AED">
              <w:rPr>
                <w:noProof/>
                <w:webHidden/>
              </w:rPr>
              <w:fldChar w:fldCharType="separate"/>
            </w:r>
            <w:r w:rsidR="00BE2AED">
              <w:rPr>
                <w:noProof/>
                <w:webHidden/>
              </w:rPr>
              <w:t>19</w:t>
            </w:r>
            <w:r w:rsidR="00BE2AED">
              <w:rPr>
                <w:noProof/>
                <w:webHidden/>
              </w:rPr>
              <w:fldChar w:fldCharType="end"/>
            </w:r>
          </w:hyperlink>
        </w:p>
        <w:p w14:paraId="1353CE00" w14:textId="7A3B10ED" w:rsidR="00BE2AED" w:rsidRDefault="00B23025">
          <w:pPr>
            <w:pStyle w:val="Spistreci2"/>
            <w:tabs>
              <w:tab w:val="right" w:pos="9019"/>
            </w:tabs>
            <w:rPr>
              <w:rFonts w:asciiTheme="minorHAnsi" w:eastAsiaTheme="minorEastAsia" w:hAnsiTheme="minorHAnsi" w:cstheme="minorBidi"/>
              <w:noProof/>
              <w:lang w:val="pl-PL"/>
            </w:rPr>
          </w:pPr>
          <w:hyperlink w:anchor="_Toc68867424" w:history="1">
            <w:r w:rsidR="00BE2AED" w:rsidRPr="00862167">
              <w:rPr>
                <w:rStyle w:val="Hipercze"/>
                <w:noProof/>
              </w:rPr>
              <w:t>XXIV. Ochrona danych osobowych</w:t>
            </w:r>
            <w:r w:rsidR="00BE2AED">
              <w:rPr>
                <w:noProof/>
                <w:webHidden/>
              </w:rPr>
              <w:tab/>
            </w:r>
            <w:r w:rsidR="00BE2AED">
              <w:rPr>
                <w:noProof/>
                <w:webHidden/>
              </w:rPr>
              <w:fldChar w:fldCharType="begin"/>
            </w:r>
            <w:r w:rsidR="00BE2AED">
              <w:rPr>
                <w:noProof/>
                <w:webHidden/>
              </w:rPr>
              <w:instrText xml:space="preserve"> PAGEREF _Toc68867424 \h </w:instrText>
            </w:r>
            <w:r w:rsidR="00BE2AED">
              <w:rPr>
                <w:noProof/>
                <w:webHidden/>
              </w:rPr>
            </w:r>
            <w:r w:rsidR="00BE2AED">
              <w:rPr>
                <w:noProof/>
                <w:webHidden/>
              </w:rPr>
              <w:fldChar w:fldCharType="separate"/>
            </w:r>
            <w:r w:rsidR="00BE2AED">
              <w:rPr>
                <w:noProof/>
                <w:webHidden/>
              </w:rPr>
              <w:t>20</w:t>
            </w:r>
            <w:r w:rsidR="00BE2AED">
              <w:rPr>
                <w:noProof/>
                <w:webHidden/>
              </w:rPr>
              <w:fldChar w:fldCharType="end"/>
            </w:r>
          </w:hyperlink>
        </w:p>
        <w:p w14:paraId="111295EB" w14:textId="51967FF8" w:rsidR="00BE2AED" w:rsidRDefault="00B23025">
          <w:pPr>
            <w:pStyle w:val="Spistreci2"/>
            <w:tabs>
              <w:tab w:val="right" w:pos="9019"/>
            </w:tabs>
            <w:rPr>
              <w:rFonts w:asciiTheme="minorHAnsi" w:eastAsiaTheme="minorEastAsia" w:hAnsiTheme="minorHAnsi" w:cstheme="minorBidi"/>
              <w:noProof/>
              <w:lang w:val="pl-PL"/>
            </w:rPr>
          </w:pPr>
          <w:hyperlink w:anchor="_Toc68867425" w:history="1">
            <w:r w:rsidR="00BE2AED" w:rsidRPr="00862167">
              <w:rPr>
                <w:rStyle w:val="Hipercze"/>
                <w:noProof/>
              </w:rPr>
              <w:t>XXV. Spis załączników</w:t>
            </w:r>
            <w:r w:rsidR="00BE2AED">
              <w:rPr>
                <w:noProof/>
                <w:webHidden/>
              </w:rPr>
              <w:tab/>
            </w:r>
            <w:r w:rsidR="00BE2AED">
              <w:rPr>
                <w:noProof/>
                <w:webHidden/>
              </w:rPr>
              <w:fldChar w:fldCharType="begin"/>
            </w:r>
            <w:r w:rsidR="00BE2AED">
              <w:rPr>
                <w:noProof/>
                <w:webHidden/>
              </w:rPr>
              <w:instrText xml:space="preserve"> PAGEREF _Toc68867425 \h </w:instrText>
            </w:r>
            <w:r w:rsidR="00BE2AED">
              <w:rPr>
                <w:noProof/>
                <w:webHidden/>
              </w:rPr>
            </w:r>
            <w:r w:rsidR="00BE2AED">
              <w:rPr>
                <w:noProof/>
                <w:webHidden/>
              </w:rPr>
              <w:fldChar w:fldCharType="separate"/>
            </w:r>
            <w:r w:rsidR="00BE2AED">
              <w:rPr>
                <w:noProof/>
                <w:webHidden/>
              </w:rPr>
              <w:t>22</w:t>
            </w:r>
            <w:r w:rsidR="00BE2AED">
              <w:rPr>
                <w:noProof/>
                <w:webHidden/>
              </w:rPr>
              <w:fldChar w:fldCharType="end"/>
            </w:r>
          </w:hyperlink>
        </w:p>
        <w:p w14:paraId="41EBEB23" w14:textId="110E0987" w:rsidR="00EC5F86" w:rsidRDefault="00EC5F86" w:rsidP="00EC5F86">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082AB220" w:rsidR="00FE1011" w:rsidRDefault="001C2F34">
      <w:pPr>
        <w:pStyle w:val="Nagwek2"/>
      </w:pPr>
      <w:bookmarkStart w:id="1" w:name="_Toc68867399"/>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24D1D926" w:rsidR="00FE1011" w:rsidRDefault="001C2F34">
      <w:pPr>
        <w:pStyle w:val="Nagwek2"/>
        <w:spacing w:before="240" w:after="240"/>
      </w:pPr>
      <w:bookmarkStart w:id="2" w:name="_Toc68867400"/>
      <w:r>
        <w:t>II. Tryb udzielania zamówienia</w:t>
      </w:r>
      <w:bookmarkEnd w:id="2"/>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0E4F4C64" w:rsidR="00FE1011" w:rsidRDefault="001C2F34">
      <w:pPr>
        <w:pStyle w:val="Nagwek2"/>
        <w:spacing w:before="240" w:after="240"/>
      </w:pPr>
      <w:bookmarkStart w:id="3" w:name="_Toc68867401"/>
      <w:r>
        <w:t>I</w:t>
      </w:r>
      <w:r w:rsidR="008560DF">
        <w:t>II</w:t>
      </w:r>
      <w:r>
        <w:t>. Opis przedmiotu zamówienia</w:t>
      </w:r>
      <w:bookmarkEnd w:id="3"/>
    </w:p>
    <w:p w14:paraId="22C30804" w14:textId="30640E52" w:rsidR="00944389" w:rsidRPr="00944389" w:rsidRDefault="00944389" w:rsidP="00944389">
      <w:pPr>
        <w:numPr>
          <w:ilvl w:val="0"/>
          <w:numId w:val="1"/>
        </w:numPr>
        <w:spacing w:before="120" w:after="120" w:line="360" w:lineRule="auto"/>
        <w:jc w:val="both"/>
        <w:rPr>
          <w:sz w:val="20"/>
          <w:szCs w:val="20"/>
        </w:rPr>
      </w:pPr>
      <w:r w:rsidRPr="00944389">
        <w:rPr>
          <w:sz w:val="20"/>
          <w:szCs w:val="20"/>
        </w:rPr>
        <w:t xml:space="preserve">Przedmiotem zamówienia jest </w:t>
      </w:r>
      <w:r w:rsidR="00E570FE">
        <w:rPr>
          <w:sz w:val="20"/>
          <w:szCs w:val="20"/>
        </w:rPr>
        <w:t xml:space="preserve">dostawa </w:t>
      </w:r>
      <w:r w:rsidR="000C0494">
        <w:rPr>
          <w:sz w:val="20"/>
          <w:szCs w:val="20"/>
        </w:rPr>
        <w:t>płyt drogowych wielootworowych typu YOMB w 2021 roku</w:t>
      </w:r>
      <w:r w:rsidRPr="00944389">
        <w:rPr>
          <w:sz w:val="20"/>
          <w:szCs w:val="20"/>
        </w:rPr>
        <w:t>.</w:t>
      </w:r>
    </w:p>
    <w:p w14:paraId="00846781" w14:textId="77777777" w:rsidR="00B83783" w:rsidRDefault="000C0494" w:rsidP="000C0494">
      <w:pPr>
        <w:spacing w:before="120" w:after="120" w:line="360" w:lineRule="auto"/>
        <w:ind w:left="360"/>
        <w:jc w:val="both"/>
        <w:rPr>
          <w:sz w:val="20"/>
          <w:szCs w:val="20"/>
        </w:rPr>
      </w:pPr>
      <w:r w:rsidRPr="000C0494">
        <w:rPr>
          <w:sz w:val="20"/>
          <w:szCs w:val="20"/>
        </w:rPr>
        <w:t xml:space="preserve">Zakres zamówienia obejmuje dostawę nowych płyt drogowych wielootworowych typu YOMB o wymiarach 100x75x12,5 cm w ilości 12 500 sztuk  wykonanych zgodnie z normą PN-EN 1339:2005+AC:2007. Płyty winny być wykonane z betonu o klasie wytrzymałości betonu na ściskanie wg PN-EN 206, krzyżowo zbrojone stalą w strefie dolnej i górnej o grubości prętów minimum 6 mm. </w:t>
      </w:r>
    </w:p>
    <w:p w14:paraId="1AAEDB51" w14:textId="63711029" w:rsidR="000C0494" w:rsidRPr="000C0494" w:rsidRDefault="00B83783" w:rsidP="000C0494">
      <w:pPr>
        <w:spacing w:before="120" w:after="120" w:line="360" w:lineRule="auto"/>
        <w:ind w:left="360"/>
        <w:jc w:val="both"/>
        <w:rPr>
          <w:sz w:val="20"/>
          <w:szCs w:val="20"/>
        </w:rPr>
      </w:pPr>
      <w:r>
        <w:rPr>
          <w:sz w:val="20"/>
          <w:szCs w:val="20"/>
        </w:rPr>
        <w:t xml:space="preserve">1.1 </w:t>
      </w:r>
      <w:r w:rsidR="000C0494" w:rsidRPr="000C0494">
        <w:rPr>
          <w:sz w:val="20"/>
          <w:szCs w:val="20"/>
        </w:rPr>
        <w:t>Zamówienie obejmuje koszt transportu wraz z rozładunkiem do miejsc wskazanych przez Zamawiającego zlokalizowanych na terenie Gminy Przodkowo.</w:t>
      </w:r>
    </w:p>
    <w:p w14:paraId="2F5A361A" w14:textId="0ED30C25" w:rsidR="00944389" w:rsidRDefault="00B83783" w:rsidP="000C0494">
      <w:pPr>
        <w:spacing w:before="120" w:after="120" w:line="360" w:lineRule="auto"/>
        <w:ind w:left="360"/>
        <w:jc w:val="both"/>
        <w:rPr>
          <w:sz w:val="20"/>
          <w:szCs w:val="20"/>
        </w:rPr>
      </w:pPr>
      <w:r>
        <w:rPr>
          <w:sz w:val="20"/>
          <w:szCs w:val="20"/>
        </w:rPr>
        <w:lastRenderedPageBreak/>
        <w:t xml:space="preserve">1.2 </w:t>
      </w:r>
      <w:r w:rsidR="000C0494" w:rsidRPr="000C0494">
        <w:rPr>
          <w:sz w:val="20"/>
          <w:szCs w:val="20"/>
        </w:rPr>
        <w:t xml:space="preserve"> Płyty powinny być dostarczone w słupkach, ułożone jedna na drugiej warstwą jezdną do góry aby umożliwić kontrolę jakości płyt (spękania, wykwity, zagęszczenie betonu). W przypadku dostarczenia płyt w inny sposób zamawiający zastrzega sobie prawo odesłania transportu na koszt dostawcy.</w:t>
      </w:r>
    </w:p>
    <w:p w14:paraId="518597D8" w14:textId="0B81A6FD" w:rsidR="00DB6C85" w:rsidRDefault="00DB6C85" w:rsidP="000C0494">
      <w:pPr>
        <w:spacing w:before="120" w:after="120" w:line="360" w:lineRule="auto"/>
        <w:ind w:left="360"/>
        <w:jc w:val="both"/>
        <w:rPr>
          <w:sz w:val="20"/>
          <w:szCs w:val="20"/>
        </w:rPr>
      </w:pP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600A8E0A" w:rsidR="00944389" w:rsidRPr="00944389" w:rsidRDefault="00944389" w:rsidP="00CE3743">
      <w:pPr>
        <w:spacing w:before="120" w:after="120" w:line="360" w:lineRule="auto"/>
        <w:ind w:firstLine="142"/>
        <w:jc w:val="both"/>
        <w:rPr>
          <w:sz w:val="20"/>
          <w:szCs w:val="20"/>
        </w:rPr>
      </w:pPr>
      <w:r w:rsidRPr="00944389">
        <w:rPr>
          <w:sz w:val="20"/>
          <w:szCs w:val="20"/>
        </w:rPr>
        <w:t xml:space="preserve">- kod CPV: </w:t>
      </w:r>
      <w:r w:rsidR="000C0494">
        <w:rPr>
          <w:sz w:val="20"/>
          <w:lang w:val="pl-PL"/>
        </w:rPr>
        <w:t>44113000-5</w:t>
      </w:r>
    </w:p>
    <w:p w14:paraId="00000073" w14:textId="7181DCBF" w:rsidR="00FE1011" w:rsidRPr="000254E5" w:rsidRDefault="00944389" w:rsidP="00944389">
      <w:pPr>
        <w:spacing w:before="120" w:after="120" w:line="360" w:lineRule="auto"/>
        <w:ind w:hanging="284"/>
        <w:jc w:val="both"/>
        <w:rPr>
          <w:sz w:val="20"/>
          <w:szCs w:val="20"/>
        </w:rPr>
      </w:pPr>
      <w:r>
        <w:rPr>
          <w:sz w:val="20"/>
          <w:szCs w:val="20"/>
        </w:rPr>
        <w:t xml:space="preserve">3  . </w:t>
      </w:r>
      <w:r w:rsidR="000C0494">
        <w:rPr>
          <w:sz w:val="20"/>
          <w:szCs w:val="20"/>
        </w:rPr>
        <w:t xml:space="preserve">   </w:t>
      </w:r>
      <w:r w:rsidR="001C2F34" w:rsidRPr="000254E5">
        <w:rPr>
          <w:sz w:val="20"/>
          <w:szCs w:val="20"/>
        </w:rPr>
        <w:t xml:space="preserve">Zamawiający </w:t>
      </w:r>
      <w:r w:rsidR="000C0494">
        <w:rPr>
          <w:sz w:val="20"/>
          <w:szCs w:val="20"/>
        </w:rPr>
        <w:t xml:space="preserve">nie </w:t>
      </w:r>
      <w:r w:rsidR="001C2F34" w:rsidRPr="000254E5">
        <w:rPr>
          <w:sz w:val="20"/>
          <w:szCs w:val="20"/>
        </w:rPr>
        <w:t>dopuszcza składani</w:t>
      </w:r>
      <w:r w:rsidR="000C0494">
        <w:rPr>
          <w:sz w:val="20"/>
          <w:szCs w:val="20"/>
        </w:rPr>
        <w:t>a</w:t>
      </w:r>
      <w:r w:rsidR="001C2F34" w:rsidRPr="000254E5">
        <w:rPr>
          <w:sz w:val="20"/>
          <w:szCs w:val="20"/>
        </w:rPr>
        <w:t xml:space="preserve">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6DCFC23C" w:rsidR="00FE1011" w:rsidRDefault="008560DF">
      <w:pPr>
        <w:pStyle w:val="Nagwek2"/>
      </w:pPr>
      <w:bookmarkStart w:id="4" w:name="_Toc68867402"/>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79BBF896" w:rsidR="00FE1011" w:rsidRDefault="001C2F34">
      <w:pPr>
        <w:pStyle w:val="Nagwek2"/>
      </w:pPr>
      <w:bookmarkStart w:id="5" w:name="_Toc68867403"/>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23F5A957" w:rsidR="00FE1011" w:rsidRDefault="001C2F34">
      <w:pPr>
        <w:pStyle w:val="Nagwek2"/>
      </w:pPr>
      <w:bookmarkStart w:id="6" w:name="_Toc68867404"/>
      <w:r>
        <w:t>VI. Termin wykonania zamówienia</w:t>
      </w:r>
      <w:bookmarkEnd w:id="6"/>
    </w:p>
    <w:p w14:paraId="0000007F" w14:textId="2E84831C" w:rsidR="00FE1011" w:rsidRDefault="001C2F34" w:rsidP="004411F8">
      <w:pPr>
        <w:numPr>
          <w:ilvl w:val="0"/>
          <w:numId w:val="14"/>
        </w:numPr>
        <w:spacing w:line="360" w:lineRule="auto"/>
        <w:ind w:left="425" w:hanging="357"/>
        <w:jc w:val="both"/>
        <w:rPr>
          <w:sz w:val="20"/>
          <w:szCs w:val="20"/>
        </w:rPr>
      </w:pPr>
      <w:r>
        <w:rPr>
          <w:sz w:val="20"/>
          <w:szCs w:val="20"/>
        </w:rPr>
        <w:t>Termin realizacji zamówienia wynosi</w:t>
      </w:r>
      <w:r w:rsidR="007417A0">
        <w:rPr>
          <w:sz w:val="20"/>
          <w:szCs w:val="20"/>
        </w:rPr>
        <w:t>:</w:t>
      </w:r>
    </w:p>
    <w:p w14:paraId="543C7BAE" w14:textId="060415F1" w:rsidR="00813663" w:rsidRPr="00813663" w:rsidRDefault="00813663" w:rsidP="00813663">
      <w:pPr>
        <w:spacing w:line="360" w:lineRule="auto"/>
        <w:ind w:left="425"/>
        <w:jc w:val="both"/>
        <w:rPr>
          <w:sz w:val="20"/>
          <w:szCs w:val="20"/>
        </w:rPr>
      </w:pPr>
      <w:r w:rsidRPr="00813663">
        <w:rPr>
          <w:sz w:val="20"/>
          <w:szCs w:val="20"/>
        </w:rPr>
        <w:t xml:space="preserve">I etap – </w:t>
      </w:r>
      <w:r>
        <w:rPr>
          <w:sz w:val="20"/>
          <w:szCs w:val="20"/>
        </w:rPr>
        <w:t>30 dni od dnia podpisania umowy –</w:t>
      </w:r>
      <w:r w:rsidRPr="00813663">
        <w:rPr>
          <w:sz w:val="20"/>
          <w:szCs w:val="20"/>
        </w:rPr>
        <w:t xml:space="preserve"> 6</w:t>
      </w:r>
      <w:r>
        <w:rPr>
          <w:sz w:val="20"/>
          <w:szCs w:val="20"/>
        </w:rPr>
        <w:t xml:space="preserve"> </w:t>
      </w:r>
      <w:r w:rsidRPr="00813663">
        <w:rPr>
          <w:sz w:val="20"/>
          <w:szCs w:val="20"/>
        </w:rPr>
        <w:t>000 sztuk</w:t>
      </w:r>
    </w:p>
    <w:p w14:paraId="2CA69035" w14:textId="007E11D9" w:rsidR="00813663" w:rsidRDefault="00813663" w:rsidP="00813663">
      <w:pPr>
        <w:spacing w:line="360" w:lineRule="auto"/>
        <w:ind w:left="425"/>
        <w:jc w:val="both"/>
        <w:rPr>
          <w:sz w:val="20"/>
          <w:szCs w:val="20"/>
        </w:rPr>
      </w:pPr>
      <w:r w:rsidRPr="00813663">
        <w:rPr>
          <w:sz w:val="20"/>
          <w:szCs w:val="20"/>
        </w:rPr>
        <w:t>I</w:t>
      </w:r>
      <w:r>
        <w:rPr>
          <w:sz w:val="20"/>
          <w:szCs w:val="20"/>
        </w:rPr>
        <w:t>I</w:t>
      </w:r>
      <w:r w:rsidRPr="00813663">
        <w:rPr>
          <w:sz w:val="20"/>
          <w:szCs w:val="20"/>
        </w:rPr>
        <w:t xml:space="preserve"> etap – </w:t>
      </w:r>
      <w:r>
        <w:rPr>
          <w:sz w:val="20"/>
          <w:szCs w:val="20"/>
        </w:rPr>
        <w:t>6</w:t>
      </w:r>
      <w:r w:rsidRPr="00813663">
        <w:rPr>
          <w:sz w:val="20"/>
          <w:szCs w:val="20"/>
        </w:rPr>
        <w:t>0 dni od dnia podpisania umowy  – 6 500 sztuk</w:t>
      </w:r>
    </w:p>
    <w:p w14:paraId="00000081" w14:textId="14F2B513" w:rsidR="00FE1011" w:rsidRDefault="001C2F34">
      <w:pPr>
        <w:pStyle w:val="Nagwek2"/>
        <w:tabs>
          <w:tab w:val="left" w:pos="0"/>
        </w:tabs>
      </w:pPr>
      <w:bookmarkStart w:id="7" w:name="_Toc68867405"/>
      <w:r>
        <w:t>VII. Warunki udziału w postępowaniu</w:t>
      </w:r>
      <w:bookmarkEnd w:id="7"/>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8"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8"/>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lastRenderedPageBreak/>
        <w:t>uprawnień do prowadzenia określonej działalności gospodarczej lub zawodowej, o ile wynika to z odrębnych przepisów:</w:t>
      </w:r>
    </w:p>
    <w:p w14:paraId="6A3143F5" w14:textId="574AF0C4" w:rsidR="008058B8" w:rsidRPr="008058B8" w:rsidRDefault="00CE3743" w:rsidP="00B83783">
      <w:pPr>
        <w:spacing w:line="360" w:lineRule="auto"/>
        <w:ind w:right="20" w:firstLine="709"/>
        <w:jc w:val="both"/>
        <w:rPr>
          <w:sz w:val="20"/>
          <w:szCs w:val="20"/>
        </w:rPr>
      </w:pPr>
      <w:bookmarkStart w:id="9" w:name="_Hlk67906562"/>
      <w:r>
        <w:rPr>
          <w:sz w:val="20"/>
          <w:szCs w:val="20"/>
        </w:rPr>
        <w:t xml:space="preserve">Zamawiający nie określa warunku </w:t>
      </w:r>
      <w:r w:rsidR="00F10E7D">
        <w:rPr>
          <w:sz w:val="20"/>
          <w:szCs w:val="20"/>
        </w:rPr>
        <w:t>w powyższym zakresie</w:t>
      </w:r>
      <w:bookmarkEnd w:id="9"/>
      <w:r w:rsidR="00F10E7D">
        <w:rPr>
          <w:sz w:val="20"/>
          <w:szCs w:val="20"/>
        </w:rPr>
        <w:t>.</w:t>
      </w:r>
    </w:p>
    <w:p w14:paraId="00000088" w14:textId="77777777" w:rsidR="00FE1011" w:rsidRDefault="001C2F34" w:rsidP="00B83783">
      <w:pPr>
        <w:numPr>
          <w:ilvl w:val="0"/>
          <w:numId w:val="4"/>
        </w:numPr>
        <w:tabs>
          <w:tab w:val="left" w:pos="426"/>
        </w:tabs>
        <w:spacing w:line="360" w:lineRule="auto"/>
        <w:ind w:left="709" w:right="20" w:hanging="283"/>
        <w:jc w:val="both"/>
        <w:rPr>
          <w:sz w:val="20"/>
          <w:szCs w:val="20"/>
        </w:rPr>
      </w:pPr>
      <w:r>
        <w:rPr>
          <w:b/>
          <w:sz w:val="20"/>
          <w:szCs w:val="20"/>
        </w:rPr>
        <w:t>sytuacji ekonomicznej lub finansowej:</w:t>
      </w:r>
    </w:p>
    <w:p w14:paraId="791D21EF" w14:textId="7D58E9D9" w:rsidR="00CE3743" w:rsidRDefault="00922D3B" w:rsidP="00B83783">
      <w:pPr>
        <w:spacing w:line="360" w:lineRule="auto"/>
        <w:ind w:left="709" w:right="20"/>
        <w:jc w:val="both"/>
        <w:rPr>
          <w:sz w:val="20"/>
          <w:szCs w:val="20"/>
        </w:rPr>
      </w:pPr>
      <w:r>
        <w:rPr>
          <w:sz w:val="20"/>
          <w:szCs w:val="20"/>
        </w:rPr>
        <w:t>Zamawiający nie określa warunku w powyższym zakresie</w:t>
      </w:r>
      <w:r w:rsidR="00CE3743" w:rsidRPr="00CE3743">
        <w:rPr>
          <w:sz w:val="20"/>
          <w:szCs w:val="20"/>
        </w:rPr>
        <w:t>.</w:t>
      </w:r>
    </w:p>
    <w:p w14:paraId="0000008A" w14:textId="1C586F1C" w:rsidR="00FE1011" w:rsidRPr="00B83783" w:rsidRDefault="001C2F34" w:rsidP="00B83783">
      <w:pPr>
        <w:pStyle w:val="Akapitzlist"/>
        <w:numPr>
          <w:ilvl w:val="0"/>
          <w:numId w:val="4"/>
        </w:numPr>
        <w:spacing w:line="360" w:lineRule="auto"/>
        <w:ind w:left="709" w:right="20"/>
        <w:jc w:val="both"/>
        <w:rPr>
          <w:b/>
          <w:sz w:val="20"/>
          <w:szCs w:val="20"/>
        </w:rPr>
      </w:pPr>
      <w:r w:rsidRPr="00B83783">
        <w:rPr>
          <w:b/>
          <w:sz w:val="20"/>
          <w:szCs w:val="20"/>
        </w:rPr>
        <w:t>zdolności technicznej lub zawodowej:</w:t>
      </w:r>
    </w:p>
    <w:p w14:paraId="35586CF3" w14:textId="2A6D18A3" w:rsidR="00B83783" w:rsidRPr="00B83783" w:rsidRDefault="00B83783" w:rsidP="00B83783">
      <w:pPr>
        <w:pStyle w:val="Akapitzlist"/>
        <w:spacing w:line="360" w:lineRule="auto"/>
        <w:ind w:left="709" w:right="20"/>
        <w:jc w:val="both"/>
        <w:rPr>
          <w:sz w:val="20"/>
          <w:szCs w:val="20"/>
        </w:rPr>
      </w:pPr>
      <w:r w:rsidRPr="00B83783">
        <w:rPr>
          <w:sz w:val="20"/>
          <w:szCs w:val="20"/>
        </w:rPr>
        <w:t>Wykonawca spełni warunek, jeżeli wykaże, że;</w:t>
      </w:r>
    </w:p>
    <w:p w14:paraId="42F0C8D8" w14:textId="2A55DCB6" w:rsidR="00B83783" w:rsidRPr="00B83783" w:rsidRDefault="00B83783" w:rsidP="00B83783">
      <w:pPr>
        <w:pStyle w:val="Akapitzlist"/>
        <w:spacing w:line="360" w:lineRule="auto"/>
        <w:ind w:left="709" w:right="20"/>
        <w:jc w:val="both"/>
        <w:rPr>
          <w:sz w:val="20"/>
          <w:szCs w:val="20"/>
        </w:rPr>
      </w:pPr>
      <w:r w:rsidRPr="00B83783">
        <w:rPr>
          <w:sz w:val="20"/>
          <w:szCs w:val="20"/>
        </w:rPr>
        <w:t>wykonał w okresie ostatnich trzech lat przed upływem terminu składania ofert, a jeżeli okres prowadzenia działalności jest krótszy - w tym okresie, co najmniej 2 dostawy płyt drogowych typu YOMB w ilości 4 000 szt każda.</w:t>
      </w:r>
    </w:p>
    <w:p w14:paraId="0000008C" w14:textId="7A26B741" w:rsidR="00FE1011" w:rsidRPr="00B83783" w:rsidRDefault="001C2F34" w:rsidP="00B83783">
      <w:pPr>
        <w:pStyle w:val="Akapitzlist"/>
        <w:numPr>
          <w:ilvl w:val="0"/>
          <w:numId w:val="20"/>
        </w:numPr>
        <w:spacing w:line="360" w:lineRule="auto"/>
        <w:ind w:right="20"/>
        <w:jc w:val="both"/>
        <w:rPr>
          <w:sz w:val="20"/>
          <w:szCs w:val="20"/>
        </w:rPr>
      </w:pPr>
      <w:r w:rsidRPr="00B83783">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402A772D" w:rsidR="00FE1011" w:rsidRDefault="008560DF">
      <w:pPr>
        <w:pStyle w:val="Nagwek2"/>
      </w:pPr>
      <w:bookmarkStart w:id="10" w:name="_Toc68867406"/>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w:t>
      </w:r>
      <w:r>
        <w:rPr>
          <w:sz w:val="20"/>
          <w:szCs w:val="20"/>
        </w:rPr>
        <w:lastRenderedPageBreak/>
        <w:t>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02ECEFD6" w:rsidR="00FE1011" w:rsidRDefault="008560DF">
      <w:pPr>
        <w:pStyle w:val="Nagwek2"/>
      </w:pPr>
      <w:bookmarkStart w:id="11" w:name="_Toc68867407"/>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54F49096"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69C18B45"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w:t>
      </w:r>
      <w:r>
        <w:rPr>
          <w:sz w:val="20"/>
          <w:szCs w:val="20"/>
        </w:rPr>
        <w:lastRenderedPageBreak/>
        <w:t>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529FF71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DD78645" w14:textId="77777777" w:rsidR="00EC5F86" w:rsidRDefault="00EC5F86" w:rsidP="00EC5F86">
      <w:pPr>
        <w:pBdr>
          <w:top w:val="nil"/>
          <w:left w:val="nil"/>
          <w:bottom w:val="nil"/>
          <w:right w:val="nil"/>
          <w:between w:val="nil"/>
        </w:pBdr>
        <w:spacing w:line="360" w:lineRule="auto"/>
        <w:ind w:left="434"/>
        <w:jc w:val="both"/>
        <w:rPr>
          <w:sz w:val="20"/>
          <w:szCs w:val="20"/>
        </w:rPr>
      </w:pPr>
    </w:p>
    <w:p w14:paraId="69876E95" w14:textId="34074B9A" w:rsidR="003237FD" w:rsidRPr="00EC5F86" w:rsidRDefault="003237FD" w:rsidP="00EC5F86">
      <w:pPr>
        <w:pStyle w:val="Nagwek2"/>
      </w:pPr>
      <w:bookmarkStart w:id="12" w:name="_Toc68867408"/>
      <w:r w:rsidRPr="00EC5F86">
        <w:t>X. Przedmiotowe środki dowodowe</w:t>
      </w:r>
      <w:bookmarkEnd w:id="12"/>
    </w:p>
    <w:p w14:paraId="241A241C" w14:textId="55FC8CB1" w:rsidR="00EC5F86" w:rsidRPr="00EC5F86" w:rsidRDefault="00EC5F86" w:rsidP="00941A87">
      <w:pPr>
        <w:spacing w:line="360" w:lineRule="auto"/>
        <w:ind w:left="284"/>
        <w:rPr>
          <w:sz w:val="20"/>
          <w:szCs w:val="20"/>
        </w:rPr>
      </w:pPr>
      <w:r>
        <w:rPr>
          <w:sz w:val="20"/>
          <w:szCs w:val="20"/>
        </w:rPr>
        <w:t xml:space="preserve">     </w:t>
      </w:r>
    </w:p>
    <w:p w14:paraId="3E56BF72" w14:textId="3AEA17E8" w:rsidR="00EC5F86" w:rsidRPr="00E16A3A" w:rsidRDefault="00EC5F86" w:rsidP="00941A87">
      <w:pPr>
        <w:spacing w:line="360" w:lineRule="auto"/>
        <w:ind w:left="426"/>
        <w:rPr>
          <w:b/>
          <w:bCs/>
          <w:color w:val="FF0000"/>
          <w:sz w:val="20"/>
          <w:szCs w:val="20"/>
        </w:rPr>
      </w:pPr>
      <w:r w:rsidRPr="00E16A3A">
        <w:rPr>
          <w:color w:val="FF0000"/>
          <w:sz w:val="20"/>
          <w:szCs w:val="20"/>
        </w:rPr>
        <w:t>Zamawiający  celu potwierdzenia</w:t>
      </w:r>
      <w:r w:rsidR="00941A87" w:rsidRPr="00E16A3A">
        <w:rPr>
          <w:color w:val="FF0000"/>
          <w:sz w:val="20"/>
          <w:szCs w:val="20"/>
        </w:rPr>
        <w:t>,</w:t>
      </w:r>
      <w:r w:rsidRPr="00E16A3A">
        <w:rPr>
          <w:color w:val="FF0000"/>
          <w:sz w:val="20"/>
          <w:szCs w:val="20"/>
        </w:rPr>
        <w:t xml:space="preserve"> </w:t>
      </w:r>
      <w:r w:rsidR="00941A87" w:rsidRPr="00E16A3A">
        <w:rPr>
          <w:color w:val="FF0000"/>
          <w:sz w:val="20"/>
          <w:szCs w:val="20"/>
        </w:rPr>
        <w:t xml:space="preserve">że oferowane dostawy odpowiadają wymaganiom określonym    Rozdziale III </w:t>
      </w:r>
      <w:r w:rsidRPr="00E16A3A">
        <w:rPr>
          <w:color w:val="FF0000"/>
          <w:sz w:val="20"/>
          <w:szCs w:val="20"/>
        </w:rPr>
        <w:t xml:space="preserve">SWZ </w:t>
      </w:r>
      <w:r w:rsidR="00833A2B">
        <w:rPr>
          <w:color w:val="FF0000"/>
          <w:sz w:val="20"/>
          <w:szCs w:val="20"/>
        </w:rPr>
        <w:t xml:space="preserve">pkt 1 </w:t>
      </w:r>
      <w:r w:rsidRPr="00E16A3A">
        <w:rPr>
          <w:color w:val="FF0000"/>
          <w:sz w:val="20"/>
          <w:szCs w:val="20"/>
        </w:rPr>
        <w:t xml:space="preserve">wymaga, </w:t>
      </w:r>
      <w:r w:rsidRPr="00E16A3A">
        <w:rPr>
          <w:b/>
          <w:bCs/>
          <w:color w:val="FF0000"/>
          <w:sz w:val="20"/>
          <w:szCs w:val="20"/>
        </w:rPr>
        <w:t>pod rygorem odrzucenia oferty, złożenia przez Wykonawcę wraz z ofertą</w:t>
      </w:r>
      <w:r w:rsidR="00941A87" w:rsidRPr="00E16A3A">
        <w:rPr>
          <w:b/>
          <w:bCs/>
          <w:color w:val="FF0000"/>
          <w:sz w:val="20"/>
          <w:szCs w:val="20"/>
        </w:rPr>
        <w:t xml:space="preserve">: </w:t>
      </w:r>
      <w:r w:rsidRPr="00E16A3A">
        <w:rPr>
          <w:b/>
          <w:bCs/>
          <w:color w:val="FF0000"/>
          <w:sz w:val="20"/>
          <w:szCs w:val="20"/>
        </w:rPr>
        <w:t xml:space="preserve"> </w:t>
      </w:r>
    </w:p>
    <w:p w14:paraId="79492D11" w14:textId="49E80872" w:rsidR="00EC5F86" w:rsidRPr="00E16A3A" w:rsidRDefault="00941A87" w:rsidP="00941A87">
      <w:pPr>
        <w:spacing w:line="360" w:lineRule="auto"/>
        <w:rPr>
          <w:color w:val="FF0000"/>
          <w:sz w:val="20"/>
          <w:szCs w:val="20"/>
        </w:rPr>
      </w:pPr>
      <w:r w:rsidRPr="00E16A3A">
        <w:rPr>
          <w:color w:val="FF0000"/>
          <w:sz w:val="20"/>
          <w:szCs w:val="20"/>
        </w:rPr>
        <w:t xml:space="preserve">       </w:t>
      </w:r>
      <w:r w:rsidR="00EC5F86" w:rsidRPr="00E16A3A">
        <w:rPr>
          <w:color w:val="FF0000"/>
          <w:sz w:val="20"/>
          <w:szCs w:val="20"/>
        </w:rPr>
        <w:t>a) dokument potwierdzający spełnienie wymagań technicznych opisanych w pkt.</w:t>
      </w:r>
      <w:r w:rsidRPr="00E16A3A">
        <w:rPr>
          <w:color w:val="FF0000"/>
          <w:sz w:val="20"/>
          <w:szCs w:val="20"/>
        </w:rPr>
        <w:t xml:space="preserve">III.1 </w:t>
      </w:r>
    </w:p>
    <w:p w14:paraId="629E0FA8" w14:textId="499968C7" w:rsidR="00EC5F86" w:rsidRPr="00E16A3A" w:rsidRDefault="00941A87" w:rsidP="00941A87">
      <w:pPr>
        <w:spacing w:line="360" w:lineRule="auto"/>
        <w:rPr>
          <w:color w:val="FF0000"/>
          <w:sz w:val="20"/>
          <w:szCs w:val="20"/>
        </w:rPr>
      </w:pPr>
      <w:r w:rsidRPr="00E16A3A">
        <w:rPr>
          <w:color w:val="FF0000"/>
          <w:sz w:val="20"/>
          <w:szCs w:val="20"/>
        </w:rPr>
        <w:t xml:space="preserve">       </w:t>
      </w:r>
      <w:r w:rsidR="00EC5F86" w:rsidRPr="00E16A3A">
        <w:rPr>
          <w:color w:val="FF0000"/>
          <w:sz w:val="20"/>
          <w:szCs w:val="20"/>
        </w:rPr>
        <w:t xml:space="preserve">  niniejszego SWZ:</w:t>
      </w:r>
    </w:p>
    <w:p w14:paraId="70596BCA" w14:textId="318911EE" w:rsidR="00EC5F86" w:rsidRPr="00E16A3A" w:rsidRDefault="00EC5F86" w:rsidP="00EC5F86">
      <w:pPr>
        <w:rPr>
          <w:color w:val="FF0000"/>
          <w:sz w:val="20"/>
          <w:szCs w:val="20"/>
        </w:rPr>
      </w:pPr>
    </w:p>
    <w:p w14:paraId="7281A083" w14:textId="77777777" w:rsidR="00EC5F86" w:rsidRDefault="00EC5F86" w:rsidP="00EC5F86">
      <w:pPr>
        <w:rPr>
          <w:sz w:val="20"/>
          <w:szCs w:val="20"/>
        </w:rPr>
      </w:pPr>
    </w:p>
    <w:p w14:paraId="000000A3" w14:textId="08EDA319" w:rsidR="00FE1011" w:rsidRDefault="001C2F34">
      <w:pPr>
        <w:pStyle w:val="Nagwek2"/>
      </w:pPr>
      <w:bookmarkStart w:id="13" w:name="_Toc68867409"/>
      <w:r>
        <w:t>X</w:t>
      </w:r>
      <w:r w:rsidR="00EC5F86">
        <w:t>I</w:t>
      </w:r>
      <w:r>
        <w:t>. Poleganie na zasobach innych podmiotów</w:t>
      </w:r>
      <w:bookmarkEnd w:id="13"/>
    </w:p>
    <w:p w14:paraId="1F96B746" w14:textId="77777777" w:rsidR="00EC5F86" w:rsidRPr="00EC5F86" w:rsidRDefault="00EC5F86" w:rsidP="00EC5F86"/>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4BF2CBA7" w:rsidR="00FE1011" w:rsidRDefault="001C2F34">
      <w:pPr>
        <w:pStyle w:val="Nagwek2"/>
      </w:pPr>
      <w:bookmarkStart w:id="14" w:name="_Toc68867410"/>
      <w:r>
        <w:t>XI. Informacja dla Wykonawców wspólnie ubiegających się o udzielenie zamówienia</w:t>
      </w:r>
      <w:bookmarkEnd w:id="14"/>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4E42935A" w:rsidR="00FE1011" w:rsidRDefault="001C2F34">
      <w:pPr>
        <w:pStyle w:val="Nagwek2"/>
        <w:spacing w:before="240" w:after="240"/>
      </w:pPr>
      <w:bookmarkStart w:id="15" w:name="_Toc68867411"/>
      <w:r>
        <w:t>XII. Informacje o sposobie porozumiewania się zamawiającego z Wykonawcami oraz przekazywania oświadczeń lub dokumentów</w:t>
      </w:r>
      <w:bookmarkEnd w:id="15"/>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lastRenderedPageBreak/>
        <w:t xml:space="preserve">Postępowanie prowadzone jest w języku polskim w formie elektronicznej za pośrednictwem </w:t>
      </w:r>
      <w:bookmarkStart w:id="16"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6"/>
      <w:r>
        <w:rPr>
          <w:sz w:val="20"/>
          <w:szCs w:val="20"/>
        </w:rPr>
        <w:t xml:space="preserve"> pod adresem</w:t>
      </w:r>
      <w:r w:rsidR="0095173D">
        <w:rPr>
          <w:sz w:val="20"/>
          <w:szCs w:val="20"/>
        </w:rPr>
        <w:t xml:space="preserve"> </w:t>
      </w:r>
      <w:bookmarkStart w:id="17" w:name="_Hlk67384479"/>
      <w:r w:rsidR="0095173D">
        <w:rPr>
          <w:sz w:val="20"/>
          <w:szCs w:val="20"/>
        </w:rPr>
        <w:fldChar w:fldCharType="begin"/>
      </w:r>
      <w:r w:rsidR="00922D3B">
        <w:rPr>
          <w:sz w:val="20"/>
          <w:szCs w:val="20"/>
        </w:rPr>
        <w:instrText>HYPERLINK "https://platformazakupowa.pl/pn/przodkowo"</w:instrText>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17"/>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4411F8">
      <w:pPr>
        <w:numPr>
          <w:ilvl w:val="0"/>
          <w:numId w:val="17"/>
        </w:numPr>
        <w:pBdr>
          <w:top w:val="nil"/>
          <w:left w:val="nil"/>
          <w:bottom w:val="nil"/>
          <w:right w:val="nil"/>
          <w:between w:val="nil"/>
        </w:pBdr>
        <w:spacing w:line="360" w:lineRule="auto"/>
        <w:jc w:val="both"/>
        <w:rPr>
          <w:sz w:val="20"/>
          <w:szCs w:val="20"/>
        </w:rPr>
      </w:pPr>
      <w:r w:rsidRPr="00B2482B">
        <w:rPr>
          <w:sz w:val="20"/>
          <w:szCs w:val="20"/>
        </w:rPr>
        <w:t xml:space="preserve">Zamawiający, zgodnie z § 11 ust. 2 ROZPORZĄDZENIE PREZESA RADY MINISTRÓW z dnia 30 grudnia 2020 r. w sprawie sposobu sporządzania i przekazywania informacji oraz wymagań </w:t>
      </w:r>
      <w:r w:rsidRPr="00B2482B">
        <w:rPr>
          <w:sz w:val="20"/>
          <w:szCs w:val="20"/>
        </w:rPr>
        <w:lastRenderedPageBreak/>
        <w:t>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3900DE77" w:rsidR="00FE1011" w:rsidRDefault="001C2F34">
      <w:pPr>
        <w:pStyle w:val="Nagwek2"/>
        <w:spacing w:before="240" w:after="240"/>
      </w:pPr>
      <w:bookmarkStart w:id="18" w:name="_Toc68867412"/>
      <w:r>
        <w:t>XI</w:t>
      </w:r>
      <w:r w:rsidR="00EE23F1">
        <w:t>II</w:t>
      </w:r>
      <w:r>
        <w:t>. Opis sposobu przygotowania ofert oraz dokumentów wymaganych przez Zamawiającego w SWZ</w:t>
      </w:r>
      <w:bookmarkEnd w:id="18"/>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lastRenderedPageBreak/>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9" w:name="_21eeoojwb3nb" w:colFirst="0" w:colLast="0"/>
      <w:bookmarkStart w:id="20" w:name="_Toc67316341"/>
      <w:bookmarkStart w:id="21" w:name="_Toc67317398"/>
      <w:bookmarkStart w:id="22" w:name="_Toc67317962"/>
      <w:bookmarkStart w:id="23" w:name="_Toc67398821"/>
      <w:bookmarkStart w:id="24" w:name="_Toc67402207"/>
      <w:bookmarkStart w:id="25" w:name="_Toc68867413"/>
      <w:bookmarkStart w:id="26" w:name="_Toc66100166"/>
      <w:bookmarkEnd w:id="19"/>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0"/>
      <w:bookmarkEnd w:id="21"/>
      <w:bookmarkEnd w:id="22"/>
      <w:bookmarkEnd w:id="23"/>
      <w:bookmarkEnd w:id="24"/>
      <w:bookmarkEnd w:id="25"/>
      <w:r>
        <w:rPr>
          <w:color w:val="000000"/>
          <w:sz w:val="20"/>
          <w:szCs w:val="20"/>
        </w:rPr>
        <w:t xml:space="preserve"> </w:t>
      </w:r>
      <w:bookmarkEnd w:id="26"/>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B23025"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lastRenderedPageBreak/>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lastRenderedPageBreak/>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B2482B">
      <w:pPr>
        <w:numPr>
          <w:ilvl w:val="0"/>
          <w:numId w:val="32"/>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428DD155" w14:textId="60FEA2B0" w:rsidR="00B2482B" w:rsidRPr="00B2482B" w:rsidRDefault="00B2482B" w:rsidP="00B2482B">
      <w:pPr>
        <w:spacing w:line="360" w:lineRule="auto"/>
        <w:ind w:left="720"/>
        <w:jc w:val="both"/>
        <w:rPr>
          <w:sz w:val="20"/>
          <w:szCs w:val="20"/>
        </w:rPr>
      </w:pPr>
      <w:r>
        <w:rPr>
          <w:sz w:val="20"/>
          <w:szCs w:val="20"/>
        </w:rPr>
        <w:t xml:space="preserve">4) </w:t>
      </w:r>
      <w:r w:rsidRPr="00B2482B">
        <w:rPr>
          <w:sz w:val="20"/>
          <w:szCs w:val="20"/>
        </w:rPr>
        <w:t>Wadium (jeżeli jest składane w formie niepieniężnej)</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68AAB172" w:rsidR="00FE1011" w:rsidRDefault="001C2F34">
      <w:pPr>
        <w:pStyle w:val="Nagwek2"/>
        <w:spacing w:before="240" w:after="240"/>
      </w:pPr>
      <w:bookmarkStart w:id="27" w:name="_Toc68867414"/>
      <w:r>
        <w:t>X</w:t>
      </w:r>
      <w:r w:rsidR="00EE23F1">
        <w:t>I</w:t>
      </w:r>
      <w:r>
        <w:t>V. Sposób obliczania ceny oferty</w:t>
      </w:r>
      <w:bookmarkEnd w:id="27"/>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0B778DCC"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1A2712">
        <w:rPr>
          <w:sz w:val="20"/>
          <w:szCs w:val="20"/>
          <w:lang w:val="pl-PL"/>
        </w:rPr>
        <w:t>szt</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lastRenderedPageBreak/>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3558091B"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7B5F65">
        <w:rPr>
          <w:sz w:val="20"/>
          <w:szCs w:val="20"/>
        </w:rPr>
        <w:t>20</w:t>
      </w:r>
      <w:r>
        <w:rPr>
          <w:sz w:val="20"/>
          <w:szCs w:val="20"/>
        </w:rPr>
        <w:t xml:space="preserve"> r. poz. </w:t>
      </w:r>
      <w:r w:rsidR="007B5F65">
        <w:rPr>
          <w:sz w:val="20"/>
          <w:szCs w:val="20"/>
        </w:rPr>
        <w:t>106</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19286CEE" w:rsidR="00FE1011" w:rsidRPr="004411F8" w:rsidRDefault="001C2F34">
      <w:pPr>
        <w:pStyle w:val="Nagwek2"/>
        <w:spacing w:before="240" w:after="240"/>
      </w:pPr>
      <w:bookmarkStart w:id="28" w:name="_Toc68867415"/>
      <w:r w:rsidRPr="004411F8">
        <w:t>XV. Wymagania dotyczące wadium</w:t>
      </w:r>
      <w:bookmarkEnd w:id="28"/>
    </w:p>
    <w:p w14:paraId="7026FE69" w14:textId="38EB6264"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r w:rsidR="001A2712">
        <w:rPr>
          <w:sz w:val="20"/>
          <w:szCs w:val="20"/>
        </w:rPr>
        <w:t xml:space="preserve"> 5.000 zł</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77777777"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6EDE07D1"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1A2712" w:rsidRPr="001A2712">
        <w:rPr>
          <w:b/>
          <w:iCs/>
          <w:sz w:val="20"/>
          <w:szCs w:val="20"/>
        </w:rPr>
        <w:t>„Dostawa płyt drogowych typu YOMB w roku 2021”</w:t>
      </w:r>
      <w:r w:rsidR="00171B74" w:rsidRPr="00171B74">
        <w:rPr>
          <w:sz w:val="20"/>
          <w:szCs w:val="20"/>
          <w:lang w:val="pl-PL"/>
        </w:rPr>
        <w:t>” znak sprawy ZP.271.</w:t>
      </w:r>
      <w:r w:rsidR="001A2712">
        <w:rPr>
          <w:sz w:val="20"/>
          <w:szCs w:val="20"/>
          <w:lang w:val="pl-PL"/>
        </w:rPr>
        <w:t>5</w:t>
      </w:r>
      <w:r w:rsidR="00171B74" w:rsidRPr="00171B74">
        <w:rPr>
          <w:sz w:val="20"/>
          <w:szCs w:val="20"/>
          <w:lang w:val="pl-PL"/>
        </w:rPr>
        <w:t>.202</w:t>
      </w:r>
      <w:r w:rsidR="00171B74">
        <w:rPr>
          <w:sz w:val="20"/>
          <w:szCs w:val="20"/>
          <w:lang w:val="pl-PL"/>
        </w:rPr>
        <w:t>1</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lastRenderedPageBreak/>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5937D8D3" w:rsidR="00FE1011" w:rsidRDefault="001C2F34">
      <w:pPr>
        <w:pStyle w:val="Nagwek2"/>
        <w:spacing w:before="240" w:after="240"/>
      </w:pPr>
      <w:bookmarkStart w:id="29" w:name="_Toc68867416"/>
      <w:r>
        <w:t>XVI. Termin związania ofertą</w:t>
      </w:r>
      <w:bookmarkEnd w:id="29"/>
    </w:p>
    <w:p w14:paraId="00000108" w14:textId="7835BFE4"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1A2712">
        <w:rPr>
          <w:color w:val="000000" w:themeColor="text1"/>
          <w:sz w:val="20"/>
          <w:szCs w:val="20"/>
        </w:rPr>
        <w:t>2</w:t>
      </w:r>
      <w:r w:rsidR="00B23025">
        <w:rPr>
          <w:color w:val="000000" w:themeColor="text1"/>
          <w:sz w:val="20"/>
          <w:szCs w:val="20"/>
        </w:rPr>
        <w:t>1</w:t>
      </w:r>
      <w:r w:rsidR="00FA275C" w:rsidRPr="00FA275C">
        <w:rPr>
          <w:color w:val="000000" w:themeColor="text1"/>
          <w:sz w:val="20"/>
          <w:szCs w:val="20"/>
        </w:rPr>
        <w:t xml:space="preserve"> maja 2021</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701801C8" w:rsidR="00FE1011" w:rsidRDefault="001C2F34">
      <w:pPr>
        <w:pStyle w:val="Nagwek2"/>
        <w:spacing w:before="240" w:after="240"/>
      </w:pPr>
      <w:bookmarkStart w:id="30" w:name="_Toc68867417"/>
      <w:r>
        <w:t>XVII. Miejsce i termin składania ofert</w:t>
      </w:r>
      <w:bookmarkEnd w:id="30"/>
    </w:p>
    <w:p w14:paraId="0000010C" w14:textId="0B8C68E2"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1A2712">
        <w:rPr>
          <w:color w:val="000000" w:themeColor="text1"/>
          <w:sz w:val="20"/>
          <w:szCs w:val="20"/>
        </w:rPr>
        <w:t>2</w:t>
      </w:r>
      <w:r w:rsidR="00B23025">
        <w:rPr>
          <w:color w:val="000000" w:themeColor="text1"/>
          <w:sz w:val="20"/>
          <w:szCs w:val="20"/>
        </w:rPr>
        <w:t>2</w:t>
      </w:r>
      <w:r w:rsidR="00FA275C" w:rsidRPr="00FA275C">
        <w:rPr>
          <w:color w:val="000000" w:themeColor="text1"/>
          <w:sz w:val="20"/>
          <w:szCs w:val="20"/>
        </w:rPr>
        <w:t xml:space="preserve"> kwietnia 2021 roku godz. 1</w:t>
      </w:r>
      <w:r w:rsidR="001A2712">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lastRenderedPageBreak/>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69DDCFF2" w:rsidR="00FE1011" w:rsidRDefault="001C2F34">
      <w:pPr>
        <w:pStyle w:val="Nagwek2"/>
        <w:spacing w:line="320" w:lineRule="auto"/>
        <w:jc w:val="both"/>
      </w:pPr>
      <w:bookmarkStart w:id="31" w:name="_Toc68867418"/>
      <w:r>
        <w:t>X</w:t>
      </w:r>
      <w:r w:rsidR="00EE23F1">
        <w:t>VII</w:t>
      </w:r>
      <w:r>
        <w:t>I. Otwarcie ofert</w:t>
      </w:r>
      <w:bookmarkEnd w:id="31"/>
    </w:p>
    <w:p w14:paraId="00000113" w14:textId="36853558"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1A2712">
        <w:rPr>
          <w:color w:val="000000" w:themeColor="text1"/>
          <w:sz w:val="20"/>
          <w:szCs w:val="20"/>
        </w:rPr>
        <w:t>2</w:t>
      </w:r>
      <w:r w:rsidR="00B23025">
        <w:rPr>
          <w:color w:val="000000" w:themeColor="text1"/>
          <w:sz w:val="20"/>
          <w:szCs w:val="20"/>
        </w:rPr>
        <w:t>2</w:t>
      </w:r>
      <w:r w:rsidR="00FA275C" w:rsidRPr="00FA275C">
        <w:rPr>
          <w:color w:val="000000" w:themeColor="text1"/>
          <w:sz w:val="20"/>
          <w:szCs w:val="20"/>
        </w:rPr>
        <w:t xml:space="preserve"> kwietnia 20</w:t>
      </w:r>
      <w:r w:rsidR="001A2712">
        <w:rPr>
          <w:color w:val="000000" w:themeColor="text1"/>
          <w:sz w:val="20"/>
          <w:szCs w:val="20"/>
        </w:rPr>
        <w:t>21</w:t>
      </w:r>
      <w:r w:rsidR="00FA275C" w:rsidRPr="00FA275C">
        <w:rPr>
          <w:color w:val="000000" w:themeColor="text1"/>
          <w:sz w:val="20"/>
          <w:szCs w:val="20"/>
        </w:rPr>
        <w:t xml:space="preserve"> roku godz. 1</w:t>
      </w:r>
      <w:r w:rsidR="001A2712">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lastRenderedPageBreak/>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A6F478D" w:rsidR="00FE1011" w:rsidRDefault="001C2F34">
      <w:pPr>
        <w:pStyle w:val="Nagwek2"/>
        <w:spacing w:line="320" w:lineRule="auto"/>
        <w:jc w:val="both"/>
      </w:pPr>
      <w:bookmarkStart w:id="32" w:name="_Toc68867419"/>
      <w:r>
        <w:t>X</w:t>
      </w:r>
      <w:r w:rsidR="00EE23F1">
        <w:t>I</w:t>
      </w:r>
      <w:r>
        <w:t>X. Opis kryteriów oceny ofert wraz z podaniem wag tych kryteriów i sposobu oceny ofert</w:t>
      </w:r>
      <w:bookmarkEnd w:id="32"/>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075E52EC" w:rsidR="00FE1011" w:rsidRDefault="00002C1E" w:rsidP="004411F8">
      <w:pPr>
        <w:numPr>
          <w:ilvl w:val="0"/>
          <w:numId w:val="23"/>
        </w:numPr>
        <w:spacing w:line="360" w:lineRule="auto"/>
        <w:ind w:left="924" w:hanging="476"/>
        <w:rPr>
          <w:sz w:val="20"/>
          <w:szCs w:val="20"/>
        </w:rPr>
      </w:pPr>
      <w:r>
        <w:rPr>
          <w:b/>
          <w:bCs/>
          <w:sz w:val="20"/>
          <w:szCs w:val="20"/>
        </w:rPr>
        <w:t>Okres gwarancji (OG)</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3"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3"/>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51FC4215" w14:textId="3A611EAA" w:rsidR="001A2712" w:rsidRPr="001A2712" w:rsidRDefault="001A2712" w:rsidP="00002C1E">
      <w:pPr>
        <w:spacing w:line="360" w:lineRule="auto"/>
        <w:ind w:firstLine="426"/>
        <w:jc w:val="both"/>
        <w:rPr>
          <w:rFonts w:eastAsia="Times New Roman"/>
          <w:b/>
          <w:sz w:val="20"/>
          <w:szCs w:val="20"/>
          <w:lang w:val="pl-PL"/>
        </w:rPr>
      </w:pPr>
      <w:r>
        <w:rPr>
          <w:rFonts w:eastAsia="Times New Roman"/>
          <w:b/>
          <w:sz w:val="20"/>
          <w:szCs w:val="20"/>
          <w:lang w:val="pl-PL"/>
        </w:rPr>
        <w:t>2)</w:t>
      </w:r>
      <w:r w:rsidRPr="001A2712">
        <w:rPr>
          <w:rFonts w:eastAsia="Times New Roman"/>
          <w:b/>
          <w:sz w:val="20"/>
          <w:szCs w:val="20"/>
          <w:lang w:val="pl-PL"/>
        </w:rPr>
        <w:tab/>
        <w:t>Kryterium „Okres gwarancji” w miesiącach:</w:t>
      </w:r>
    </w:p>
    <w:p w14:paraId="557FFF29" w14:textId="25920C85" w:rsidR="001A2712" w:rsidRPr="00002C1E" w:rsidRDefault="001A2712" w:rsidP="001A2712">
      <w:pPr>
        <w:spacing w:line="360" w:lineRule="auto"/>
        <w:jc w:val="both"/>
        <w:rPr>
          <w:rFonts w:eastAsia="Times New Roman"/>
          <w:b/>
          <w:sz w:val="20"/>
          <w:szCs w:val="20"/>
          <w:lang w:val="pl-PL"/>
        </w:rPr>
      </w:pPr>
      <w:r w:rsidRPr="00002C1E">
        <w:rPr>
          <w:rFonts w:eastAsia="Times New Roman"/>
          <w:bCs/>
          <w:sz w:val="20"/>
          <w:szCs w:val="20"/>
          <w:lang w:val="pl-PL"/>
        </w:rPr>
        <w:t xml:space="preserve">            </w:t>
      </w:r>
      <w:r w:rsidR="00002C1E" w:rsidRPr="00002C1E">
        <w:rPr>
          <w:rFonts w:eastAsia="Times New Roman"/>
          <w:bCs/>
          <w:sz w:val="20"/>
          <w:szCs w:val="20"/>
          <w:lang w:val="pl-PL"/>
        </w:rPr>
        <w:t xml:space="preserve">  a</w:t>
      </w:r>
      <w:r w:rsidR="00002C1E" w:rsidRPr="00002C1E">
        <w:rPr>
          <w:rFonts w:eastAsia="Times New Roman"/>
          <w:b/>
          <w:sz w:val="20"/>
          <w:szCs w:val="20"/>
          <w:lang w:val="pl-PL"/>
        </w:rPr>
        <w:t xml:space="preserve">) </w:t>
      </w:r>
      <w:r w:rsidRPr="00002C1E">
        <w:rPr>
          <w:rFonts w:eastAsia="Times New Roman"/>
          <w:b/>
          <w:sz w:val="20"/>
          <w:szCs w:val="20"/>
          <w:lang w:val="pl-PL"/>
        </w:rPr>
        <w:t>znaczenie kryterium - 40% (40 pkt);</w:t>
      </w:r>
    </w:p>
    <w:p w14:paraId="2A6CB870"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 xml:space="preserve">b) opis sposobu oceny ofert dla kryterium „Okres gwarancji”: </w:t>
      </w:r>
    </w:p>
    <w:p w14:paraId="27EC73C9"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 xml:space="preserve">LOG = (OG / OGmax) x 40 pkt </w:t>
      </w:r>
    </w:p>
    <w:p w14:paraId="3522AA5B"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gdzie:</w:t>
      </w:r>
    </w:p>
    <w:p w14:paraId="0DEE31B7"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LOG - liczba uzyskanych punktów dla kryterium „Okres gwarancji” ocenianej oferty</w:t>
      </w:r>
    </w:p>
    <w:p w14:paraId="05F5E5FE"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 xml:space="preserve">OG - okres gwarancji w ofercie ocenianej </w:t>
      </w:r>
    </w:p>
    <w:p w14:paraId="4584F0B4" w14:textId="489FDD62"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OG</w:t>
      </w:r>
      <w:r w:rsidR="00002C1E">
        <w:rPr>
          <w:rFonts w:eastAsia="Times New Roman"/>
          <w:bCs/>
          <w:sz w:val="20"/>
          <w:szCs w:val="20"/>
          <w:lang w:val="pl-PL"/>
        </w:rPr>
        <w:t xml:space="preserve"> </w:t>
      </w:r>
      <w:r w:rsidRPr="00002C1E">
        <w:rPr>
          <w:rFonts w:eastAsia="Times New Roman"/>
          <w:bCs/>
          <w:sz w:val="20"/>
          <w:szCs w:val="20"/>
          <w:lang w:val="pl-PL"/>
        </w:rPr>
        <w:t>max - okres gwarancji w ofercie z najdłuższym okresem gwarancji</w:t>
      </w:r>
    </w:p>
    <w:p w14:paraId="18130268" w14:textId="77777777" w:rsidR="001A2712" w:rsidRPr="00002C1E" w:rsidRDefault="001A2712" w:rsidP="00002C1E">
      <w:pPr>
        <w:spacing w:line="360" w:lineRule="auto"/>
        <w:jc w:val="both"/>
        <w:rPr>
          <w:rFonts w:eastAsia="Times New Roman"/>
          <w:bCs/>
          <w:sz w:val="20"/>
          <w:szCs w:val="20"/>
          <w:lang w:val="pl-PL"/>
        </w:rPr>
      </w:pPr>
    </w:p>
    <w:p w14:paraId="2C502188"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Wykonawca podaje okres gwarancji w liczbach całkowitych.</w:t>
      </w:r>
    </w:p>
    <w:p w14:paraId="19231867" w14:textId="77777777" w:rsidR="001A2712" w:rsidRP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lastRenderedPageBreak/>
        <w:t>Okres gwarancji nie może być krótszy niż 36 miesięcy i dłuższy niż 72 miesiące. W przypadku podania przez wykonawcę okresu gwarancji krótszego niż 36 miesięcy zamawiający uzna ofertę jako nie zgodną z SIWZ. W przypadku nie wpisania przez Wykonawcę okresu gwarancji w formularzu ofertowym, zamawiający przyjmie do oceny minimalny okres gwarancji tj. 36 miesięcy.</w:t>
      </w:r>
    </w:p>
    <w:p w14:paraId="366ED1C1" w14:textId="77777777" w:rsidR="00002C1E" w:rsidRDefault="001A2712" w:rsidP="00002C1E">
      <w:pPr>
        <w:spacing w:line="360" w:lineRule="auto"/>
        <w:ind w:left="851"/>
        <w:jc w:val="both"/>
        <w:rPr>
          <w:rFonts w:eastAsia="Times New Roman"/>
          <w:bCs/>
          <w:sz w:val="20"/>
          <w:szCs w:val="20"/>
          <w:lang w:val="pl-PL"/>
        </w:rPr>
      </w:pPr>
      <w:r w:rsidRPr="00002C1E">
        <w:rPr>
          <w:rFonts w:eastAsia="Times New Roman"/>
          <w:bCs/>
          <w:sz w:val="20"/>
          <w:szCs w:val="20"/>
          <w:lang w:val="pl-PL"/>
        </w:rPr>
        <w:t>W przypadku podania przez wykonawcę okresu gwarancji dłuższego niż 72 miesiące, do oceny ofert zostanie przyjęta punktacja maksymalnej wysokości 40 pkt.</w:t>
      </w:r>
    </w:p>
    <w:p w14:paraId="0000012B" w14:textId="0D3E9F38" w:rsidR="00FE1011" w:rsidRPr="00002C1E" w:rsidRDefault="001C2F34" w:rsidP="00002C1E">
      <w:pPr>
        <w:spacing w:line="360" w:lineRule="auto"/>
        <w:ind w:left="851"/>
        <w:jc w:val="both"/>
        <w:rPr>
          <w:bCs/>
          <w:sz w:val="20"/>
          <w:szCs w:val="20"/>
        </w:rPr>
      </w:pPr>
      <w:r w:rsidRPr="00002C1E">
        <w:rPr>
          <w:bCs/>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358FE383" w:rsidR="00FE1011" w:rsidRDefault="001C2F34">
      <w:pPr>
        <w:pStyle w:val="Nagwek2"/>
        <w:spacing w:line="320" w:lineRule="auto"/>
        <w:jc w:val="both"/>
      </w:pPr>
      <w:bookmarkStart w:id="34" w:name="_Toc68867420"/>
      <w:r>
        <w:t>XX. Informacje o formalnościach, jakie powinny być dopełnione po wyborze oferty w celu zawarcia umowy</w:t>
      </w:r>
      <w:bookmarkEnd w:id="34"/>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1B15D073" w:rsidR="00FE1011" w:rsidRDefault="001C2F34">
      <w:pPr>
        <w:pStyle w:val="Nagwek2"/>
        <w:spacing w:line="320" w:lineRule="auto"/>
        <w:jc w:val="both"/>
      </w:pPr>
      <w:bookmarkStart w:id="35" w:name="_Toc68867421"/>
      <w:r>
        <w:t>XXI. Wymagania dotyczące zabezpieczenia należytego wykonania umowy</w:t>
      </w:r>
      <w:bookmarkEnd w:id="35"/>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4E9F2D67" w:rsidR="00FE1011" w:rsidRDefault="001C2F34">
      <w:pPr>
        <w:pStyle w:val="Nagwek2"/>
        <w:spacing w:line="320" w:lineRule="auto"/>
        <w:jc w:val="both"/>
      </w:pPr>
      <w:bookmarkStart w:id="36" w:name="_Toc68867422"/>
      <w:r>
        <w:lastRenderedPageBreak/>
        <w:t>XXII. Informacje o treści zawieranej umowy oraz możliwości jej zmiany</w:t>
      </w:r>
      <w:bookmarkEnd w:id="36"/>
      <w:r>
        <w:t xml:space="preserve"> </w:t>
      </w:r>
    </w:p>
    <w:p w14:paraId="00000137" w14:textId="0E8E8EDC"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21F68CBC" w:rsidR="00FE1011" w:rsidRDefault="001C2F34">
      <w:pPr>
        <w:pStyle w:val="Nagwek2"/>
        <w:spacing w:line="320" w:lineRule="auto"/>
        <w:jc w:val="both"/>
      </w:pPr>
      <w:bookmarkStart w:id="37" w:name="_Toc68867423"/>
      <w:r>
        <w:t>X</w:t>
      </w:r>
      <w:r w:rsidR="00EE23F1">
        <w:t>XI</w:t>
      </w:r>
      <w:r w:rsidR="00F34900">
        <w:t>II</w:t>
      </w:r>
      <w:r>
        <w:t>. Pouczenie o środkach ochrony prawnej przysługujących Wykonawcy</w:t>
      </w:r>
      <w:bookmarkEnd w:id="37"/>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8" w:name="_Toc64379472"/>
      <w:bookmarkStart w:id="39" w:name="_Toc68867424"/>
      <w:bookmarkStart w:id="40" w:name="_Hlk64379021"/>
      <w:r w:rsidRPr="00EE23F1">
        <w:rPr>
          <w:sz w:val="32"/>
          <w:szCs w:val="32"/>
        </w:rPr>
        <w:t>XX</w:t>
      </w:r>
      <w:r w:rsidR="00AC2489">
        <w:rPr>
          <w:sz w:val="32"/>
          <w:szCs w:val="32"/>
        </w:rPr>
        <w:t>I</w:t>
      </w:r>
      <w:r w:rsidRPr="00EE23F1">
        <w:rPr>
          <w:sz w:val="32"/>
          <w:szCs w:val="32"/>
        </w:rPr>
        <w:t>V. Ochrona danych osobowych</w:t>
      </w:r>
      <w:bookmarkEnd w:id="38"/>
      <w:bookmarkEnd w:id="39"/>
    </w:p>
    <w:bookmarkEnd w:id="40"/>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2019 r. poz. 2019),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lastRenderedPageBreak/>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W przypadku gdy wykonanie obowiązków, o których mowa w art. 15 ust. 1-3 Rozporządzenia, wymagałoby niewspółmiernie dużego wysiłku, Administrator może żądać od osoby, której dane </w:t>
      </w:r>
      <w:r w:rsidRPr="00EE23F1">
        <w:rPr>
          <w:sz w:val="20"/>
          <w:szCs w:val="20"/>
        </w:rPr>
        <w:lastRenderedPageBreak/>
        <w:t>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1" w:name="_Toc68867425"/>
      <w:r>
        <w:t>XXV. Spis załączników</w:t>
      </w:r>
      <w:bookmarkEnd w:id="41"/>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27153311" w:rsidR="00FE1011" w:rsidRDefault="007B5F65" w:rsidP="0091041F">
      <w:pPr>
        <w:numPr>
          <w:ilvl w:val="0"/>
          <w:numId w:val="28"/>
        </w:numPr>
        <w:ind w:left="714" w:hanging="357"/>
      </w:pPr>
      <w:r>
        <w:t xml:space="preserve">Załącznik nr 2 </w:t>
      </w:r>
      <w:r w:rsidR="00B3594A">
        <w:t xml:space="preserve">do SWZ </w:t>
      </w:r>
      <w:r>
        <w:t xml:space="preserve">– </w:t>
      </w:r>
      <w:r w:rsidR="009B6C74" w:rsidRPr="009B6C74">
        <w:t>wzór umowy</w:t>
      </w:r>
    </w:p>
    <w:p w14:paraId="0000014F" w14:textId="09012663" w:rsidR="00FE1011" w:rsidRDefault="00B3594A" w:rsidP="00634965">
      <w:pPr>
        <w:pStyle w:val="Akapitzlist"/>
        <w:numPr>
          <w:ilvl w:val="0"/>
          <w:numId w:val="28"/>
        </w:numPr>
        <w:ind w:left="714" w:hanging="357"/>
      </w:pPr>
      <w:r>
        <w:t xml:space="preserve">Załącznik nr 3 do SWZ – </w:t>
      </w:r>
      <w:r w:rsidR="009B6C74" w:rsidRPr="009B6C74">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9B6C74" w:rsidRDefault="00B3594A" w:rsidP="009B6C74">
      <w:pPr>
        <w:pStyle w:val="Akapitzlist"/>
        <w:numPr>
          <w:ilvl w:val="0"/>
          <w:numId w:val="28"/>
        </w:numPr>
      </w:pPr>
      <w:bookmarkStart w:id="42" w:name="_Hlk67555526"/>
      <w:r>
        <w:t>Załącznik nr 4 do SWZ</w:t>
      </w:r>
      <w:bookmarkEnd w:id="42"/>
      <w:r>
        <w:t xml:space="preserve"> </w:t>
      </w:r>
      <w:r w:rsidR="00554497">
        <w:t>–</w:t>
      </w:r>
      <w:r>
        <w:t xml:space="preserve"> </w:t>
      </w:r>
      <w:r w:rsidR="009B6C74" w:rsidRPr="009B6C74">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3" w:name="_Hlk67570725"/>
      <w:r w:rsidR="009B6C74" w:rsidRPr="009B6C74">
        <w:t xml:space="preserve">wzór oświadczenia w zakresie wskazanym przez zamawiającego w ogłoszeniu o zamówieniu i w specyfikacji warunków zamówienia, wstępnie potwierdzającego, </w:t>
      </w:r>
      <w:r w:rsidR="009B6C74" w:rsidRPr="009B6C74">
        <w:rPr>
          <w:b/>
          <w:bCs/>
        </w:rPr>
        <w:t>że podmiot udostępniający zasoby nie podlega wykluczeniu i spełnia warunki udziału w postępowaniu</w:t>
      </w:r>
    </w:p>
    <w:bookmarkEnd w:id="43"/>
    <w:p w14:paraId="7E1A804E" w14:textId="77777777" w:rsidR="009B6C74" w:rsidRPr="009B6C74" w:rsidRDefault="00B3594A" w:rsidP="009B6C74">
      <w:pPr>
        <w:pStyle w:val="Akapitzlist"/>
        <w:numPr>
          <w:ilvl w:val="0"/>
          <w:numId w:val="28"/>
        </w:numPr>
      </w:pPr>
      <w:r>
        <w:t>Załącznik nr 6 do SWZ</w:t>
      </w:r>
      <w:r w:rsidR="001077C3">
        <w:t xml:space="preserve"> - </w:t>
      </w:r>
      <w:r w:rsidR="009B6C74" w:rsidRPr="009B6C74">
        <w:t>wzór oświadczenia o przynależności bądź braku przynależności do grupy kapitałowej</w:t>
      </w:r>
    </w:p>
    <w:p w14:paraId="049B5A55" w14:textId="65E64AFB" w:rsidR="00B3594A" w:rsidRDefault="00B3594A" w:rsidP="001077C3">
      <w:pPr>
        <w:numPr>
          <w:ilvl w:val="0"/>
          <w:numId w:val="28"/>
        </w:numPr>
        <w:ind w:left="714" w:hanging="357"/>
        <w:jc w:val="both"/>
      </w:pPr>
      <w:r w:rsidRPr="00B3594A">
        <w:t xml:space="preserve">Załącznik nr </w:t>
      </w:r>
      <w:r w:rsidR="009B6C74">
        <w:t>7</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E16A3A" w:rsidRDefault="00E16A3A">
      <w:pPr>
        <w:spacing w:line="240" w:lineRule="auto"/>
      </w:pPr>
      <w:r>
        <w:separator/>
      </w:r>
    </w:p>
  </w:endnote>
  <w:endnote w:type="continuationSeparator" w:id="0">
    <w:p w14:paraId="509E392C" w14:textId="77777777" w:rsidR="00E16A3A" w:rsidRDefault="00E16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E16A3A" w:rsidRDefault="00E16A3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E16A3A" w:rsidRDefault="00E16A3A">
      <w:pPr>
        <w:spacing w:line="240" w:lineRule="auto"/>
      </w:pPr>
      <w:r>
        <w:separator/>
      </w:r>
    </w:p>
  </w:footnote>
  <w:footnote w:type="continuationSeparator" w:id="0">
    <w:p w14:paraId="2188CE87" w14:textId="77777777" w:rsidR="00E16A3A" w:rsidRDefault="00E16A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60901516" w:rsidR="00E16A3A" w:rsidRDefault="00E16A3A">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ZP.271..2021</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E16A3A" w:rsidRPr="003053FF" w:rsidRDefault="00E16A3A"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E16A3A" w:rsidRPr="003053FF" w:rsidRDefault="00E16A3A" w:rsidP="001C2F34">
    <w:pPr>
      <w:pStyle w:val="Nagwek"/>
      <w:rPr>
        <w:b/>
        <w:color w:val="1F497D" w:themeColor="text2"/>
        <w:lang w:val="pl-PL"/>
      </w:rPr>
    </w:pPr>
    <w:r w:rsidRPr="003053FF">
      <w:rPr>
        <w:b/>
        <w:color w:val="1F497D" w:themeColor="text2"/>
        <w:lang w:val="pl-PL"/>
      </w:rPr>
      <w:t>ul. Kartuska 21</w:t>
    </w:r>
  </w:p>
  <w:p w14:paraId="4F559587" w14:textId="77777777" w:rsidR="00E16A3A" w:rsidRPr="003053FF" w:rsidRDefault="00E16A3A" w:rsidP="001C2F34">
    <w:pPr>
      <w:pStyle w:val="Nagwek"/>
      <w:rPr>
        <w:b/>
        <w:color w:val="1F497D" w:themeColor="text2"/>
        <w:lang w:val="pl-PL"/>
      </w:rPr>
    </w:pPr>
    <w:r w:rsidRPr="003053FF">
      <w:rPr>
        <w:b/>
        <w:color w:val="1F497D" w:themeColor="text2"/>
        <w:lang w:val="pl-PL"/>
      </w:rPr>
      <w:t>83-304 Przodkowo</w:t>
    </w:r>
  </w:p>
  <w:p w14:paraId="00000182" w14:textId="77777777" w:rsidR="00E16A3A" w:rsidRDefault="00E16A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6"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abstractNumId w:val="4"/>
  </w:num>
  <w:num w:numId="2">
    <w:abstractNumId w:val="36"/>
  </w:num>
  <w:num w:numId="3">
    <w:abstractNumId w:val="7"/>
  </w:num>
  <w:num w:numId="4">
    <w:abstractNumId w:val="14"/>
  </w:num>
  <w:num w:numId="5">
    <w:abstractNumId w:val="27"/>
  </w:num>
  <w:num w:numId="6">
    <w:abstractNumId w:val="23"/>
  </w:num>
  <w:num w:numId="7">
    <w:abstractNumId w:val="15"/>
  </w:num>
  <w:num w:numId="8">
    <w:abstractNumId w:val="8"/>
  </w:num>
  <w:num w:numId="9">
    <w:abstractNumId w:val="1"/>
  </w:num>
  <w:num w:numId="10">
    <w:abstractNumId w:val="22"/>
  </w:num>
  <w:num w:numId="11">
    <w:abstractNumId w:val="12"/>
  </w:num>
  <w:num w:numId="12">
    <w:abstractNumId w:val="45"/>
  </w:num>
  <w:num w:numId="13">
    <w:abstractNumId w:val="37"/>
  </w:num>
  <w:num w:numId="14">
    <w:abstractNumId w:val="0"/>
  </w:num>
  <w:num w:numId="15">
    <w:abstractNumId w:val="32"/>
  </w:num>
  <w:num w:numId="16">
    <w:abstractNumId w:val="24"/>
  </w:num>
  <w:num w:numId="17">
    <w:abstractNumId w:val="26"/>
  </w:num>
  <w:num w:numId="18">
    <w:abstractNumId w:val="41"/>
  </w:num>
  <w:num w:numId="19">
    <w:abstractNumId w:val="30"/>
  </w:num>
  <w:num w:numId="20">
    <w:abstractNumId w:val="42"/>
  </w:num>
  <w:num w:numId="21">
    <w:abstractNumId w:val="29"/>
  </w:num>
  <w:num w:numId="22">
    <w:abstractNumId w:val="44"/>
  </w:num>
  <w:num w:numId="23">
    <w:abstractNumId w:val="38"/>
  </w:num>
  <w:num w:numId="24">
    <w:abstractNumId w:val="11"/>
  </w:num>
  <w:num w:numId="25">
    <w:abstractNumId w:val="9"/>
  </w:num>
  <w:num w:numId="26">
    <w:abstractNumId w:val="10"/>
  </w:num>
  <w:num w:numId="27">
    <w:abstractNumId w:val="2"/>
  </w:num>
  <w:num w:numId="28">
    <w:abstractNumId w:val="17"/>
  </w:num>
  <w:num w:numId="29">
    <w:abstractNumId w:val="31"/>
  </w:num>
  <w:num w:numId="30">
    <w:abstractNumId w:val="16"/>
  </w:num>
  <w:num w:numId="31">
    <w:abstractNumId w:val="3"/>
  </w:num>
  <w:num w:numId="32">
    <w:abstractNumId w:val="21"/>
  </w:num>
  <w:num w:numId="33">
    <w:abstractNumId w:val="20"/>
  </w:num>
  <w:num w:numId="34">
    <w:abstractNumId w:val="6"/>
  </w:num>
  <w:num w:numId="35">
    <w:abstractNumId w:val="43"/>
  </w:num>
  <w:num w:numId="36">
    <w:abstractNumId w:val="5"/>
  </w:num>
  <w:num w:numId="37">
    <w:abstractNumId w:val="40"/>
  </w:num>
  <w:num w:numId="38">
    <w:abstractNumId w:val="34"/>
  </w:num>
  <w:num w:numId="39">
    <w:abstractNumId w:val="39"/>
  </w:num>
  <w:num w:numId="40">
    <w:abstractNumId w:val="18"/>
  </w:num>
  <w:num w:numId="41">
    <w:abstractNumId w:val="25"/>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5"/>
  </w:num>
  <w:num w:numId="45">
    <w:abstractNumId w:val="33"/>
  </w:num>
  <w:num w:numId="46">
    <w:abstractNumId w:val="13"/>
  </w:num>
  <w:num w:numId="47">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02C1E"/>
    <w:rsid w:val="000254E5"/>
    <w:rsid w:val="000473CE"/>
    <w:rsid w:val="00064F9A"/>
    <w:rsid w:val="00067636"/>
    <w:rsid w:val="000C0494"/>
    <w:rsid w:val="000C1A35"/>
    <w:rsid w:val="000D15F2"/>
    <w:rsid w:val="001077C3"/>
    <w:rsid w:val="00171B74"/>
    <w:rsid w:val="001A2712"/>
    <w:rsid w:val="001A6FCF"/>
    <w:rsid w:val="001C2F34"/>
    <w:rsid w:val="002430F4"/>
    <w:rsid w:val="002540CC"/>
    <w:rsid w:val="002E366B"/>
    <w:rsid w:val="002E59CE"/>
    <w:rsid w:val="00304C62"/>
    <w:rsid w:val="00312267"/>
    <w:rsid w:val="003237FD"/>
    <w:rsid w:val="003C4B37"/>
    <w:rsid w:val="003E2288"/>
    <w:rsid w:val="003F65F2"/>
    <w:rsid w:val="004411F8"/>
    <w:rsid w:val="00490F30"/>
    <w:rsid w:val="00494ECA"/>
    <w:rsid w:val="00496ED9"/>
    <w:rsid w:val="004B2402"/>
    <w:rsid w:val="004C6C37"/>
    <w:rsid w:val="00507C03"/>
    <w:rsid w:val="00554497"/>
    <w:rsid w:val="00560FD2"/>
    <w:rsid w:val="005754F6"/>
    <w:rsid w:val="005C604A"/>
    <w:rsid w:val="00611481"/>
    <w:rsid w:val="00613BA6"/>
    <w:rsid w:val="00634965"/>
    <w:rsid w:val="00640845"/>
    <w:rsid w:val="00681959"/>
    <w:rsid w:val="006D2E9E"/>
    <w:rsid w:val="006E4DC2"/>
    <w:rsid w:val="006F378A"/>
    <w:rsid w:val="007417A0"/>
    <w:rsid w:val="007B5F65"/>
    <w:rsid w:val="008026BB"/>
    <w:rsid w:val="008058B8"/>
    <w:rsid w:val="00813663"/>
    <w:rsid w:val="00815E56"/>
    <w:rsid w:val="00820996"/>
    <w:rsid w:val="00833A2B"/>
    <w:rsid w:val="008560DF"/>
    <w:rsid w:val="00864444"/>
    <w:rsid w:val="008678A3"/>
    <w:rsid w:val="00874DF3"/>
    <w:rsid w:val="008A31DA"/>
    <w:rsid w:val="008B5907"/>
    <w:rsid w:val="008E0DDE"/>
    <w:rsid w:val="0091041F"/>
    <w:rsid w:val="00922D3B"/>
    <w:rsid w:val="00941A87"/>
    <w:rsid w:val="00943ADF"/>
    <w:rsid w:val="00944389"/>
    <w:rsid w:val="0095173D"/>
    <w:rsid w:val="00984EB0"/>
    <w:rsid w:val="009B6C74"/>
    <w:rsid w:val="00A12170"/>
    <w:rsid w:val="00A259E0"/>
    <w:rsid w:val="00A26109"/>
    <w:rsid w:val="00A40E49"/>
    <w:rsid w:val="00A66F52"/>
    <w:rsid w:val="00A84A8D"/>
    <w:rsid w:val="00A9091F"/>
    <w:rsid w:val="00AC2489"/>
    <w:rsid w:val="00B16C27"/>
    <w:rsid w:val="00B23025"/>
    <w:rsid w:val="00B2482B"/>
    <w:rsid w:val="00B3594A"/>
    <w:rsid w:val="00B83783"/>
    <w:rsid w:val="00B932C0"/>
    <w:rsid w:val="00BE2AED"/>
    <w:rsid w:val="00BE409D"/>
    <w:rsid w:val="00BF2EA9"/>
    <w:rsid w:val="00C37E4E"/>
    <w:rsid w:val="00C437C0"/>
    <w:rsid w:val="00C6589D"/>
    <w:rsid w:val="00C730A2"/>
    <w:rsid w:val="00CE3743"/>
    <w:rsid w:val="00CE5B25"/>
    <w:rsid w:val="00CF2C15"/>
    <w:rsid w:val="00D30974"/>
    <w:rsid w:val="00D30E96"/>
    <w:rsid w:val="00D504F0"/>
    <w:rsid w:val="00D922B2"/>
    <w:rsid w:val="00DB6C85"/>
    <w:rsid w:val="00DD1F50"/>
    <w:rsid w:val="00E01FDE"/>
    <w:rsid w:val="00E16A3A"/>
    <w:rsid w:val="00E54149"/>
    <w:rsid w:val="00E570FE"/>
    <w:rsid w:val="00E57DB1"/>
    <w:rsid w:val="00E84A2A"/>
    <w:rsid w:val="00EB2618"/>
    <w:rsid w:val="00EC5F86"/>
    <w:rsid w:val="00ED5FCF"/>
    <w:rsid w:val="00ED7E3D"/>
    <w:rsid w:val="00EE23F1"/>
    <w:rsid w:val="00EF5488"/>
    <w:rsid w:val="00F010C7"/>
    <w:rsid w:val="00F10E7D"/>
    <w:rsid w:val="00F16446"/>
    <w:rsid w:val="00F25598"/>
    <w:rsid w:val="00F34900"/>
    <w:rsid w:val="00F36981"/>
    <w:rsid w:val="00F4311A"/>
    <w:rsid w:val="00F91CEA"/>
    <w:rsid w:val="00FA275C"/>
    <w:rsid w:val="00FE1011"/>
    <w:rsid w:val="00FE2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 w:type="paragraph" w:styleId="Nagwekspisutreci">
    <w:name w:val="TOC Heading"/>
    <w:basedOn w:val="Nagwek1"/>
    <w:next w:val="Normalny"/>
    <w:uiPriority w:val="39"/>
    <w:unhideWhenUsed/>
    <w:qFormat/>
    <w:rsid w:val="00EC5F86"/>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Spistreci1">
    <w:name w:val="toc 1"/>
    <w:basedOn w:val="Normalny"/>
    <w:next w:val="Normalny"/>
    <w:autoRedefine/>
    <w:uiPriority w:val="39"/>
    <w:unhideWhenUsed/>
    <w:rsid w:val="00EC5F86"/>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EC5F86"/>
    <w:pPr>
      <w:spacing w:after="100" w:line="259" w:lineRule="auto"/>
      <w:ind w:left="440"/>
    </w:pPr>
    <w:rPr>
      <w:rFonts w:asciiTheme="minorHAnsi" w:eastAsiaTheme="minorEastAsia" w:hAnsiTheme="minorHAns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22</Pages>
  <Words>7720</Words>
  <Characters>46324</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U21 Katarzyna Markowska</cp:lastModifiedBy>
  <cp:revision>4</cp:revision>
  <dcterms:created xsi:type="dcterms:W3CDTF">2021-04-12T10:58:00Z</dcterms:created>
  <dcterms:modified xsi:type="dcterms:W3CDTF">2021-04-14T07:41:00Z</dcterms:modified>
</cp:coreProperties>
</file>