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CD8E" w14:textId="4A9F83CC" w:rsidR="00010093" w:rsidRPr="00E41AB0" w:rsidRDefault="00010093" w:rsidP="001E1E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FC0BB" w14:textId="47851F59" w:rsidR="00010093" w:rsidRPr="001479B4" w:rsidRDefault="00010093" w:rsidP="00010093">
      <w:pPr>
        <w:jc w:val="center"/>
        <w:rPr>
          <w:rFonts w:ascii="Times New Roman" w:hAnsi="Times New Roman" w:cs="Times New Roman"/>
          <w:b/>
          <w:bCs/>
        </w:rPr>
      </w:pPr>
      <w:r w:rsidRPr="001479B4">
        <w:rPr>
          <w:rFonts w:ascii="Times New Roman" w:hAnsi="Times New Roman" w:cs="Times New Roman"/>
          <w:b/>
          <w:bCs/>
        </w:rPr>
        <w:t>Szacowanie wartości zamówienia na:</w:t>
      </w:r>
    </w:p>
    <w:p w14:paraId="59106502" w14:textId="77777777" w:rsidR="00F237CC" w:rsidRPr="001479B4" w:rsidRDefault="00F237CC" w:rsidP="00010093">
      <w:pPr>
        <w:jc w:val="center"/>
        <w:rPr>
          <w:rFonts w:ascii="Times New Roman" w:hAnsi="Times New Roman" w:cs="Times New Roman"/>
          <w:b/>
          <w:bCs/>
        </w:rPr>
      </w:pPr>
    </w:p>
    <w:p w14:paraId="424C9033" w14:textId="3BABD330" w:rsidR="00010093" w:rsidRPr="001479B4" w:rsidRDefault="00B35887" w:rsidP="00010093">
      <w:pPr>
        <w:jc w:val="both"/>
        <w:rPr>
          <w:rFonts w:ascii="Times New Roman" w:hAnsi="Times New Roman" w:cs="Times New Roman"/>
        </w:rPr>
      </w:pPr>
      <w:bookmarkStart w:id="0" w:name="_Hlk106885468"/>
      <w:r w:rsidRPr="001479B4">
        <w:rPr>
          <w:rFonts w:ascii="Times New Roman" w:hAnsi="Times New Roman" w:cs="Times New Roman"/>
        </w:rPr>
        <w:t>„</w:t>
      </w:r>
      <w:r w:rsidR="00310E40" w:rsidRPr="001479B4">
        <w:rPr>
          <w:rFonts w:ascii="Times New Roman" w:hAnsi="Times New Roman" w:cs="Times New Roman"/>
        </w:rPr>
        <w:t>Dostaw</w:t>
      </w:r>
      <w:r w:rsidR="00502B3E" w:rsidRPr="001479B4">
        <w:rPr>
          <w:rFonts w:ascii="Times New Roman" w:hAnsi="Times New Roman" w:cs="Times New Roman"/>
        </w:rPr>
        <w:t>ę</w:t>
      </w:r>
      <w:r w:rsidR="00FF7BFF" w:rsidRPr="001479B4">
        <w:rPr>
          <w:rFonts w:ascii="Times New Roman" w:hAnsi="Times New Roman" w:cs="Times New Roman"/>
        </w:rPr>
        <w:t xml:space="preserve"> fabrycznie nowego systemu nagłośnienia </w:t>
      </w:r>
      <w:r w:rsidR="00F237CC" w:rsidRPr="001479B4">
        <w:rPr>
          <w:rFonts w:ascii="Times New Roman" w:hAnsi="Times New Roman" w:cs="Times New Roman"/>
        </w:rPr>
        <w:t xml:space="preserve">do </w:t>
      </w:r>
      <w:r w:rsidR="00310E40" w:rsidRPr="001479B4">
        <w:rPr>
          <w:rFonts w:ascii="Times New Roman" w:hAnsi="Times New Roman" w:cs="Times New Roman"/>
        </w:rPr>
        <w:t xml:space="preserve">Sali Koncertowej </w:t>
      </w:r>
      <w:r w:rsidRPr="001479B4">
        <w:rPr>
          <w:rFonts w:ascii="Times New Roman" w:hAnsi="Times New Roman" w:cs="Times New Roman"/>
        </w:rPr>
        <w:t>Filharmonii Podkarpackiej w Rzeszowie</w:t>
      </w:r>
      <w:r w:rsidR="00FF7BFF" w:rsidRPr="001479B4">
        <w:rPr>
          <w:rFonts w:ascii="Times New Roman" w:hAnsi="Times New Roman" w:cs="Times New Roman"/>
        </w:rPr>
        <w:t xml:space="preserve"> wraz z </w:t>
      </w:r>
      <w:r w:rsidR="00852E02" w:rsidRPr="001479B4">
        <w:rPr>
          <w:rFonts w:ascii="Times New Roman" w:hAnsi="Times New Roman" w:cs="Times New Roman"/>
        </w:rPr>
        <w:t xml:space="preserve">jego </w:t>
      </w:r>
      <w:r w:rsidR="00FF7BFF" w:rsidRPr="001479B4">
        <w:rPr>
          <w:rFonts w:ascii="Times New Roman" w:hAnsi="Times New Roman" w:cs="Times New Roman"/>
        </w:rPr>
        <w:t>instalacją i uruchomieniem</w:t>
      </w:r>
      <w:r w:rsidRPr="001479B4">
        <w:rPr>
          <w:rFonts w:ascii="Times New Roman" w:hAnsi="Times New Roman" w:cs="Times New Roman"/>
        </w:rPr>
        <w:t>”</w:t>
      </w:r>
      <w:r w:rsidR="00DF2F50" w:rsidRPr="001479B4">
        <w:rPr>
          <w:rFonts w:ascii="Times New Roman" w:hAnsi="Times New Roman" w:cs="Times New Roman"/>
        </w:rPr>
        <w:t>.</w:t>
      </w:r>
      <w:r w:rsidR="00010093" w:rsidRPr="001479B4">
        <w:rPr>
          <w:rFonts w:ascii="Times New Roman" w:hAnsi="Times New Roman" w:cs="Times New Roman"/>
        </w:rPr>
        <w:t xml:space="preserve"> </w:t>
      </w:r>
      <w:bookmarkEnd w:id="0"/>
      <w:r w:rsidR="00010093" w:rsidRPr="001479B4">
        <w:rPr>
          <w:rFonts w:ascii="Times New Roman" w:hAnsi="Times New Roman" w:cs="Times New Roman"/>
        </w:rPr>
        <w:t>W ramach rozeznania cenowego rynku i oszacowania wartości</w:t>
      </w:r>
      <w:r w:rsidR="00DF2F50" w:rsidRPr="001479B4">
        <w:rPr>
          <w:rFonts w:ascii="Times New Roman" w:hAnsi="Times New Roman" w:cs="Times New Roman"/>
        </w:rPr>
        <w:t xml:space="preserve"> </w:t>
      </w:r>
      <w:r w:rsidR="00010093" w:rsidRPr="001479B4">
        <w:rPr>
          <w:rFonts w:ascii="Times New Roman" w:hAnsi="Times New Roman" w:cs="Times New Roman"/>
        </w:rPr>
        <w:t xml:space="preserve">zamówienia </w:t>
      </w:r>
      <w:r w:rsidR="00DF2F50" w:rsidRPr="001479B4">
        <w:rPr>
          <w:rFonts w:ascii="Times New Roman" w:hAnsi="Times New Roman" w:cs="Times New Roman"/>
        </w:rPr>
        <w:t>Filharmonia Podkarpacka im. Artura Malawskiego w Rzeszowie</w:t>
      </w:r>
      <w:r w:rsidR="00010093" w:rsidRPr="001479B4">
        <w:rPr>
          <w:rFonts w:ascii="Times New Roman" w:hAnsi="Times New Roman" w:cs="Times New Roman"/>
        </w:rPr>
        <w:t xml:space="preserve"> zwraca się z</w:t>
      </w:r>
      <w:r w:rsidR="00DF2F50" w:rsidRPr="001479B4">
        <w:rPr>
          <w:rFonts w:ascii="Times New Roman" w:hAnsi="Times New Roman" w:cs="Times New Roman"/>
        </w:rPr>
        <w:t xml:space="preserve"> </w:t>
      </w:r>
      <w:r w:rsidR="00010093" w:rsidRPr="001479B4">
        <w:rPr>
          <w:rFonts w:ascii="Times New Roman" w:hAnsi="Times New Roman" w:cs="Times New Roman"/>
        </w:rPr>
        <w:t>prośbą o dokonanie szacunkowej wyceny.</w:t>
      </w:r>
    </w:p>
    <w:p w14:paraId="17BE5E54" w14:textId="77777777" w:rsidR="00852E02" w:rsidRPr="001479B4" w:rsidRDefault="00852E02" w:rsidP="00010093">
      <w:pPr>
        <w:jc w:val="both"/>
        <w:rPr>
          <w:rFonts w:ascii="Times New Roman" w:hAnsi="Times New Roman" w:cs="Times New Roman"/>
        </w:rPr>
      </w:pPr>
    </w:p>
    <w:p w14:paraId="0E44DDF4" w14:textId="2E2D37B1" w:rsidR="00010093" w:rsidRPr="00203431" w:rsidRDefault="00010093" w:rsidP="00010093">
      <w:pPr>
        <w:jc w:val="both"/>
        <w:rPr>
          <w:rFonts w:ascii="Times New Roman" w:hAnsi="Times New Roman" w:cs="Times New Roman"/>
          <w:b/>
          <w:bCs/>
        </w:rPr>
      </w:pPr>
      <w:r w:rsidRPr="00203431">
        <w:rPr>
          <w:rFonts w:ascii="Times New Roman" w:hAnsi="Times New Roman" w:cs="Times New Roman"/>
          <w:b/>
          <w:bCs/>
        </w:rPr>
        <w:t>I. Zamawiający</w:t>
      </w:r>
    </w:p>
    <w:p w14:paraId="0303A2ED" w14:textId="0055219C" w:rsidR="00010093" w:rsidRPr="001479B4" w:rsidRDefault="00DF2F50" w:rsidP="00010093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>Filharmonia Podkarpacka im. Artura Malawskiego w Rzeszowie</w:t>
      </w:r>
    </w:p>
    <w:p w14:paraId="3D8E03F0" w14:textId="136AB5C7" w:rsidR="00010093" w:rsidRPr="001479B4" w:rsidRDefault="00010093" w:rsidP="00010093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 xml:space="preserve">ul. </w:t>
      </w:r>
      <w:r w:rsidR="00DF2F50" w:rsidRPr="001479B4">
        <w:rPr>
          <w:rFonts w:ascii="Times New Roman" w:hAnsi="Times New Roman" w:cs="Times New Roman"/>
        </w:rPr>
        <w:t>Chopina 30, 35-959 Rzeszów</w:t>
      </w:r>
    </w:p>
    <w:p w14:paraId="126F28AA" w14:textId="7D190A56" w:rsidR="00C540CA" w:rsidRDefault="00C540CA" w:rsidP="00010093">
      <w:pPr>
        <w:jc w:val="both"/>
        <w:rPr>
          <w:rFonts w:ascii="Times New Roman" w:hAnsi="Times New Roman" w:cs="Times New Roman"/>
        </w:rPr>
      </w:pPr>
      <w:r w:rsidRPr="00C540CA">
        <w:rPr>
          <w:rFonts w:ascii="Times New Roman" w:hAnsi="Times New Roman" w:cs="Times New Roman"/>
        </w:rPr>
        <w:t>Adres strony inte</w:t>
      </w:r>
      <w:r w:rsidR="005059C9">
        <w:rPr>
          <w:rFonts w:ascii="Times New Roman" w:hAnsi="Times New Roman" w:cs="Times New Roman"/>
        </w:rPr>
        <w:t xml:space="preserve">rnetowej: </w:t>
      </w:r>
      <w:r w:rsidR="005059C9" w:rsidRPr="005059C9">
        <w:rPr>
          <w:rFonts w:ascii="Times New Roman" w:hAnsi="Times New Roman" w:cs="Times New Roman"/>
        </w:rPr>
        <w:t>https://filharmonia.rzeszow.pl/</w:t>
      </w:r>
    </w:p>
    <w:p w14:paraId="0620447F" w14:textId="117697D9" w:rsidR="00852E02" w:rsidRDefault="00AC0F9E" w:rsidP="00010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Komunikacja </w:t>
      </w:r>
      <w:r w:rsidRPr="00AC0F9E">
        <w:rPr>
          <w:rFonts w:ascii="Times New Roman" w:hAnsi="Times New Roman" w:cs="Times New Roman"/>
        </w:rPr>
        <w:t>odbywa się za pośrednictwem https://platformazakupowa.pl/pn/filharmonia_rzeszow</w:t>
      </w:r>
    </w:p>
    <w:p w14:paraId="60112011" w14:textId="77777777" w:rsidR="00286B93" w:rsidRPr="001479B4" w:rsidRDefault="00286B93" w:rsidP="00010093">
      <w:pPr>
        <w:jc w:val="both"/>
        <w:rPr>
          <w:rFonts w:ascii="Times New Roman" w:hAnsi="Times New Roman" w:cs="Times New Roman"/>
        </w:rPr>
      </w:pPr>
    </w:p>
    <w:p w14:paraId="1308DEDE" w14:textId="7D357040" w:rsidR="00010093" w:rsidRPr="00203431" w:rsidRDefault="00010093" w:rsidP="00010093">
      <w:pPr>
        <w:jc w:val="both"/>
        <w:rPr>
          <w:rFonts w:ascii="Times New Roman" w:hAnsi="Times New Roman" w:cs="Times New Roman"/>
          <w:b/>
          <w:bCs/>
        </w:rPr>
      </w:pPr>
      <w:r w:rsidRPr="00203431">
        <w:rPr>
          <w:rFonts w:ascii="Times New Roman" w:hAnsi="Times New Roman" w:cs="Times New Roman"/>
          <w:b/>
          <w:bCs/>
        </w:rPr>
        <w:t>II. Przedmiot zamówienia</w:t>
      </w:r>
    </w:p>
    <w:p w14:paraId="3B78164F" w14:textId="34056096" w:rsidR="00852E02" w:rsidRPr="001479B4" w:rsidRDefault="00AB7261" w:rsidP="00852E02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 xml:space="preserve">Przedmiotem zamówienia jest dostawa </w:t>
      </w:r>
      <w:r w:rsidR="00852E02" w:rsidRPr="001479B4">
        <w:rPr>
          <w:rFonts w:ascii="Times New Roman" w:hAnsi="Times New Roman" w:cs="Times New Roman"/>
        </w:rPr>
        <w:t>system</w:t>
      </w:r>
      <w:r w:rsidR="00F135D9" w:rsidRPr="001479B4">
        <w:rPr>
          <w:rFonts w:ascii="Times New Roman" w:hAnsi="Times New Roman" w:cs="Times New Roman"/>
        </w:rPr>
        <w:t>u</w:t>
      </w:r>
      <w:r w:rsidR="00852E02" w:rsidRPr="001479B4">
        <w:rPr>
          <w:rFonts w:ascii="Times New Roman" w:hAnsi="Times New Roman" w:cs="Times New Roman"/>
        </w:rPr>
        <w:t xml:space="preserve"> składa</w:t>
      </w:r>
      <w:r w:rsidR="00CF5463" w:rsidRPr="001479B4">
        <w:rPr>
          <w:rFonts w:ascii="Times New Roman" w:hAnsi="Times New Roman" w:cs="Times New Roman"/>
        </w:rPr>
        <w:t>jącego</w:t>
      </w:r>
      <w:r w:rsidR="00852E02" w:rsidRPr="001479B4">
        <w:rPr>
          <w:rFonts w:ascii="Times New Roman" w:hAnsi="Times New Roman" w:cs="Times New Roman"/>
        </w:rPr>
        <w:t xml:space="preserve"> się z zestawów głośnikowych (modułów) szerokopasmowych typu line array, zestawów głośnikowych niskotonowych, </w:t>
      </w:r>
      <w:r w:rsidR="00D34F1D">
        <w:rPr>
          <w:rFonts w:ascii="Times New Roman" w:hAnsi="Times New Roman" w:cs="Times New Roman"/>
        </w:rPr>
        <w:t xml:space="preserve">zestawów głośnikowych szerokopasmowych (frontfill), </w:t>
      </w:r>
      <w:r w:rsidR="00852E02" w:rsidRPr="001479B4">
        <w:rPr>
          <w:rFonts w:ascii="Times New Roman" w:hAnsi="Times New Roman" w:cs="Times New Roman"/>
        </w:rPr>
        <w:t xml:space="preserve">wzmacniaczy mocy wraz z procesorem DSP umożliwiającym kształtowanie charakterystyk toru audio, oprogramowania do predykcji akustycznej systemu, oraz akcesoriów do podwieszania systemu. </w:t>
      </w:r>
    </w:p>
    <w:p w14:paraId="08FC9E95" w14:textId="7F59D0A0" w:rsidR="00852E02" w:rsidRPr="001479B4" w:rsidRDefault="00852E02" w:rsidP="00852E02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>Zestaw musi być skonstruowany w oparciu o technologię pasywną tj. zewnętrzne wzmacniacze w postaci samodzielnych urządzeń</w:t>
      </w:r>
      <w:r w:rsidR="00726499">
        <w:rPr>
          <w:rFonts w:ascii="Times New Roman" w:hAnsi="Times New Roman" w:cs="Times New Roman"/>
        </w:rPr>
        <w:t>,</w:t>
      </w:r>
      <w:r w:rsidRPr="001479B4">
        <w:rPr>
          <w:rFonts w:ascii="Times New Roman" w:hAnsi="Times New Roman" w:cs="Times New Roman"/>
        </w:rPr>
        <w:t xml:space="preserve"> co ma pozwolić na szybką i bezproblemową wymianę wzmacniaczy np. do celów serwisowych. Zamawiający nie dopuszcza możliwości zaoferowania zestawów aktywnych, w których wzmacniacze są zintegrowane w jednej obudowie z zestawami głośnikowymi</w:t>
      </w:r>
      <w:r w:rsidR="00726499">
        <w:rPr>
          <w:rFonts w:ascii="Times New Roman" w:hAnsi="Times New Roman" w:cs="Times New Roman"/>
        </w:rPr>
        <w:t>,</w:t>
      </w:r>
      <w:r w:rsidRPr="001479B4">
        <w:rPr>
          <w:rFonts w:ascii="Times New Roman" w:hAnsi="Times New Roman" w:cs="Times New Roman"/>
        </w:rPr>
        <w:t xml:space="preserve"> co implikuje konieczność opuszczania podwieszonego systemu przy każdej czynności serwisowej związanej z ewentualną usterką wzmacniaczy. </w:t>
      </w:r>
    </w:p>
    <w:p w14:paraId="5E5C7159" w14:textId="59E6EB9A" w:rsidR="00852E02" w:rsidRPr="001479B4" w:rsidRDefault="00852E02" w:rsidP="00852E02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>Wszystkie elementy systemu tj. zarówno zestawy głośnikowe, wzmacniacze, oprogramowanie do predykcji akustycznej</w:t>
      </w:r>
      <w:r w:rsidR="004F32E1" w:rsidRPr="001479B4">
        <w:rPr>
          <w:rFonts w:ascii="Times New Roman" w:hAnsi="Times New Roman" w:cs="Times New Roman"/>
        </w:rPr>
        <w:t>,</w:t>
      </w:r>
      <w:r w:rsidRPr="001479B4">
        <w:rPr>
          <w:rFonts w:ascii="Times New Roman" w:hAnsi="Times New Roman" w:cs="Times New Roman"/>
        </w:rPr>
        <w:t xml:space="preserve"> jak i akcesoria montażowe muszą pochodzić od tego samego producenta, co ma zapewnić najwyższą jakość pracy systemu</w:t>
      </w:r>
      <w:r w:rsidR="0096648A" w:rsidRPr="001479B4">
        <w:rPr>
          <w:rFonts w:ascii="Times New Roman" w:hAnsi="Times New Roman" w:cs="Times New Roman"/>
        </w:rPr>
        <w:t xml:space="preserve">, </w:t>
      </w:r>
      <w:r w:rsidRPr="001479B4">
        <w:rPr>
          <w:rFonts w:ascii="Times New Roman" w:hAnsi="Times New Roman" w:cs="Times New Roman"/>
        </w:rPr>
        <w:t xml:space="preserve">idealne dopasowanie parametrów pracy wzmacniaczy mocy oraz zestawów głośnikowych. </w:t>
      </w:r>
    </w:p>
    <w:p w14:paraId="1B755E84" w14:textId="77777777" w:rsidR="00852E02" w:rsidRPr="001479B4" w:rsidRDefault="00852E02" w:rsidP="00852E02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 xml:space="preserve">Procesory DSP zintegrowane ze wzmacniaczami muszą posiadać w swojej bibliotece nastawy dedykowane do oferowanych zestawów głośnikowych. </w:t>
      </w:r>
    </w:p>
    <w:p w14:paraId="00B7B91C" w14:textId="5F0ADC9F" w:rsidR="00852E02" w:rsidRPr="001479B4" w:rsidRDefault="00852E02" w:rsidP="00852E02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 xml:space="preserve">Instalację głośnikową pomiędzy wzmacniaczami i zestawami głośnikowymi należy przeprowadzić przewodami głośnikowymi o przekroju minimum 4mm2. </w:t>
      </w:r>
    </w:p>
    <w:p w14:paraId="32B71A33" w14:textId="7CAA7051" w:rsidR="00335F02" w:rsidRPr="001479B4" w:rsidRDefault="004F32E1" w:rsidP="00852E02">
      <w:pPr>
        <w:jc w:val="both"/>
        <w:rPr>
          <w:rFonts w:ascii="Times New Roman" w:hAnsi="Times New Roman" w:cs="Times New Roman"/>
        </w:rPr>
      </w:pPr>
      <w:r w:rsidRPr="001479B4">
        <w:rPr>
          <w:rFonts w:ascii="Times New Roman" w:hAnsi="Times New Roman" w:cs="Times New Roman"/>
        </w:rPr>
        <w:t>N</w:t>
      </w:r>
      <w:r w:rsidR="00852E02" w:rsidRPr="001479B4">
        <w:rPr>
          <w:rFonts w:ascii="Times New Roman" w:hAnsi="Times New Roman" w:cs="Times New Roman"/>
        </w:rPr>
        <w:t xml:space="preserve">a wszystkie elementy systemu </w:t>
      </w:r>
      <w:r w:rsidRPr="001479B4">
        <w:rPr>
          <w:rFonts w:ascii="Times New Roman" w:hAnsi="Times New Roman" w:cs="Times New Roman"/>
        </w:rPr>
        <w:t xml:space="preserve">Zamawiający wymaga co najmniej </w:t>
      </w:r>
      <w:r w:rsidR="00852E02" w:rsidRPr="001479B4">
        <w:rPr>
          <w:rFonts w:ascii="Times New Roman" w:hAnsi="Times New Roman" w:cs="Times New Roman"/>
        </w:rPr>
        <w:t>60 miesięcy</w:t>
      </w:r>
      <w:r w:rsidR="00566721" w:rsidRPr="001479B4">
        <w:rPr>
          <w:rFonts w:ascii="Times New Roman" w:hAnsi="Times New Roman" w:cs="Times New Roman"/>
        </w:rPr>
        <w:t xml:space="preserve"> gwarancji</w:t>
      </w:r>
      <w:r w:rsidR="00197805">
        <w:rPr>
          <w:rFonts w:ascii="Times New Roman" w:hAnsi="Times New Roman" w:cs="Times New Roman"/>
        </w:rPr>
        <w:t>.</w:t>
      </w:r>
    </w:p>
    <w:p w14:paraId="52A5FBE3" w14:textId="2D5AFFE3" w:rsidR="00643305" w:rsidRDefault="0049239B" w:rsidP="0033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do 30 listopada 2022 r.</w:t>
      </w:r>
    </w:p>
    <w:p w14:paraId="773393C5" w14:textId="77777777" w:rsidR="0049239B" w:rsidRDefault="0049239B" w:rsidP="00335F02">
      <w:pPr>
        <w:jc w:val="both"/>
        <w:rPr>
          <w:rFonts w:ascii="Times New Roman" w:hAnsi="Times New Roman" w:cs="Times New Roman"/>
        </w:rPr>
      </w:pPr>
    </w:p>
    <w:p w14:paraId="1EA3A6FA" w14:textId="171762BC" w:rsidR="00335F02" w:rsidRPr="00335F02" w:rsidRDefault="00335F02" w:rsidP="00335F02">
      <w:pPr>
        <w:jc w:val="both"/>
        <w:rPr>
          <w:rFonts w:ascii="Times New Roman" w:hAnsi="Times New Roman" w:cs="Times New Roman"/>
        </w:rPr>
      </w:pPr>
      <w:r w:rsidRPr="00335F02">
        <w:rPr>
          <w:rFonts w:ascii="Times New Roman" w:hAnsi="Times New Roman" w:cs="Times New Roman"/>
        </w:rPr>
        <w:t>Podane poniżej wymagania i parametry techniczne</w:t>
      </w:r>
      <w:r w:rsidR="00197805">
        <w:rPr>
          <w:rFonts w:ascii="Times New Roman" w:hAnsi="Times New Roman" w:cs="Times New Roman"/>
        </w:rPr>
        <w:t xml:space="preserve">, </w:t>
      </w:r>
      <w:r w:rsidRPr="00335F02">
        <w:rPr>
          <w:rFonts w:ascii="Times New Roman" w:hAnsi="Times New Roman" w:cs="Times New Roman"/>
        </w:rPr>
        <w:t>są parametrami minimalnymi. Wykonawcy mogą zaproponować przedmiot</w:t>
      </w:r>
      <w:r>
        <w:rPr>
          <w:rFonts w:ascii="Times New Roman" w:hAnsi="Times New Roman" w:cs="Times New Roman"/>
        </w:rPr>
        <w:t xml:space="preserve"> </w:t>
      </w:r>
      <w:r w:rsidRPr="00335F02">
        <w:rPr>
          <w:rFonts w:ascii="Times New Roman" w:hAnsi="Times New Roman" w:cs="Times New Roman"/>
        </w:rPr>
        <w:t>o wyższych parametrach technicznych, lecz nie gorszych od wymaganych przez</w:t>
      </w:r>
      <w:r>
        <w:rPr>
          <w:rFonts w:ascii="Times New Roman" w:hAnsi="Times New Roman" w:cs="Times New Roman"/>
        </w:rPr>
        <w:t xml:space="preserve"> </w:t>
      </w:r>
      <w:r w:rsidRPr="00335F02">
        <w:rPr>
          <w:rFonts w:ascii="Times New Roman" w:hAnsi="Times New Roman" w:cs="Times New Roman"/>
        </w:rPr>
        <w:t>Zamawiającego.</w:t>
      </w:r>
    </w:p>
    <w:p w14:paraId="57F16197" w14:textId="3B062197" w:rsidR="00693F53" w:rsidRPr="001479B4" w:rsidRDefault="00693F53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0"/>
        <w:gridCol w:w="2573"/>
        <w:gridCol w:w="705"/>
        <w:gridCol w:w="5139"/>
      </w:tblGrid>
      <w:tr w:rsidR="00D306A9" w:rsidRPr="001479B4" w14:paraId="6A0FADA0" w14:textId="77777777" w:rsidTr="00206CF6">
        <w:tc>
          <w:tcPr>
            <w:tcW w:w="650" w:type="dxa"/>
          </w:tcPr>
          <w:p w14:paraId="000F866C" w14:textId="77777777" w:rsidR="00D306A9" w:rsidRPr="001479B4" w:rsidRDefault="00D306A9" w:rsidP="00E25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3" w:type="dxa"/>
          </w:tcPr>
          <w:p w14:paraId="6EA48D7C" w14:textId="2014B6A8" w:rsidR="00D306A9" w:rsidRPr="001479B4" w:rsidRDefault="00D306A9" w:rsidP="00E25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9B4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705" w:type="dxa"/>
          </w:tcPr>
          <w:p w14:paraId="39D4CD5A" w14:textId="5ED0E748" w:rsidR="00D306A9" w:rsidRPr="001479B4" w:rsidRDefault="008268B3" w:rsidP="00836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9B4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5139" w:type="dxa"/>
          </w:tcPr>
          <w:p w14:paraId="33D6CE30" w14:textId="5C3973D9" w:rsidR="00D306A9" w:rsidRPr="001479B4" w:rsidRDefault="00CB7AF4" w:rsidP="00E25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AF4">
              <w:rPr>
                <w:rFonts w:ascii="Times New Roman" w:hAnsi="Times New Roman" w:cs="Times New Roman"/>
                <w:b/>
                <w:bCs/>
              </w:rPr>
              <w:t>Wymagania i parametry techniczne</w:t>
            </w:r>
          </w:p>
        </w:tc>
      </w:tr>
      <w:tr w:rsidR="00D306A9" w:rsidRPr="001479B4" w14:paraId="6D7932EA" w14:textId="77777777" w:rsidTr="00206CF6">
        <w:tc>
          <w:tcPr>
            <w:tcW w:w="650" w:type="dxa"/>
          </w:tcPr>
          <w:p w14:paraId="7684B7E7" w14:textId="77777777" w:rsidR="00D306A9" w:rsidRPr="001479B4" w:rsidRDefault="00D306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3" w:type="dxa"/>
          </w:tcPr>
          <w:p w14:paraId="5C8FFE85" w14:textId="69DFD59B" w:rsidR="00D306A9" w:rsidRPr="001479B4" w:rsidRDefault="000A3CA0">
            <w:pPr>
              <w:rPr>
                <w:rFonts w:ascii="Times New Roman" w:hAnsi="Times New Roman" w:cs="Times New Roman"/>
                <w:b/>
                <w:bCs/>
              </w:rPr>
            </w:pPr>
            <w:r w:rsidRPr="001479B4">
              <w:rPr>
                <w:rFonts w:ascii="Times New Roman" w:hAnsi="Times New Roman" w:cs="Times New Roman"/>
                <w:b/>
                <w:bCs/>
              </w:rPr>
              <w:t>Z</w:t>
            </w:r>
            <w:r w:rsidR="00FB0CFE" w:rsidRPr="001479B4">
              <w:rPr>
                <w:rFonts w:ascii="Times New Roman" w:hAnsi="Times New Roman" w:cs="Times New Roman"/>
                <w:b/>
                <w:bCs/>
              </w:rPr>
              <w:t>ADANIE</w:t>
            </w:r>
            <w:r w:rsidRPr="001479B4">
              <w:rPr>
                <w:rFonts w:ascii="Times New Roman" w:hAnsi="Times New Roman" w:cs="Times New Roman"/>
                <w:b/>
                <w:bCs/>
              </w:rPr>
              <w:t xml:space="preserve"> 1:</w:t>
            </w:r>
          </w:p>
        </w:tc>
        <w:tc>
          <w:tcPr>
            <w:tcW w:w="705" w:type="dxa"/>
          </w:tcPr>
          <w:p w14:paraId="1B2419D9" w14:textId="77777777" w:rsidR="00D306A9" w:rsidRPr="001479B4" w:rsidRDefault="00D306A9" w:rsidP="00836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9" w:type="dxa"/>
          </w:tcPr>
          <w:p w14:paraId="53005207" w14:textId="77777777" w:rsidR="00D306A9" w:rsidRPr="001479B4" w:rsidRDefault="00D306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6A9" w:rsidRPr="001479B4" w14:paraId="35C2D455" w14:textId="77777777" w:rsidTr="00206CF6">
        <w:tc>
          <w:tcPr>
            <w:tcW w:w="650" w:type="dxa"/>
          </w:tcPr>
          <w:p w14:paraId="5DA33570" w14:textId="3B3FFF49" w:rsidR="00D306A9" w:rsidRPr="001479B4" w:rsidRDefault="00CF2EF9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573" w:type="dxa"/>
          </w:tcPr>
          <w:p w14:paraId="59460265" w14:textId="48768B53" w:rsidR="00D306A9" w:rsidRPr="001479B4" w:rsidRDefault="008268B3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Zestaw głośnikowy sze</w:t>
            </w:r>
            <w:r w:rsidR="00E25CDD" w:rsidRPr="001479B4">
              <w:rPr>
                <w:rFonts w:ascii="Times New Roman" w:hAnsi="Times New Roman" w:cs="Times New Roman"/>
              </w:rPr>
              <w:t>r</w:t>
            </w:r>
            <w:r w:rsidRPr="001479B4">
              <w:rPr>
                <w:rFonts w:ascii="Times New Roman" w:hAnsi="Times New Roman" w:cs="Times New Roman"/>
              </w:rPr>
              <w:t xml:space="preserve">okopasmowy </w:t>
            </w:r>
          </w:p>
        </w:tc>
        <w:tc>
          <w:tcPr>
            <w:tcW w:w="705" w:type="dxa"/>
          </w:tcPr>
          <w:p w14:paraId="6DD6CE6E" w14:textId="0ED9AB9C" w:rsidR="00D306A9" w:rsidRPr="001479B4" w:rsidRDefault="00CF2EF9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8 szt</w:t>
            </w:r>
          </w:p>
        </w:tc>
        <w:tc>
          <w:tcPr>
            <w:tcW w:w="5139" w:type="dxa"/>
          </w:tcPr>
          <w:p w14:paraId="1071641C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konstrukcja trójdrożna</w:t>
            </w:r>
          </w:p>
          <w:p w14:paraId="691A3C58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minimum dwa przetworniki o średnicy 10’ , 1 przetwornik o średnicy 8’ , oraz dwa przetworniki wysokociśnieniowe o średnicy 1,4’</w:t>
            </w:r>
          </w:p>
          <w:p w14:paraId="2E89E252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 dyspersja horyzontalnie : nie mniej niż 75 stopni i nie więcej niż 85 stopni (mierzone od 300Hz w górę pasma akustycznego)</w:t>
            </w:r>
          </w:p>
          <w:p w14:paraId="7ABC4245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 maksymalne ciśnienie akustyczne nie niższe niż 139 dB SPL. (mierzone dla crest factor 4)</w:t>
            </w:r>
          </w:p>
          <w:p w14:paraId="23475325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pasmo przenoszenia liczone ze spadkiem -5dB - nie węższe niż 68Hz - 18kHz</w:t>
            </w:r>
          </w:p>
          <w:p w14:paraId="024D7282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lastRenderedPageBreak/>
              <w:t xml:space="preserve">f. Ilość kanałów wzmacniacza potrzebna do zasilenia zestawu głośnikowego : 1  </w:t>
            </w:r>
          </w:p>
          <w:p w14:paraId="702EA450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g. waga nie wyższa niż 36 kg</w:t>
            </w:r>
          </w:p>
          <w:p w14:paraId="64BA47D2" w14:textId="48628F05" w:rsidR="00D306A9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h. zestaw wyposażony w złącza Neutrik Speakon</w:t>
            </w:r>
          </w:p>
        </w:tc>
      </w:tr>
      <w:tr w:rsidR="00D306A9" w:rsidRPr="001479B4" w14:paraId="4873F774" w14:textId="77777777" w:rsidTr="00206CF6">
        <w:tc>
          <w:tcPr>
            <w:tcW w:w="650" w:type="dxa"/>
          </w:tcPr>
          <w:p w14:paraId="0E588046" w14:textId="6C20AA23" w:rsidR="00D306A9" w:rsidRPr="001479B4" w:rsidRDefault="00CF2EF9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lastRenderedPageBreak/>
              <w:t>II.</w:t>
            </w:r>
          </w:p>
        </w:tc>
        <w:tc>
          <w:tcPr>
            <w:tcW w:w="2573" w:type="dxa"/>
          </w:tcPr>
          <w:p w14:paraId="743DA42A" w14:textId="6F995434" w:rsidR="00D306A9" w:rsidRPr="001479B4" w:rsidRDefault="00CF2EF9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Zestaw głośnikowy szerokopasmowy</w:t>
            </w:r>
          </w:p>
        </w:tc>
        <w:tc>
          <w:tcPr>
            <w:tcW w:w="705" w:type="dxa"/>
          </w:tcPr>
          <w:p w14:paraId="7BCFDBEF" w14:textId="081A9C6E" w:rsidR="00D306A9" w:rsidRPr="001479B4" w:rsidRDefault="00CF2EF9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4 szt</w:t>
            </w:r>
          </w:p>
        </w:tc>
        <w:tc>
          <w:tcPr>
            <w:tcW w:w="5139" w:type="dxa"/>
          </w:tcPr>
          <w:p w14:paraId="3ECF3532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konstrukcja trójdrożna</w:t>
            </w:r>
          </w:p>
          <w:p w14:paraId="2E3899FB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minimum dwa przetworniki o średnicy 10’ , 1 przetwornik o średnicy 8’ , oraz dwa przetworniki wysokociśnieniowe o średnicy 1,4’</w:t>
            </w:r>
          </w:p>
          <w:p w14:paraId="4C77EB5A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 dyspersja horyzontalnie : nie mniej niż 115 stopni i nie więcej niż 125 stopni (mierzone od 300Hz w górę pasma akustycznego)</w:t>
            </w:r>
          </w:p>
          <w:p w14:paraId="2F8CCC3D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 maksymalne ciśnienie akustyczne nie niższe niż 139 dB SPL. (mierzone dla crest factor 4)</w:t>
            </w:r>
          </w:p>
          <w:p w14:paraId="47841341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pasmo przenoszenia liczone ze spadkiem -5dB - nie węższe niż 68Hz - 18kHz</w:t>
            </w:r>
          </w:p>
          <w:p w14:paraId="30E38F50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f. Ilość kanałów wzmacniacza potrzebna do zasilenia zestawu głośnikowego : 1  </w:t>
            </w:r>
          </w:p>
          <w:p w14:paraId="24FDBCB7" w14:textId="77777777" w:rsidR="00BB6F0E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g. waga nie wyższa niż 36 kg  </w:t>
            </w:r>
          </w:p>
          <w:p w14:paraId="7035699D" w14:textId="353D8B5A" w:rsidR="00D306A9" w:rsidRPr="001479B4" w:rsidRDefault="00BB6F0E" w:rsidP="00BB6F0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h. zestaw wyposażony w złącza Neutrik Speakon</w:t>
            </w:r>
          </w:p>
        </w:tc>
      </w:tr>
      <w:tr w:rsidR="00D306A9" w:rsidRPr="001479B4" w14:paraId="67BE65A3" w14:textId="77777777" w:rsidTr="00206CF6">
        <w:tc>
          <w:tcPr>
            <w:tcW w:w="650" w:type="dxa"/>
          </w:tcPr>
          <w:p w14:paraId="23E8EEBD" w14:textId="7B98FE7D" w:rsidR="00D306A9" w:rsidRPr="001479B4" w:rsidRDefault="001061E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573" w:type="dxa"/>
          </w:tcPr>
          <w:p w14:paraId="3A1B9B15" w14:textId="2D33361D" w:rsidR="00D306A9" w:rsidRPr="001479B4" w:rsidRDefault="001061E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Wzmacniacz mocy zintegrowany z procesorem DSP</w:t>
            </w:r>
          </w:p>
        </w:tc>
        <w:tc>
          <w:tcPr>
            <w:tcW w:w="705" w:type="dxa"/>
          </w:tcPr>
          <w:p w14:paraId="501946F9" w14:textId="52A379CC" w:rsidR="00D306A9" w:rsidRPr="001479B4" w:rsidRDefault="001F7810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2 szt</w:t>
            </w:r>
          </w:p>
        </w:tc>
        <w:tc>
          <w:tcPr>
            <w:tcW w:w="5139" w:type="dxa"/>
          </w:tcPr>
          <w:p w14:paraId="204BFB64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ilość kanałów wzmacniacza: 4</w:t>
            </w:r>
          </w:p>
          <w:p w14:paraId="1DF7FBBB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Moc wzmacniacza: nie mniej niż 1600W na kanał @ 4 Ohm</w:t>
            </w:r>
          </w:p>
          <w:p w14:paraId="4D80E496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 procesor DSP z biblioteką dla wielu zestawów głośnikowych producenta w tym nie mniej niż dla typów głośników proponowanych w ofercie</w:t>
            </w:r>
          </w:p>
          <w:p w14:paraId="64CE3C69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 maksymalny krótkotrwały pobór mocy nie większy niż 2.35 kW (short RMS)</w:t>
            </w:r>
          </w:p>
          <w:p w14:paraId="56F073E4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wyjścia wzmacniacza - co najmniej 4x NL4</w:t>
            </w:r>
          </w:p>
          <w:p w14:paraId="619AD34F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f. praca procesora DSP z częstotliwością 96 kHz</w:t>
            </w:r>
          </w:p>
          <w:p w14:paraId="0BA9639B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g. wysokość w standardzie rack units: 2U</w:t>
            </w:r>
          </w:p>
          <w:p w14:paraId="7C5EE5FB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h. 4 wejścia analogowe i (zamiennie) 2 razy wejście AES3</w:t>
            </w:r>
          </w:p>
          <w:p w14:paraId="5FA9C29F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i. wbudowany port Ethernet do zarządzania z możliwością użycia topologii daisy chain do połączenia 2 wzmacniaczy</w:t>
            </w:r>
          </w:p>
          <w:p w14:paraId="0E9C3218" w14:textId="77777777" w:rsidR="001F7810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j. zabezpieczenie przed podaniem zbyt wysokiego napięcia zasilania ( międzyfazowo)- do 400V</w:t>
            </w:r>
          </w:p>
          <w:p w14:paraId="74C4B032" w14:textId="193A7E84" w:rsidR="00D306A9" w:rsidRPr="001479B4" w:rsidRDefault="001F7810" w:rsidP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k. wbudowane dwa zasilacze : jeden do normalnego zasilenia urządzenia w zakresie 100-240V, drugi zasilający tylko moduł DSP i zarządzania wzmacniaczem w przypadku zmian napięcie zasilającego w zakresie 55 VAC-400VAC.</w:t>
            </w:r>
          </w:p>
        </w:tc>
      </w:tr>
      <w:tr w:rsidR="00D306A9" w:rsidRPr="001479B4" w14:paraId="104EB4C5" w14:textId="77777777" w:rsidTr="00206CF6">
        <w:tc>
          <w:tcPr>
            <w:tcW w:w="650" w:type="dxa"/>
          </w:tcPr>
          <w:p w14:paraId="0E4E0159" w14:textId="31F56116" w:rsidR="00D306A9" w:rsidRPr="001479B4" w:rsidRDefault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73" w:type="dxa"/>
          </w:tcPr>
          <w:p w14:paraId="619672B8" w14:textId="5FF5481B" w:rsidR="00D306A9" w:rsidRPr="001479B4" w:rsidRDefault="001F781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Ramy do podwieszenia systemu zapewniające możliwość podwieszenia co najmniej 12 modułów szerokopasmowych typu line array </w:t>
            </w:r>
          </w:p>
        </w:tc>
        <w:tc>
          <w:tcPr>
            <w:tcW w:w="705" w:type="dxa"/>
          </w:tcPr>
          <w:p w14:paraId="63BBF04E" w14:textId="4114672E" w:rsidR="00D306A9" w:rsidRPr="001479B4" w:rsidRDefault="001F7810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2 szt</w:t>
            </w:r>
          </w:p>
        </w:tc>
        <w:tc>
          <w:tcPr>
            <w:tcW w:w="5139" w:type="dxa"/>
          </w:tcPr>
          <w:p w14:paraId="19FE627F" w14:textId="6B6C58DA" w:rsidR="00D306A9" w:rsidRPr="001479B4" w:rsidRDefault="00732CDD" w:rsidP="00732CDD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a. </w:t>
            </w:r>
            <w:r w:rsidR="009139A4" w:rsidRPr="001479B4">
              <w:rPr>
                <w:rFonts w:ascii="Times New Roman" w:hAnsi="Times New Roman" w:cs="Times New Roman"/>
              </w:rPr>
              <w:t>ramy powinny być dostarczone wraz z elementami zabezpieczającymi zgodnie z instrukcją producenta systemu</w:t>
            </w:r>
            <w:r w:rsidRPr="001479B4">
              <w:rPr>
                <w:rFonts w:ascii="Times New Roman" w:hAnsi="Times New Roman" w:cs="Times New Roman"/>
              </w:rPr>
              <w:t>,</w:t>
            </w:r>
          </w:p>
          <w:p w14:paraId="3BFEDD04" w14:textId="37EB57D1" w:rsidR="00732CDD" w:rsidRPr="001479B4" w:rsidRDefault="00732CDD" w:rsidP="00732CDD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akcesoria powinny posiadać wymagane certyfikaty i atesty</w:t>
            </w:r>
          </w:p>
        </w:tc>
      </w:tr>
      <w:tr w:rsidR="00FB0CFE" w:rsidRPr="001479B4" w14:paraId="63FA6058" w14:textId="77777777" w:rsidTr="00206CF6">
        <w:tc>
          <w:tcPr>
            <w:tcW w:w="650" w:type="dxa"/>
          </w:tcPr>
          <w:p w14:paraId="36A9E710" w14:textId="4C3B1B8A" w:rsidR="00FB0CFE" w:rsidRPr="001479B4" w:rsidRDefault="00FB0CFE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73" w:type="dxa"/>
          </w:tcPr>
          <w:p w14:paraId="2F122782" w14:textId="782F2E83" w:rsidR="00FB0CFE" w:rsidRPr="001479B4" w:rsidRDefault="00FB0CFE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Oprogramowanie do akustycznej predykcji zachowania systemu</w:t>
            </w:r>
            <w:r w:rsidR="00C321D4" w:rsidRPr="001479B4">
              <w:rPr>
                <w:rFonts w:ascii="Times New Roman" w:hAnsi="Times New Roman" w:cs="Times New Roman"/>
              </w:rPr>
              <w:t xml:space="preserve"> kompatybilne z urządzeniami</w:t>
            </w:r>
          </w:p>
        </w:tc>
        <w:tc>
          <w:tcPr>
            <w:tcW w:w="705" w:type="dxa"/>
          </w:tcPr>
          <w:p w14:paraId="66825FC5" w14:textId="78C8A6A5" w:rsidR="00FB0CFE" w:rsidRPr="001479B4" w:rsidRDefault="00FB0CFE" w:rsidP="0083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</w:tcPr>
          <w:p w14:paraId="32A0F597" w14:textId="5658FF17" w:rsidR="00FB0CFE" w:rsidRPr="001479B4" w:rsidRDefault="007F3FB7" w:rsidP="001B58EF">
            <w:pPr>
              <w:jc w:val="both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Profesjonalne oprogramowanie dedykowane do dostarczanych urządzeń</w:t>
            </w:r>
            <w:r w:rsidR="008D02E1" w:rsidRPr="001479B4">
              <w:rPr>
                <w:rFonts w:ascii="Times New Roman" w:hAnsi="Times New Roman" w:cs="Times New Roman"/>
              </w:rPr>
              <w:t xml:space="preserve"> (kolumny głośnikowe, wzmacniacze) umożliwiające symulację zachowania źródeł dźwięku w docelowej przestrzeni sali koncertowej.</w:t>
            </w:r>
          </w:p>
        </w:tc>
      </w:tr>
      <w:tr w:rsidR="00FB0CFE" w:rsidRPr="001479B4" w14:paraId="79A50C6A" w14:textId="77777777" w:rsidTr="00206CF6">
        <w:tc>
          <w:tcPr>
            <w:tcW w:w="650" w:type="dxa"/>
          </w:tcPr>
          <w:p w14:paraId="6710CAD9" w14:textId="114B436B" w:rsidR="00FB0CFE" w:rsidRPr="001479B4" w:rsidRDefault="00FB0CFE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73" w:type="dxa"/>
          </w:tcPr>
          <w:p w14:paraId="0A42DD4C" w14:textId="5574A67C" w:rsidR="00FB0CFE" w:rsidRPr="001479B4" w:rsidRDefault="00FB0CFE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Oprogramowanie do zarządzania systemem</w:t>
            </w:r>
            <w:r w:rsidR="00B91BD8" w:rsidRPr="001479B4">
              <w:rPr>
                <w:rFonts w:ascii="Times New Roman" w:hAnsi="Times New Roman" w:cs="Times New Roman"/>
              </w:rPr>
              <w:t>,</w:t>
            </w:r>
            <w:r w:rsidRPr="001479B4">
              <w:rPr>
                <w:rFonts w:ascii="Times New Roman" w:hAnsi="Times New Roman" w:cs="Times New Roman"/>
              </w:rPr>
              <w:t xml:space="preserve"> </w:t>
            </w:r>
            <w:r w:rsidRPr="001479B4">
              <w:rPr>
                <w:rFonts w:ascii="Times New Roman" w:hAnsi="Times New Roman" w:cs="Times New Roman"/>
              </w:rPr>
              <w:lastRenderedPageBreak/>
              <w:t>umożliwiające monitorowanie wzmacniaczy i parametrów pracy systemu z poziomu komputera</w:t>
            </w:r>
          </w:p>
        </w:tc>
        <w:tc>
          <w:tcPr>
            <w:tcW w:w="705" w:type="dxa"/>
          </w:tcPr>
          <w:p w14:paraId="423066C1" w14:textId="77777777" w:rsidR="00FB0CFE" w:rsidRPr="001479B4" w:rsidRDefault="00FB0CFE" w:rsidP="0083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</w:tcPr>
          <w:p w14:paraId="4F5A9E3F" w14:textId="1FD28FFE" w:rsidR="00732CDD" w:rsidRPr="001479B4" w:rsidRDefault="00732CDD" w:rsidP="001B58EF">
            <w:pPr>
              <w:jc w:val="both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</w:t>
            </w:r>
            <w:r w:rsidR="003B4DA8" w:rsidRPr="001479B4">
              <w:rPr>
                <w:rFonts w:ascii="Times New Roman" w:hAnsi="Times New Roman" w:cs="Times New Roman"/>
              </w:rPr>
              <w:t xml:space="preserve"> </w:t>
            </w:r>
            <w:r w:rsidRPr="001479B4">
              <w:rPr>
                <w:rFonts w:ascii="Times New Roman" w:hAnsi="Times New Roman" w:cs="Times New Roman"/>
              </w:rPr>
              <w:t>interfejs sterowania wzmacniaczami mocy przy pomocy zewnętrznego komputera,</w:t>
            </w:r>
          </w:p>
          <w:p w14:paraId="6275A3B0" w14:textId="6F8A2452" w:rsidR="00732CDD" w:rsidRPr="001479B4" w:rsidRDefault="00732CDD" w:rsidP="001B58EF">
            <w:pPr>
              <w:jc w:val="both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lastRenderedPageBreak/>
              <w:t>b.</w:t>
            </w:r>
            <w:r w:rsidR="003B4DA8" w:rsidRPr="001479B4">
              <w:rPr>
                <w:rFonts w:ascii="Times New Roman" w:hAnsi="Times New Roman" w:cs="Times New Roman"/>
              </w:rPr>
              <w:t xml:space="preserve"> </w:t>
            </w:r>
            <w:r w:rsidRPr="001479B4">
              <w:rPr>
                <w:rFonts w:ascii="Times New Roman" w:hAnsi="Times New Roman" w:cs="Times New Roman"/>
              </w:rPr>
              <w:t>zapewniający dostęp do parametrów wzmacniacza routing sygnału wyjściowego, wyjściowego, poziom sygnału, korekcja, opóźnienie,</w:t>
            </w:r>
          </w:p>
          <w:p w14:paraId="55E2D227" w14:textId="21A05B12" w:rsidR="00FB0CFE" w:rsidRPr="001479B4" w:rsidRDefault="00732CDD" w:rsidP="001B58EF">
            <w:pPr>
              <w:jc w:val="both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</w:t>
            </w:r>
            <w:r w:rsidR="003B4DA8" w:rsidRPr="001479B4">
              <w:rPr>
                <w:rFonts w:ascii="Times New Roman" w:hAnsi="Times New Roman" w:cs="Times New Roman"/>
              </w:rPr>
              <w:t xml:space="preserve"> </w:t>
            </w:r>
            <w:r w:rsidRPr="001479B4">
              <w:rPr>
                <w:rFonts w:ascii="Times New Roman" w:hAnsi="Times New Roman" w:cs="Times New Roman"/>
              </w:rPr>
              <w:t>możliwość tworzenia presetów ustawień.</w:t>
            </w:r>
          </w:p>
        </w:tc>
      </w:tr>
      <w:tr w:rsidR="003B4DA8" w:rsidRPr="001479B4" w14:paraId="43B422EE" w14:textId="77777777" w:rsidTr="00206CF6">
        <w:tc>
          <w:tcPr>
            <w:tcW w:w="650" w:type="dxa"/>
          </w:tcPr>
          <w:p w14:paraId="2BEDB9EB" w14:textId="62A371B4" w:rsidR="003B4DA8" w:rsidRPr="001479B4" w:rsidRDefault="003B4DA8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lastRenderedPageBreak/>
              <w:t>VII.</w:t>
            </w:r>
          </w:p>
        </w:tc>
        <w:tc>
          <w:tcPr>
            <w:tcW w:w="2573" w:type="dxa"/>
          </w:tcPr>
          <w:p w14:paraId="5A023D71" w14:textId="14B7EBE1" w:rsidR="003B4DA8" w:rsidRPr="001479B4" w:rsidRDefault="00EC472B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Skrzynia do przechowywania i transportu wzmacniacza mocy</w:t>
            </w:r>
          </w:p>
        </w:tc>
        <w:tc>
          <w:tcPr>
            <w:tcW w:w="705" w:type="dxa"/>
          </w:tcPr>
          <w:p w14:paraId="22FC066C" w14:textId="7674FCBB" w:rsidR="003B4DA8" w:rsidRPr="001479B4" w:rsidRDefault="003B4DA8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5139" w:type="dxa"/>
          </w:tcPr>
          <w:p w14:paraId="2CD9A390" w14:textId="77777777" w:rsidR="00060C9E" w:rsidRPr="001479B4" w:rsidRDefault="00060C9E" w:rsidP="00060C9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skrzynia transportowa na kołach wyposażona w szyny rack 19”, umożliwiająca montaż wzmacniaczy mocy</w:t>
            </w:r>
          </w:p>
          <w:p w14:paraId="3464836F" w14:textId="77777777" w:rsidR="00060C9E" w:rsidRPr="001479B4" w:rsidRDefault="00060C9E" w:rsidP="00060C9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wyposażona w panel zasilający i panel dystrybucji audio,</w:t>
            </w:r>
          </w:p>
          <w:p w14:paraId="0F13150A" w14:textId="77777777" w:rsidR="00060C9E" w:rsidRPr="001479B4" w:rsidRDefault="00060C9E" w:rsidP="00060C9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 wykonana z czarnej sklejki,</w:t>
            </w:r>
          </w:p>
          <w:p w14:paraId="6A1AE0B2" w14:textId="77777777" w:rsidR="00060C9E" w:rsidRPr="001479B4" w:rsidRDefault="00060C9E" w:rsidP="00060C9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 metalowe okucia na narożnikach,</w:t>
            </w:r>
          </w:p>
          <w:p w14:paraId="1BF0A25D" w14:textId="77777777" w:rsidR="003B4DA8" w:rsidRPr="001479B4" w:rsidRDefault="00060C9E" w:rsidP="00060C9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kółka jezdne o średnicy nie mniejszej niż 100 mm</w:t>
            </w:r>
            <w:r w:rsidR="00EC472B" w:rsidRPr="001479B4">
              <w:rPr>
                <w:rFonts w:ascii="Times New Roman" w:hAnsi="Times New Roman" w:cs="Times New Roman"/>
              </w:rPr>
              <w:t>,</w:t>
            </w:r>
          </w:p>
          <w:p w14:paraId="398F2611" w14:textId="172576BE" w:rsidR="00EC472B" w:rsidRPr="001479B4" w:rsidRDefault="00EC472B" w:rsidP="00060C9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f. </w:t>
            </w:r>
            <w:r w:rsidR="00AD4526" w:rsidRPr="001479B4">
              <w:rPr>
                <w:rFonts w:ascii="Times New Roman" w:hAnsi="Times New Roman" w:cs="Times New Roman"/>
              </w:rPr>
              <w:t>uchwyty do przenoszeni</w:t>
            </w:r>
            <w:r w:rsidR="002B65FE" w:rsidRPr="001479B4">
              <w:rPr>
                <w:rFonts w:ascii="Times New Roman" w:hAnsi="Times New Roman" w:cs="Times New Roman"/>
              </w:rPr>
              <w:t>a</w:t>
            </w:r>
          </w:p>
        </w:tc>
      </w:tr>
      <w:tr w:rsidR="001316BE" w:rsidRPr="001479B4" w14:paraId="3F99F397" w14:textId="77777777" w:rsidTr="00206CF6">
        <w:tc>
          <w:tcPr>
            <w:tcW w:w="650" w:type="dxa"/>
          </w:tcPr>
          <w:p w14:paraId="02860BD8" w14:textId="5ECC93EB" w:rsidR="001316BE" w:rsidRPr="001479B4" w:rsidRDefault="001316BE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2573" w:type="dxa"/>
          </w:tcPr>
          <w:p w14:paraId="432DAD94" w14:textId="7FE1B092" w:rsidR="002212AD" w:rsidRPr="001479B4" w:rsidRDefault="002212AD" w:rsidP="002212AD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Montaż systemu nagłośnienia wraz z okablowaniem, strojenie, szkolenie, dokumentacja</w:t>
            </w:r>
            <w:r w:rsidRPr="001479B4">
              <w:rPr>
                <w:rFonts w:ascii="Times New Roman" w:hAnsi="Times New Roman" w:cs="Times New Roman"/>
              </w:rPr>
              <w:tab/>
            </w:r>
          </w:p>
          <w:p w14:paraId="6B81034E" w14:textId="77777777" w:rsidR="001316BE" w:rsidRPr="001479B4" w:rsidRDefault="001316BE" w:rsidP="00FB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4F68BD20" w14:textId="77777777" w:rsidR="001316BE" w:rsidRPr="001479B4" w:rsidRDefault="001316BE" w:rsidP="0083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</w:tcPr>
          <w:p w14:paraId="7FF31DD7" w14:textId="7AE332B2" w:rsidR="00A14999" w:rsidRPr="001479B4" w:rsidRDefault="00A14999" w:rsidP="0062341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79B4">
              <w:rPr>
                <w:rFonts w:ascii="Times New Roman" w:hAnsi="Times New Roman" w:cs="Times New Roman"/>
                <w:u w:val="single"/>
              </w:rPr>
              <w:t>Zalecana wizja lokalna Sali Koncertowej Filharmonii Podkarpackiej</w:t>
            </w:r>
            <w:r w:rsidR="00A32CB9">
              <w:rPr>
                <w:rFonts w:ascii="Times New Roman" w:hAnsi="Times New Roman" w:cs="Times New Roman"/>
                <w:u w:val="single"/>
              </w:rPr>
              <w:t xml:space="preserve"> po uprzednim uzgodnieniu terminu.</w:t>
            </w:r>
          </w:p>
          <w:p w14:paraId="6D264262" w14:textId="6F82974B" w:rsidR="002212AD" w:rsidRPr="001479B4" w:rsidRDefault="005B7F2A" w:rsidP="005B7F2A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a. </w:t>
            </w:r>
            <w:r w:rsidR="002212AD" w:rsidRPr="001479B4">
              <w:rPr>
                <w:rFonts w:ascii="Times New Roman" w:hAnsi="Times New Roman" w:cs="Times New Roman"/>
              </w:rPr>
              <w:t>dostarczenie odpowiedniej ilości okablowania zapewniającego podłączenie sygnałów fonicznych, sygnałów zasilających oraz sygnałów głośnikowych</w:t>
            </w:r>
            <w:r w:rsidR="006E7815" w:rsidRPr="001479B4">
              <w:rPr>
                <w:rFonts w:ascii="Times New Roman" w:hAnsi="Times New Roman" w:cs="Times New Roman"/>
              </w:rPr>
              <w:t>.</w:t>
            </w:r>
            <w:r w:rsidR="00E84712" w:rsidRPr="001479B4">
              <w:rPr>
                <w:rFonts w:ascii="Times New Roman" w:hAnsi="Times New Roman" w:cs="Times New Roman"/>
              </w:rPr>
              <w:t xml:space="preserve"> </w:t>
            </w:r>
            <w:r w:rsidR="006E7815" w:rsidRPr="001479B4">
              <w:rPr>
                <w:rFonts w:ascii="Times New Roman" w:hAnsi="Times New Roman" w:cs="Times New Roman"/>
              </w:rPr>
              <w:t>Odległość</w:t>
            </w:r>
            <w:r w:rsidR="002212AD" w:rsidRPr="001479B4">
              <w:rPr>
                <w:rFonts w:ascii="Times New Roman" w:hAnsi="Times New Roman" w:cs="Times New Roman"/>
              </w:rPr>
              <w:t xml:space="preserve"> pomiędzy </w:t>
            </w:r>
            <w:r w:rsidR="00B91AE0" w:rsidRPr="001479B4">
              <w:rPr>
                <w:rFonts w:ascii="Times New Roman" w:hAnsi="Times New Roman" w:cs="Times New Roman"/>
              </w:rPr>
              <w:t xml:space="preserve">miejscem </w:t>
            </w:r>
            <w:r w:rsidR="002212AD" w:rsidRPr="001479B4">
              <w:rPr>
                <w:rFonts w:ascii="Times New Roman" w:hAnsi="Times New Roman" w:cs="Times New Roman"/>
              </w:rPr>
              <w:t>wzmacniacz</w:t>
            </w:r>
            <w:r w:rsidR="00B91AE0" w:rsidRPr="001479B4">
              <w:rPr>
                <w:rFonts w:ascii="Times New Roman" w:hAnsi="Times New Roman" w:cs="Times New Roman"/>
              </w:rPr>
              <w:t>y</w:t>
            </w:r>
            <w:r w:rsidR="002212AD" w:rsidRPr="001479B4">
              <w:rPr>
                <w:rFonts w:ascii="Times New Roman" w:hAnsi="Times New Roman" w:cs="Times New Roman"/>
              </w:rPr>
              <w:t xml:space="preserve"> a </w:t>
            </w:r>
            <w:r w:rsidR="00B91AE0" w:rsidRPr="001479B4">
              <w:rPr>
                <w:rFonts w:ascii="Times New Roman" w:hAnsi="Times New Roman" w:cs="Times New Roman"/>
              </w:rPr>
              <w:t>punktami zawieszenia kolumn głośnikowych wynosi 40 m</w:t>
            </w:r>
            <w:r w:rsidR="002212AD" w:rsidRPr="001479B4">
              <w:rPr>
                <w:rFonts w:ascii="Times New Roman" w:hAnsi="Times New Roman" w:cs="Times New Roman"/>
              </w:rPr>
              <w:t>,</w:t>
            </w:r>
          </w:p>
          <w:p w14:paraId="7B30647F" w14:textId="1A13DD51" w:rsidR="005B7F2A" w:rsidRPr="001479B4" w:rsidRDefault="003F6AB9" w:rsidP="005B7F2A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b. </w:t>
            </w:r>
            <w:r w:rsidR="005B7F2A" w:rsidRPr="001479B4">
              <w:rPr>
                <w:rFonts w:ascii="Times New Roman" w:hAnsi="Times New Roman" w:cs="Times New Roman"/>
              </w:rPr>
              <w:t>doprowadzenie sygnałów fonicznych ze sceny do wzmacniaczy, z wykorzystaniem istniejącej infrastruktury przewodów</w:t>
            </w:r>
            <w:r w:rsidR="007F3FB7" w:rsidRPr="001479B4">
              <w:rPr>
                <w:rFonts w:ascii="Times New Roman" w:hAnsi="Times New Roman" w:cs="Times New Roman"/>
              </w:rPr>
              <w:t xml:space="preserve">. </w:t>
            </w:r>
            <w:r w:rsidR="001D48DE" w:rsidRPr="001479B4">
              <w:rPr>
                <w:rFonts w:ascii="Times New Roman" w:hAnsi="Times New Roman" w:cs="Times New Roman"/>
              </w:rPr>
              <w:t>O</w:t>
            </w:r>
            <w:r w:rsidR="007F3FB7" w:rsidRPr="001479B4">
              <w:rPr>
                <w:rFonts w:ascii="Times New Roman" w:hAnsi="Times New Roman" w:cs="Times New Roman"/>
              </w:rPr>
              <w:t>dległość – 20 m.</w:t>
            </w:r>
          </w:p>
          <w:p w14:paraId="0A8C5201" w14:textId="2D4F5174" w:rsidR="005B7F2A" w:rsidRPr="001479B4" w:rsidRDefault="005B7F2A" w:rsidP="005B7F2A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</w:t>
            </w:r>
            <w:r w:rsidR="003F6AB9" w:rsidRPr="001479B4">
              <w:rPr>
                <w:rFonts w:ascii="Times New Roman" w:hAnsi="Times New Roman" w:cs="Times New Roman"/>
              </w:rPr>
              <w:t xml:space="preserve"> </w:t>
            </w:r>
            <w:r w:rsidRPr="001479B4">
              <w:rPr>
                <w:rFonts w:ascii="Times New Roman" w:hAnsi="Times New Roman" w:cs="Times New Roman"/>
              </w:rPr>
              <w:t>zapewnienie zasilania dla wzmacniaczy mocy</w:t>
            </w:r>
            <w:r w:rsidR="007F3FB7" w:rsidRPr="001479B4">
              <w:rPr>
                <w:rFonts w:ascii="Times New Roman" w:hAnsi="Times New Roman" w:cs="Times New Roman"/>
              </w:rPr>
              <w:t>, przyłącz 32A odległość ok 15 m od wzmacniacza z wykorzystaniem istniejących koryt kablowych</w:t>
            </w:r>
          </w:p>
          <w:p w14:paraId="5B205736" w14:textId="77777777" w:rsidR="001316BE" w:rsidRPr="001479B4" w:rsidRDefault="005B7F2A" w:rsidP="005B7F2A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</w:t>
            </w:r>
            <w:r w:rsidR="003F6AB9" w:rsidRPr="001479B4">
              <w:rPr>
                <w:rFonts w:ascii="Times New Roman" w:hAnsi="Times New Roman" w:cs="Times New Roman"/>
              </w:rPr>
              <w:t xml:space="preserve"> </w:t>
            </w:r>
            <w:r w:rsidRPr="001479B4">
              <w:rPr>
                <w:rFonts w:ascii="Times New Roman" w:hAnsi="Times New Roman" w:cs="Times New Roman"/>
              </w:rPr>
              <w:t>zawieszenie systemu nagłośnienia w miejscu istniejących punktów podwieszenia (wyciągarki i belka będące na wyposażeniu Filharmonii),</w:t>
            </w:r>
          </w:p>
          <w:p w14:paraId="5934025F" w14:textId="4F018F7D" w:rsidR="00F73CA2" w:rsidRPr="001479B4" w:rsidRDefault="00F73CA2" w:rsidP="00F73CA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wykonanie niezbędnych stałych instalacji kablowych przewodami niewpływającymi na pogorszenie parametrów dźwięku czy też trwałości istniejącej instalacji,</w:t>
            </w:r>
          </w:p>
          <w:p w14:paraId="3B4BDFB6" w14:textId="09EA8DCC" w:rsidR="00F73CA2" w:rsidRPr="001479B4" w:rsidRDefault="00F73CA2" w:rsidP="00F73CA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f. układanie okablowania w gotowych korytach kablowych,</w:t>
            </w:r>
          </w:p>
          <w:p w14:paraId="68D223DA" w14:textId="0DAB6309" w:rsidR="00F73CA2" w:rsidRPr="001479B4" w:rsidRDefault="00F73CA2" w:rsidP="00F73CA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g. montaż, konfiguracja i uruchomienie,</w:t>
            </w:r>
          </w:p>
          <w:p w14:paraId="002C53DD" w14:textId="1D0A77D8" w:rsidR="00E41AB0" w:rsidRPr="001479B4" w:rsidRDefault="00F73CA2" w:rsidP="002E637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h. strojenie systemu nagłośnienia w Sali Koncertowej,</w:t>
            </w:r>
          </w:p>
        </w:tc>
      </w:tr>
      <w:tr w:rsidR="002E6370" w:rsidRPr="001479B4" w14:paraId="6359624C" w14:textId="77777777" w:rsidTr="00206CF6">
        <w:tc>
          <w:tcPr>
            <w:tcW w:w="650" w:type="dxa"/>
          </w:tcPr>
          <w:p w14:paraId="538906F4" w14:textId="3AE849D4" w:rsidR="002E6370" w:rsidRPr="001479B4" w:rsidRDefault="002E6370" w:rsidP="00FB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2573" w:type="dxa"/>
          </w:tcPr>
          <w:p w14:paraId="4ADCA5E4" w14:textId="46891F23" w:rsidR="002E6370" w:rsidRPr="001479B4" w:rsidRDefault="00206CF6" w:rsidP="002212AD">
            <w:pPr>
              <w:rPr>
                <w:rFonts w:ascii="Times New Roman" w:hAnsi="Times New Roman" w:cs="Times New Roman"/>
              </w:rPr>
            </w:pPr>
            <w:r w:rsidRPr="00206CF6">
              <w:rPr>
                <w:rFonts w:ascii="Times New Roman" w:hAnsi="Times New Roman" w:cs="Times New Roman"/>
              </w:rPr>
              <w:t>Instruktaż pracowników</w:t>
            </w:r>
          </w:p>
        </w:tc>
        <w:tc>
          <w:tcPr>
            <w:tcW w:w="705" w:type="dxa"/>
          </w:tcPr>
          <w:p w14:paraId="0DD50136" w14:textId="77777777" w:rsidR="002E6370" w:rsidRPr="001479B4" w:rsidRDefault="002E6370" w:rsidP="0083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</w:tcPr>
          <w:p w14:paraId="3F9C1EE1" w14:textId="148CA2DC" w:rsidR="002E6370" w:rsidRPr="002E6370" w:rsidRDefault="002E6370" w:rsidP="0062341C">
            <w:pPr>
              <w:jc w:val="both"/>
              <w:rPr>
                <w:rFonts w:ascii="Times New Roman" w:hAnsi="Times New Roman" w:cs="Times New Roman"/>
              </w:rPr>
            </w:pPr>
            <w:r w:rsidRPr="002E6370">
              <w:rPr>
                <w:rFonts w:ascii="Times New Roman" w:hAnsi="Times New Roman" w:cs="Times New Roman"/>
              </w:rPr>
              <w:t>Instruktaż dla minimum dwóch pracowników Zamawiającego w zakresie obsługi dostarczonego urządzenia i oprogramowania</w:t>
            </w:r>
            <w:r w:rsidR="00A32CB9">
              <w:rPr>
                <w:rFonts w:ascii="Times New Roman" w:hAnsi="Times New Roman" w:cs="Times New Roman"/>
              </w:rPr>
              <w:t xml:space="preserve"> </w:t>
            </w:r>
            <w:r w:rsidRPr="002E6370">
              <w:rPr>
                <w:rFonts w:ascii="Times New Roman" w:hAnsi="Times New Roman" w:cs="Times New Roman"/>
              </w:rPr>
              <w:t>w miejscu wskazanym przez Zamawiającego.</w:t>
            </w:r>
          </w:p>
        </w:tc>
      </w:tr>
      <w:tr w:rsidR="002E6370" w:rsidRPr="001479B4" w14:paraId="415E27A0" w14:textId="77777777" w:rsidTr="00206CF6">
        <w:tc>
          <w:tcPr>
            <w:tcW w:w="650" w:type="dxa"/>
          </w:tcPr>
          <w:p w14:paraId="026C897D" w14:textId="4BB94149" w:rsidR="002E6370" w:rsidRPr="001479B4" w:rsidRDefault="002E6370" w:rsidP="00FB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2573" w:type="dxa"/>
          </w:tcPr>
          <w:p w14:paraId="18E3310B" w14:textId="2B5A6255" w:rsidR="002E6370" w:rsidRPr="001479B4" w:rsidRDefault="00206CF6" w:rsidP="002212AD">
            <w:pPr>
              <w:rPr>
                <w:rFonts w:ascii="Times New Roman" w:hAnsi="Times New Roman" w:cs="Times New Roman"/>
              </w:rPr>
            </w:pPr>
            <w:r w:rsidRPr="00206CF6">
              <w:rPr>
                <w:rFonts w:ascii="Times New Roman" w:hAnsi="Times New Roman" w:cs="Times New Roman"/>
              </w:rPr>
              <w:t>Przygotowanie dokumentacji powykonawczej</w:t>
            </w:r>
          </w:p>
        </w:tc>
        <w:tc>
          <w:tcPr>
            <w:tcW w:w="705" w:type="dxa"/>
          </w:tcPr>
          <w:p w14:paraId="5EDD220D" w14:textId="77777777" w:rsidR="002E6370" w:rsidRPr="001479B4" w:rsidRDefault="002E6370" w:rsidP="0083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</w:tcPr>
          <w:p w14:paraId="3A0C34D4" w14:textId="77777777" w:rsidR="002E6370" w:rsidRPr="002E6370" w:rsidRDefault="002E6370" w:rsidP="002E6370">
            <w:pPr>
              <w:jc w:val="both"/>
              <w:rPr>
                <w:rFonts w:ascii="Times New Roman" w:hAnsi="Times New Roman" w:cs="Times New Roman"/>
              </w:rPr>
            </w:pPr>
            <w:r w:rsidRPr="002E6370">
              <w:rPr>
                <w:rFonts w:ascii="Times New Roman" w:hAnsi="Times New Roman" w:cs="Times New Roman"/>
              </w:rPr>
              <w:t>Do odbioru przedmiotu zamówienia Wykonawca winien przedłożyć następujące dokumenty:</w:t>
            </w:r>
          </w:p>
          <w:p w14:paraId="01538A0D" w14:textId="77777777" w:rsidR="002E6370" w:rsidRPr="002E6370" w:rsidRDefault="002E6370" w:rsidP="002E6370">
            <w:pPr>
              <w:jc w:val="both"/>
              <w:rPr>
                <w:rFonts w:ascii="Times New Roman" w:hAnsi="Times New Roman" w:cs="Times New Roman"/>
              </w:rPr>
            </w:pPr>
            <w:r w:rsidRPr="002E6370">
              <w:rPr>
                <w:rFonts w:ascii="Times New Roman" w:hAnsi="Times New Roman" w:cs="Times New Roman"/>
              </w:rPr>
              <w:t>• deklaracje zgodności oraz certyfikaty,</w:t>
            </w:r>
          </w:p>
          <w:p w14:paraId="7CE3D0D0" w14:textId="77777777" w:rsidR="002E6370" w:rsidRPr="002E6370" w:rsidRDefault="002E6370" w:rsidP="002E6370">
            <w:pPr>
              <w:jc w:val="both"/>
              <w:rPr>
                <w:rFonts w:ascii="Times New Roman" w:hAnsi="Times New Roman" w:cs="Times New Roman"/>
              </w:rPr>
            </w:pPr>
            <w:r w:rsidRPr="002E6370">
              <w:rPr>
                <w:rFonts w:ascii="Times New Roman" w:hAnsi="Times New Roman" w:cs="Times New Roman"/>
              </w:rPr>
              <w:t>• karty gwarancyjne,</w:t>
            </w:r>
          </w:p>
          <w:p w14:paraId="56D62EDF" w14:textId="77777777" w:rsidR="002E6370" w:rsidRDefault="002E6370" w:rsidP="002E6370">
            <w:pPr>
              <w:jc w:val="both"/>
              <w:rPr>
                <w:rFonts w:ascii="Times New Roman" w:hAnsi="Times New Roman" w:cs="Times New Roman"/>
              </w:rPr>
            </w:pPr>
            <w:r w:rsidRPr="002E6370">
              <w:rPr>
                <w:rFonts w:ascii="Times New Roman" w:hAnsi="Times New Roman" w:cs="Times New Roman"/>
              </w:rPr>
              <w:t>• instrukcje obsługi urządzeń, w formie elektronicznej, edytowalnej z możliwością zapisania w formacie pdf.</w:t>
            </w:r>
          </w:p>
          <w:p w14:paraId="64704043" w14:textId="30FC36FC" w:rsidR="00BE0681" w:rsidRPr="002E6370" w:rsidRDefault="00BE0681" w:rsidP="002E63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CFE" w:rsidRPr="001479B4" w14:paraId="1B232F63" w14:textId="77777777" w:rsidTr="00206CF6">
        <w:tc>
          <w:tcPr>
            <w:tcW w:w="650" w:type="dxa"/>
          </w:tcPr>
          <w:p w14:paraId="4CF57C51" w14:textId="77777777" w:rsidR="00FB0CFE" w:rsidRPr="001479B4" w:rsidRDefault="00FB0CFE" w:rsidP="00FB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3" w:type="dxa"/>
          </w:tcPr>
          <w:p w14:paraId="00AF1EB3" w14:textId="5788F044" w:rsidR="00FB0CFE" w:rsidRPr="001479B4" w:rsidRDefault="00FB0CFE" w:rsidP="00FB0CFE">
            <w:pPr>
              <w:rPr>
                <w:rFonts w:ascii="Times New Roman" w:hAnsi="Times New Roman" w:cs="Times New Roman"/>
                <w:b/>
                <w:bCs/>
              </w:rPr>
            </w:pPr>
            <w:r w:rsidRPr="001479B4">
              <w:rPr>
                <w:rFonts w:ascii="Times New Roman" w:hAnsi="Times New Roman" w:cs="Times New Roman"/>
                <w:b/>
                <w:bCs/>
              </w:rPr>
              <w:t>ZADANIE 2:</w:t>
            </w:r>
          </w:p>
        </w:tc>
        <w:tc>
          <w:tcPr>
            <w:tcW w:w="705" w:type="dxa"/>
          </w:tcPr>
          <w:p w14:paraId="59396263" w14:textId="77777777" w:rsidR="00FB0CFE" w:rsidRPr="001479B4" w:rsidRDefault="00FB0CFE" w:rsidP="00836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9" w:type="dxa"/>
          </w:tcPr>
          <w:p w14:paraId="09805400" w14:textId="77777777" w:rsidR="00FB0CFE" w:rsidRPr="001479B4" w:rsidRDefault="00FB0CFE" w:rsidP="00FB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850" w:rsidRPr="001479B4" w14:paraId="0DD57226" w14:textId="77777777" w:rsidTr="00206CF6">
        <w:tc>
          <w:tcPr>
            <w:tcW w:w="650" w:type="dxa"/>
          </w:tcPr>
          <w:p w14:paraId="172F7FCF" w14:textId="483E3CED" w:rsidR="00641850" w:rsidRPr="001479B4" w:rsidRDefault="00641850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573" w:type="dxa"/>
          </w:tcPr>
          <w:p w14:paraId="1446E904" w14:textId="4F8368F0" w:rsidR="00641850" w:rsidRPr="001479B4" w:rsidRDefault="00641850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Zestaw głośnikowy niskotonowy</w:t>
            </w:r>
          </w:p>
        </w:tc>
        <w:tc>
          <w:tcPr>
            <w:tcW w:w="705" w:type="dxa"/>
          </w:tcPr>
          <w:p w14:paraId="7F65F67F" w14:textId="20578E54" w:rsidR="00641850" w:rsidRPr="001479B4" w:rsidRDefault="00641850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4 szt</w:t>
            </w:r>
          </w:p>
        </w:tc>
        <w:tc>
          <w:tcPr>
            <w:tcW w:w="5139" w:type="dxa"/>
          </w:tcPr>
          <w:p w14:paraId="4C48E257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 charakterystyka kardioidalna (min. 2 przetworniki w konstrukcji oferującej kardioidalną charakterystykę kierunkową)</w:t>
            </w:r>
          </w:p>
          <w:p w14:paraId="231FF9DA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lastRenderedPageBreak/>
              <w:t>b.  minimum 1 przetwornik w rozmiarze 18’</w:t>
            </w:r>
          </w:p>
          <w:p w14:paraId="1CC0D64C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  maksymalne ciśnienie akustyczne nie niższe niż 133 dB SPL</w:t>
            </w:r>
          </w:p>
          <w:p w14:paraId="2CE9DAA2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 ilość kanałów wzmacniacza potrzebnych do zasilenia zestawu głośnikowego: 1</w:t>
            </w:r>
          </w:p>
          <w:p w14:paraId="22753519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waga nie wyższa niż 63 kg</w:t>
            </w:r>
          </w:p>
          <w:p w14:paraId="0582B50F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f. pasmo przenoszenia liczone ze spadkiem - 5dB - nie węższe niż 39Hz-110 Hz</w:t>
            </w:r>
          </w:p>
          <w:p w14:paraId="0268C40A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g. zestaw wyposażony w kółka ułatwiające transport</w:t>
            </w:r>
          </w:p>
          <w:p w14:paraId="083560F8" w14:textId="77777777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g. wymiary zestawu niskotonowego  z kółkami nie większe niż (wysokość/szerokość/głębokość) 700mm/750mm/850mm </w:t>
            </w:r>
          </w:p>
          <w:p w14:paraId="05AE613F" w14:textId="02D5B974" w:rsidR="00641850" w:rsidRPr="001479B4" w:rsidRDefault="00641850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h. zestaw wyposażony w zintegrowany system zawieszania</w:t>
            </w:r>
          </w:p>
        </w:tc>
      </w:tr>
      <w:tr w:rsidR="00641850" w:rsidRPr="001479B4" w14:paraId="2EA602A6" w14:textId="77777777" w:rsidTr="00206CF6">
        <w:tc>
          <w:tcPr>
            <w:tcW w:w="650" w:type="dxa"/>
          </w:tcPr>
          <w:p w14:paraId="3005022A" w14:textId="39919159" w:rsidR="00641850" w:rsidRPr="001479B4" w:rsidRDefault="00641850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lastRenderedPageBreak/>
              <w:t>II.</w:t>
            </w:r>
          </w:p>
        </w:tc>
        <w:tc>
          <w:tcPr>
            <w:tcW w:w="2573" w:type="dxa"/>
          </w:tcPr>
          <w:p w14:paraId="4B30C2D9" w14:textId="5E253EEE" w:rsidR="00641850" w:rsidRPr="001479B4" w:rsidRDefault="00914162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Zestaw głośnikowy szerokopasmowy (frontfill)</w:t>
            </w:r>
          </w:p>
        </w:tc>
        <w:tc>
          <w:tcPr>
            <w:tcW w:w="705" w:type="dxa"/>
          </w:tcPr>
          <w:p w14:paraId="28AFE483" w14:textId="71F028B6" w:rsidR="00641850" w:rsidRPr="001479B4" w:rsidRDefault="00914162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4 szt</w:t>
            </w:r>
          </w:p>
        </w:tc>
        <w:tc>
          <w:tcPr>
            <w:tcW w:w="5139" w:type="dxa"/>
          </w:tcPr>
          <w:p w14:paraId="402DB15B" w14:textId="77777777" w:rsidR="00914162" w:rsidRPr="001479B4" w:rsidRDefault="00914162" w:rsidP="0091416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konstrukcja dwudrożna o współosiowej konstrukcji przetworników</w:t>
            </w:r>
          </w:p>
          <w:p w14:paraId="33F9B9A4" w14:textId="77777777" w:rsidR="00914162" w:rsidRPr="001479B4" w:rsidRDefault="00914162" w:rsidP="0091416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Przetwornik niskotonowy o rozmiarze minimum 3,5’ przetwornik wysokotonowy o rozmiarze minimum 0,6’</w:t>
            </w:r>
          </w:p>
          <w:p w14:paraId="0E538A4B" w14:textId="77777777" w:rsidR="00914162" w:rsidRPr="001479B4" w:rsidRDefault="00914162" w:rsidP="0091416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c. Charakterystyka kierunkowa zawarta pomiędzy 95 a 105 stopni sferycznie </w:t>
            </w:r>
          </w:p>
          <w:p w14:paraId="35ED1E30" w14:textId="77777777" w:rsidR="00914162" w:rsidRPr="001479B4" w:rsidRDefault="00914162" w:rsidP="0091416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d. Maksymalny poziom ciśnienia akustycznego nie niższy niż 113,5 dB SPL </w:t>
            </w:r>
          </w:p>
          <w:p w14:paraId="64ABE117" w14:textId="77777777" w:rsidR="00914162" w:rsidRPr="001479B4" w:rsidRDefault="00914162" w:rsidP="0091416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Wymiary zestawu glośnikowego nie większe niż 155x125x120 mm</w:t>
            </w:r>
          </w:p>
          <w:p w14:paraId="30E71E67" w14:textId="77777777" w:rsidR="00914162" w:rsidRPr="001479B4" w:rsidRDefault="00914162" w:rsidP="0091416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f. Impedancja 16 Ohm</w:t>
            </w:r>
          </w:p>
          <w:p w14:paraId="7EDE3BB8" w14:textId="0B29BE31" w:rsidR="00641850" w:rsidRPr="001479B4" w:rsidRDefault="00914162" w:rsidP="00641850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g. zestaw wyposażony w złącza Neutrik Speakon</w:t>
            </w:r>
          </w:p>
        </w:tc>
      </w:tr>
      <w:tr w:rsidR="00914162" w:rsidRPr="001479B4" w14:paraId="3FAE625D" w14:textId="77777777" w:rsidTr="00206CF6">
        <w:tc>
          <w:tcPr>
            <w:tcW w:w="650" w:type="dxa"/>
          </w:tcPr>
          <w:p w14:paraId="3E0E85BF" w14:textId="695D75DA" w:rsidR="00914162" w:rsidRPr="001479B4" w:rsidRDefault="00914162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573" w:type="dxa"/>
          </w:tcPr>
          <w:p w14:paraId="4E2DC5A8" w14:textId="6AA5158F" w:rsidR="00914162" w:rsidRPr="001479B4" w:rsidRDefault="00914162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Wzmacniacz mocy zintegrowany z procesorem DSP</w:t>
            </w:r>
          </w:p>
        </w:tc>
        <w:tc>
          <w:tcPr>
            <w:tcW w:w="705" w:type="dxa"/>
          </w:tcPr>
          <w:p w14:paraId="4D048CA1" w14:textId="29E732AC" w:rsidR="00914162" w:rsidRPr="001479B4" w:rsidRDefault="001E7AF5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5139" w:type="dxa"/>
          </w:tcPr>
          <w:p w14:paraId="02FAAF97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ilość kanałów wzmacniacza: 4</w:t>
            </w:r>
          </w:p>
          <w:p w14:paraId="662EDC2A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Moc wzmacniacza: nie mniej niż 1600W na kanał @ 4 Ohm</w:t>
            </w:r>
          </w:p>
          <w:p w14:paraId="2EC12CD3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 procesor DSP z biblioteką dla wielu zestawów głośnikowych producenta w tym nie mniej niż dla typów głośników proponowanych w ofercie</w:t>
            </w:r>
          </w:p>
          <w:p w14:paraId="43E164E8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 maksymalny krótkotrwały pobór mocy nie większy niż 2.35 kW (short RMS)</w:t>
            </w:r>
          </w:p>
          <w:p w14:paraId="38E8F259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wyjścia wzmacniacza - co najmniej 4x NL4</w:t>
            </w:r>
          </w:p>
          <w:p w14:paraId="5BA6008B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f. praca procesora DSP z częstotliwością 96 kHz</w:t>
            </w:r>
          </w:p>
          <w:p w14:paraId="0A6FC7E4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g. wysokość w standardzie rack units: 2U</w:t>
            </w:r>
          </w:p>
          <w:p w14:paraId="7D541ECF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h. 4 wejścia analogowe i (zamiennie) 2 razy wejście AES3</w:t>
            </w:r>
          </w:p>
          <w:p w14:paraId="1F2EF91E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i. wbudowany port Ethernet do zarządzania z możliwością użycia topologii daisy chain do połączenia 2 wzmacniaczy</w:t>
            </w:r>
          </w:p>
          <w:p w14:paraId="6817A892" w14:textId="77777777" w:rsidR="001E7AF5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j. zabezpieczenie przed podaniem zbyt wysokiego napięcia zasilania ( międzyfazowo)- do 400V</w:t>
            </w:r>
          </w:p>
          <w:p w14:paraId="4293EB15" w14:textId="6EAADD7A" w:rsidR="00914162" w:rsidRPr="001479B4" w:rsidRDefault="001E7AF5" w:rsidP="001E7AF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k. wbudowane dwa zasilacze : jeden do normalnego zasilenia urządzenia w zakresie 100-240V, drugi zasilający tylko moduł DSP i zarządzania wzmacniaczem w przypadku zmian napięcie zasilającego w zakresie 55 VAC-400VAC.</w:t>
            </w:r>
          </w:p>
        </w:tc>
      </w:tr>
      <w:tr w:rsidR="001E7AF5" w:rsidRPr="001479B4" w14:paraId="34617463" w14:textId="77777777" w:rsidTr="00206CF6">
        <w:tc>
          <w:tcPr>
            <w:tcW w:w="650" w:type="dxa"/>
          </w:tcPr>
          <w:p w14:paraId="3798CA4C" w14:textId="7339B0D3" w:rsidR="001E7AF5" w:rsidRPr="001479B4" w:rsidRDefault="001E7AF5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73" w:type="dxa"/>
          </w:tcPr>
          <w:p w14:paraId="7B95A6B7" w14:textId="066C4B6F" w:rsidR="001E7AF5" w:rsidRPr="001479B4" w:rsidRDefault="001E7AF5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Ramy do podwieszenia systemu zapewniające możliwość podwieszenia co najmniej 2 proponowanych głośników niskotonowych </w:t>
            </w:r>
          </w:p>
        </w:tc>
        <w:tc>
          <w:tcPr>
            <w:tcW w:w="705" w:type="dxa"/>
          </w:tcPr>
          <w:p w14:paraId="3729A3E8" w14:textId="5660F9DA" w:rsidR="001E7AF5" w:rsidRPr="001479B4" w:rsidRDefault="0025077B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2 szt</w:t>
            </w:r>
          </w:p>
        </w:tc>
        <w:tc>
          <w:tcPr>
            <w:tcW w:w="5139" w:type="dxa"/>
          </w:tcPr>
          <w:p w14:paraId="3823C589" w14:textId="4C20C22E" w:rsidR="001E7AF5" w:rsidRPr="001479B4" w:rsidRDefault="00626055" w:rsidP="0062605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a. </w:t>
            </w:r>
            <w:r w:rsidR="0025077B" w:rsidRPr="001479B4">
              <w:rPr>
                <w:rFonts w:ascii="Times New Roman" w:hAnsi="Times New Roman" w:cs="Times New Roman"/>
              </w:rPr>
              <w:t>ramy powinny być dostarczone wraz z elementami zabezpieczającymi zgodnie z instrukcją producenta systemu</w:t>
            </w:r>
          </w:p>
          <w:p w14:paraId="5381C4A3" w14:textId="307C9E95" w:rsidR="00626055" w:rsidRPr="001479B4" w:rsidRDefault="00626055" w:rsidP="00626055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akcesoria powinny posiadać wymagane certyfikaty i atesty</w:t>
            </w:r>
          </w:p>
        </w:tc>
      </w:tr>
      <w:tr w:rsidR="0025077B" w:rsidRPr="001479B4" w14:paraId="2DC5EB5F" w14:textId="77777777" w:rsidTr="00206CF6">
        <w:tc>
          <w:tcPr>
            <w:tcW w:w="650" w:type="dxa"/>
          </w:tcPr>
          <w:p w14:paraId="566F9B8C" w14:textId="58C44149" w:rsidR="0025077B" w:rsidRPr="001479B4" w:rsidRDefault="0025077B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lastRenderedPageBreak/>
              <w:t>V.</w:t>
            </w:r>
          </w:p>
        </w:tc>
        <w:tc>
          <w:tcPr>
            <w:tcW w:w="2573" w:type="dxa"/>
          </w:tcPr>
          <w:p w14:paraId="12AF25A6" w14:textId="1A1DB008" w:rsidR="0025077B" w:rsidRPr="001479B4" w:rsidRDefault="00AA2FC2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 xml:space="preserve">Skrzynia </w:t>
            </w:r>
            <w:r w:rsidR="00EC472B" w:rsidRPr="001479B4">
              <w:rPr>
                <w:rFonts w:ascii="Times New Roman" w:hAnsi="Times New Roman" w:cs="Times New Roman"/>
              </w:rPr>
              <w:t xml:space="preserve">do przechowywania i </w:t>
            </w:r>
            <w:r w:rsidRPr="001479B4">
              <w:rPr>
                <w:rFonts w:ascii="Times New Roman" w:hAnsi="Times New Roman" w:cs="Times New Roman"/>
              </w:rPr>
              <w:t>transport</w:t>
            </w:r>
            <w:r w:rsidR="00EC472B" w:rsidRPr="001479B4">
              <w:rPr>
                <w:rFonts w:ascii="Times New Roman" w:hAnsi="Times New Roman" w:cs="Times New Roman"/>
              </w:rPr>
              <w:t>u</w:t>
            </w:r>
            <w:r w:rsidRPr="001479B4">
              <w:rPr>
                <w:rFonts w:ascii="Times New Roman" w:hAnsi="Times New Roman" w:cs="Times New Roman"/>
              </w:rPr>
              <w:t xml:space="preserve"> wzmacniacz</w:t>
            </w:r>
            <w:r w:rsidR="00EC472B" w:rsidRPr="001479B4">
              <w:rPr>
                <w:rFonts w:ascii="Times New Roman" w:hAnsi="Times New Roman" w:cs="Times New Roman"/>
              </w:rPr>
              <w:t>a</w:t>
            </w:r>
            <w:r w:rsidRPr="001479B4">
              <w:rPr>
                <w:rFonts w:ascii="Times New Roman" w:hAnsi="Times New Roman" w:cs="Times New Roman"/>
              </w:rPr>
              <w:t xml:space="preserve"> mocy</w:t>
            </w:r>
          </w:p>
        </w:tc>
        <w:tc>
          <w:tcPr>
            <w:tcW w:w="705" w:type="dxa"/>
          </w:tcPr>
          <w:p w14:paraId="64441856" w14:textId="35B8A48B" w:rsidR="0025077B" w:rsidRPr="001479B4" w:rsidRDefault="00651643" w:rsidP="0083668D">
            <w:pPr>
              <w:jc w:val="center"/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5139" w:type="dxa"/>
          </w:tcPr>
          <w:p w14:paraId="134AF2BA" w14:textId="77777777" w:rsidR="00AA2FC2" w:rsidRPr="001479B4" w:rsidRDefault="00AA2FC2" w:rsidP="00AA2FC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skrzynia transportowa na kołach wyposażona w szyny rack 19”, umożliwiająca montaż wzmacniaczy mocy</w:t>
            </w:r>
          </w:p>
          <w:p w14:paraId="3D4E88A9" w14:textId="77777777" w:rsidR="00AA2FC2" w:rsidRPr="001479B4" w:rsidRDefault="00AA2FC2" w:rsidP="00AA2FC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wyposażona w panel zasilający i panel dystrybucji audio,</w:t>
            </w:r>
          </w:p>
          <w:p w14:paraId="08DD92FD" w14:textId="77777777" w:rsidR="00AA2FC2" w:rsidRPr="001479B4" w:rsidRDefault="00AA2FC2" w:rsidP="00AA2FC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c. wykonana z czarnej sklejki,</w:t>
            </w:r>
          </w:p>
          <w:p w14:paraId="375CB459" w14:textId="77777777" w:rsidR="00AA2FC2" w:rsidRPr="001479B4" w:rsidRDefault="00AA2FC2" w:rsidP="00AA2FC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d. metalowe okucia na narożnikach,</w:t>
            </w:r>
          </w:p>
          <w:p w14:paraId="5B937326" w14:textId="77777777" w:rsidR="0025077B" w:rsidRPr="001479B4" w:rsidRDefault="00AA2FC2" w:rsidP="00AA2FC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e. kółka jezdne o średnicy nie mniejszej niż 100 mm</w:t>
            </w:r>
            <w:r w:rsidR="00AD4526" w:rsidRPr="001479B4">
              <w:rPr>
                <w:rFonts w:ascii="Times New Roman" w:hAnsi="Times New Roman" w:cs="Times New Roman"/>
              </w:rPr>
              <w:t>,</w:t>
            </w:r>
          </w:p>
          <w:p w14:paraId="23667C93" w14:textId="764FD39A" w:rsidR="00AD4526" w:rsidRPr="001479B4" w:rsidRDefault="00AD4526" w:rsidP="00AA2FC2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f. uchwyty do przenoszenia</w:t>
            </w:r>
          </w:p>
        </w:tc>
      </w:tr>
      <w:tr w:rsidR="0025077B" w:rsidRPr="001479B4" w14:paraId="01AA1340" w14:textId="77777777" w:rsidTr="00206CF6">
        <w:tc>
          <w:tcPr>
            <w:tcW w:w="650" w:type="dxa"/>
          </w:tcPr>
          <w:p w14:paraId="172CD2B6" w14:textId="4B3E31F4" w:rsidR="0025077B" w:rsidRPr="001479B4" w:rsidRDefault="0025077B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73" w:type="dxa"/>
          </w:tcPr>
          <w:p w14:paraId="2D9C45B1" w14:textId="0D947692" w:rsidR="0025077B" w:rsidRPr="001479B4" w:rsidRDefault="00844283" w:rsidP="00FB0CF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Montaż systemu nagłośnienia wraz z okablowaniem, strojenie, dokumentacja</w:t>
            </w:r>
          </w:p>
        </w:tc>
        <w:tc>
          <w:tcPr>
            <w:tcW w:w="705" w:type="dxa"/>
          </w:tcPr>
          <w:p w14:paraId="5F2A6C45" w14:textId="77777777" w:rsidR="0025077B" w:rsidRPr="001479B4" w:rsidRDefault="0025077B" w:rsidP="00FB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</w:tcPr>
          <w:p w14:paraId="5B1F7F8E" w14:textId="7BF8A9A6" w:rsidR="00A32CB9" w:rsidRPr="00A32CB9" w:rsidRDefault="00A32CB9" w:rsidP="00ED50CE">
            <w:pPr>
              <w:rPr>
                <w:rFonts w:ascii="Times New Roman" w:hAnsi="Times New Roman" w:cs="Times New Roman"/>
                <w:u w:val="single"/>
              </w:rPr>
            </w:pPr>
            <w:r w:rsidRPr="00A32CB9">
              <w:rPr>
                <w:rFonts w:ascii="Times New Roman" w:hAnsi="Times New Roman" w:cs="Times New Roman"/>
                <w:u w:val="single"/>
              </w:rPr>
              <w:t>Zalecana wizja lokalna Sali Koncertowej Filharmonii Podkarpackiej po uprzednim uzgodnieniu terminu.</w:t>
            </w:r>
          </w:p>
          <w:p w14:paraId="02CB4646" w14:textId="180035E0" w:rsidR="00ED50CE" w:rsidRPr="001479B4" w:rsidRDefault="00ED50CE" w:rsidP="00ED50C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a. dostarczenie odpowiedniej ilości okablowania zapewniającego podłączenie sygnałów fonicznych, sygnałów zasilających oraz sygnałów głośnikowych pomiędzy wzmacniaczami a zestawami głośnikowymi niskotonowymi, odległość pomiędzy miejscem wzmacniaczy a punktami zwieszenia kolumn głośnikowych wynosi 40 m,</w:t>
            </w:r>
          </w:p>
          <w:p w14:paraId="4B539D68" w14:textId="0FAFA3F6" w:rsidR="00ED50CE" w:rsidRDefault="00ED50CE" w:rsidP="00ED50CE">
            <w:pPr>
              <w:rPr>
                <w:rFonts w:ascii="Times New Roman" w:hAnsi="Times New Roman" w:cs="Times New Roman"/>
              </w:rPr>
            </w:pPr>
            <w:r w:rsidRPr="001479B4">
              <w:rPr>
                <w:rFonts w:ascii="Times New Roman" w:hAnsi="Times New Roman" w:cs="Times New Roman"/>
              </w:rPr>
              <w:t>b. dostarczenie odpowiedniej ilości okablowania zapewniającego podłączenie sygnałów fonicznych, sygnałów zasilających oraz sygnałów głośnikowych pomiędzy wzmacniaczami a zestawami głośnikowymi (frontfill), odległość pomiędzy miejscem wzmacniaczy a punktami kolumn głośnikowych wynosi 40 m,</w:t>
            </w:r>
          </w:p>
          <w:p w14:paraId="6031D3E8" w14:textId="76BADAD0" w:rsidR="00A843A8" w:rsidRPr="001479B4" w:rsidRDefault="00A843A8" w:rsidP="00ED50CE">
            <w:pPr>
              <w:rPr>
                <w:rFonts w:ascii="Times New Roman" w:hAnsi="Times New Roman" w:cs="Times New Roman"/>
              </w:rPr>
            </w:pPr>
            <w:r w:rsidRPr="00A843A8">
              <w:rPr>
                <w:rFonts w:ascii="Times New Roman" w:hAnsi="Times New Roman" w:cs="Times New Roman"/>
              </w:rPr>
              <w:t>c. zapewnienie zasilania dla wzmacniaczy mocy, przyłącz 32A odległość ok 15 m od wzmacniacza z wykorzystaniem istniejących koryt kablowych</w:t>
            </w:r>
          </w:p>
          <w:p w14:paraId="7CE511D7" w14:textId="5A2ADAC7" w:rsidR="0025077B" w:rsidRPr="001479B4" w:rsidRDefault="00A843A8" w:rsidP="00E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D50CE" w:rsidRPr="001479B4">
              <w:rPr>
                <w:rFonts w:ascii="Times New Roman" w:hAnsi="Times New Roman" w:cs="Times New Roman"/>
              </w:rPr>
              <w:t>. zawieszenie systemu nagłośnienia (kolumny niskotonowe)w miejscu istniejących punktów podwieszenia (wyciągarki i belka będące na wyposażeniu Filharmonii),</w:t>
            </w:r>
          </w:p>
          <w:p w14:paraId="69BDF475" w14:textId="67F5DEE1" w:rsidR="00ED50CE" w:rsidRPr="001479B4" w:rsidRDefault="00A843A8" w:rsidP="00E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D50CE" w:rsidRPr="001479B4">
              <w:rPr>
                <w:rFonts w:ascii="Times New Roman" w:hAnsi="Times New Roman" w:cs="Times New Roman"/>
              </w:rPr>
              <w:t>. wykonanie niezbędnych stałych instalacji kablowych przewodami niewpływającymi na pogorszenie parametrów dźwięku czy też trwałości istniejącej instalacji,</w:t>
            </w:r>
          </w:p>
          <w:p w14:paraId="37581421" w14:textId="2C7C2F51" w:rsidR="00ED50CE" w:rsidRPr="001479B4" w:rsidRDefault="00A843A8" w:rsidP="00E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ED50CE" w:rsidRPr="001479B4">
              <w:rPr>
                <w:rFonts w:ascii="Times New Roman" w:hAnsi="Times New Roman" w:cs="Times New Roman"/>
              </w:rPr>
              <w:t>. układanie okablowania w gotowych korytach kablowych,</w:t>
            </w:r>
          </w:p>
          <w:p w14:paraId="490917D8" w14:textId="547CE2EE" w:rsidR="00ED50CE" w:rsidRPr="001479B4" w:rsidRDefault="00A843A8" w:rsidP="00E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ED50CE" w:rsidRPr="001479B4">
              <w:rPr>
                <w:rFonts w:ascii="Times New Roman" w:hAnsi="Times New Roman" w:cs="Times New Roman"/>
              </w:rPr>
              <w:t>. montaż, konfiguracja i uruchomienie,</w:t>
            </w:r>
          </w:p>
          <w:p w14:paraId="79886C27" w14:textId="54B692F9" w:rsidR="00ED50CE" w:rsidRPr="001479B4" w:rsidRDefault="00A843A8" w:rsidP="00E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ED50CE" w:rsidRPr="001479B4">
              <w:rPr>
                <w:rFonts w:ascii="Times New Roman" w:hAnsi="Times New Roman" w:cs="Times New Roman"/>
              </w:rPr>
              <w:t>.</w:t>
            </w:r>
            <w:r w:rsidR="003C4F81" w:rsidRPr="001479B4">
              <w:rPr>
                <w:rFonts w:ascii="Times New Roman" w:hAnsi="Times New Roman" w:cs="Times New Roman"/>
              </w:rPr>
              <w:t xml:space="preserve"> </w:t>
            </w:r>
            <w:r w:rsidR="00ED50CE" w:rsidRPr="001479B4">
              <w:rPr>
                <w:rFonts w:ascii="Times New Roman" w:hAnsi="Times New Roman" w:cs="Times New Roman"/>
              </w:rPr>
              <w:t>strojenie systemu nagłośnienia w Sali Koncertowej,</w:t>
            </w:r>
          </w:p>
        </w:tc>
      </w:tr>
      <w:tr w:rsidR="00206CF6" w:rsidRPr="00206CF6" w14:paraId="51ACEA62" w14:textId="77777777" w:rsidTr="00206CF6">
        <w:tc>
          <w:tcPr>
            <w:tcW w:w="650" w:type="dxa"/>
          </w:tcPr>
          <w:p w14:paraId="44649254" w14:textId="5AEDA054" w:rsidR="00206CF6" w:rsidRPr="00206CF6" w:rsidRDefault="00206CF6" w:rsidP="00206CF6">
            <w:pPr>
              <w:rPr>
                <w:rFonts w:ascii="Times New Roman" w:hAnsi="Times New Roman" w:cs="Times New Roman"/>
              </w:rPr>
            </w:pPr>
            <w:r w:rsidRPr="00206CF6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2573" w:type="dxa"/>
          </w:tcPr>
          <w:p w14:paraId="614E6FA3" w14:textId="692C98E5" w:rsidR="00206CF6" w:rsidRPr="00206CF6" w:rsidRDefault="00206CF6" w:rsidP="00206CF6">
            <w:pPr>
              <w:rPr>
                <w:rFonts w:ascii="Times New Roman" w:hAnsi="Times New Roman" w:cs="Times New Roman"/>
              </w:rPr>
            </w:pPr>
            <w:r w:rsidRPr="00206CF6">
              <w:rPr>
                <w:rFonts w:ascii="Times New Roman" w:hAnsi="Times New Roman" w:cs="Times New Roman"/>
              </w:rPr>
              <w:t>Instruktaż pracowników</w:t>
            </w:r>
          </w:p>
        </w:tc>
        <w:tc>
          <w:tcPr>
            <w:tcW w:w="705" w:type="dxa"/>
          </w:tcPr>
          <w:p w14:paraId="191DB93A" w14:textId="6EF275FC" w:rsidR="00206CF6" w:rsidRPr="00206CF6" w:rsidRDefault="00206CF6" w:rsidP="00206CF6">
            <w:pPr>
              <w:rPr>
                <w:rFonts w:ascii="Times New Roman" w:hAnsi="Times New Roman" w:cs="Times New Roman"/>
              </w:rPr>
            </w:pPr>
            <w:r w:rsidRPr="00206CF6">
              <w:rPr>
                <w:rFonts w:ascii="Times New Roman" w:hAnsi="Times New Roman" w:cs="Times New Roman"/>
              </w:rPr>
              <w:t>8 g</w:t>
            </w:r>
          </w:p>
        </w:tc>
        <w:tc>
          <w:tcPr>
            <w:tcW w:w="5139" w:type="dxa"/>
          </w:tcPr>
          <w:p w14:paraId="2457A6F6" w14:textId="198AAD27" w:rsidR="00206CF6" w:rsidRPr="00206CF6" w:rsidRDefault="00206CF6" w:rsidP="00206CF6">
            <w:pPr>
              <w:jc w:val="both"/>
              <w:rPr>
                <w:rFonts w:ascii="Times New Roman" w:hAnsi="Times New Roman" w:cs="Times New Roman"/>
              </w:rPr>
            </w:pPr>
            <w:r w:rsidRPr="00206CF6">
              <w:rPr>
                <w:rFonts w:ascii="Times New Roman" w:hAnsi="Times New Roman" w:cs="Times New Roman"/>
              </w:rPr>
              <w:t>Instruktaż dla minimum dwóch pracowników Zamawiającego w zakresie obsługi dostarczonego urządzenia i oprogramowania w miejscu wskazanym przez Zamawiającego.</w:t>
            </w:r>
          </w:p>
        </w:tc>
      </w:tr>
      <w:tr w:rsidR="00C23CB6" w:rsidRPr="001479B4" w14:paraId="0F3EE07E" w14:textId="77777777" w:rsidTr="00206CF6">
        <w:tc>
          <w:tcPr>
            <w:tcW w:w="650" w:type="dxa"/>
          </w:tcPr>
          <w:p w14:paraId="4AFEC9DF" w14:textId="55162DD9" w:rsidR="00C23CB6" w:rsidRDefault="00C23CB6" w:rsidP="00FB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2573" w:type="dxa"/>
          </w:tcPr>
          <w:p w14:paraId="2B934548" w14:textId="1C456E77" w:rsidR="00C23CB6" w:rsidRPr="001479B4" w:rsidRDefault="005B78AE" w:rsidP="00FB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dokumentacji powykonawczej</w:t>
            </w:r>
          </w:p>
        </w:tc>
        <w:tc>
          <w:tcPr>
            <w:tcW w:w="705" w:type="dxa"/>
          </w:tcPr>
          <w:p w14:paraId="4BD5A9C1" w14:textId="77777777" w:rsidR="00C23CB6" w:rsidRPr="001479B4" w:rsidRDefault="00C23CB6" w:rsidP="00FB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</w:tcPr>
          <w:p w14:paraId="78EEBD45" w14:textId="77777777" w:rsidR="005B78AE" w:rsidRPr="005B78AE" w:rsidRDefault="005B78AE" w:rsidP="005B78AE">
            <w:pPr>
              <w:jc w:val="both"/>
              <w:rPr>
                <w:rFonts w:ascii="Times New Roman" w:hAnsi="Times New Roman" w:cs="Times New Roman"/>
              </w:rPr>
            </w:pPr>
            <w:r w:rsidRPr="005B78AE">
              <w:rPr>
                <w:rFonts w:ascii="Times New Roman" w:hAnsi="Times New Roman" w:cs="Times New Roman"/>
              </w:rPr>
              <w:t>Do odbioru przedmiotu zamówienia Wykonawca winien przedłożyć następujące dokumenty:</w:t>
            </w:r>
          </w:p>
          <w:p w14:paraId="0FB6F0F9" w14:textId="77777777" w:rsidR="005B78AE" w:rsidRPr="005B78AE" w:rsidRDefault="005B78AE" w:rsidP="005B78AE">
            <w:pPr>
              <w:jc w:val="both"/>
              <w:rPr>
                <w:rFonts w:ascii="Times New Roman" w:hAnsi="Times New Roman" w:cs="Times New Roman"/>
              </w:rPr>
            </w:pPr>
            <w:r w:rsidRPr="005B78AE">
              <w:rPr>
                <w:rFonts w:ascii="Times New Roman" w:hAnsi="Times New Roman" w:cs="Times New Roman"/>
              </w:rPr>
              <w:t> deklaracje zgodności oraz certyfikaty,</w:t>
            </w:r>
          </w:p>
          <w:p w14:paraId="7847459D" w14:textId="77777777" w:rsidR="005B78AE" w:rsidRPr="005B78AE" w:rsidRDefault="005B78AE" w:rsidP="005B78AE">
            <w:pPr>
              <w:jc w:val="both"/>
              <w:rPr>
                <w:rFonts w:ascii="Times New Roman" w:hAnsi="Times New Roman" w:cs="Times New Roman"/>
              </w:rPr>
            </w:pPr>
            <w:r w:rsidRPr="005B78AE">
              <w:rPr>
                <w:rFonts w:ascii="Times New Roman" w:hAnsi="Times New Roman" w:cs="Times New Roman"/>
              </w:rPr>
              <w:t> karty gwarancyjne,</w:t>
            </w:r>
          </w:p>
          <w:p w14:paraId="5EDE3FB5" w14:textId="07089652" w:rsidR="00C23CB6" w:rsidRPr="001479B4" w:rsidRDefault="005B78AE" w:rsidP="005B78AE">
            <w:pPr>
              <w:jc w:val="both"/>
              <w:rPr>
                <w:rFonts w:ascii="Times New Roman" w:hAnsi="Times New Roman" w:cs="Times New Roman"/>
              </w:rPr>
            </w:pPr>
            <w:r w:rsidRPr="005B78AE">
              <w:rPr>
                <w:rFonts w:ascii="Times New Roman" w:hAnsi="Times New Roman" w:cs="Times New Roman"/>
              </w:rPr>
              <w:t> instrukcje obsługi urządzeń,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8AE">
              <w:rPr>
                <w:rFonts w:ascii="Times New Roman" w:hAnsi="Times New Roman" w:cs="Times New Roman"/>
              </w:rPr>
              <w:t>w formie elektronicznej, edytowalnej z możliwością zapisania w formacie pdf.</w:t>
            </w:r>
          </w:p>
        </w:tc>
      </w:tr>
    </w:tbl>
    <w:p w14:paraId="7543651C" w14:textId="172178ED" w:rsidR="00082979" w:rsidRPr="001479B4" w:rsidRDefault="00082979">
      <w:pPr>
        <w:rPr>
          <w:rFonts w:ascii="Times New Roman" w:hAnsi="Times New Roman" w:cs="Times New Roman"/>
        </w:rPr>
      </w:pPr>
    </w:p>
    <w:p w14:paraId="0D1DC2AF" w14:textId="49C26A92" w:rsidR="00E41AB0" w:rsidRPr="001479B4" w:rsidRDefault="00E41AB0" w:rsidP="000A4C11">
      <w:pPr>
        <w:jc w:val="both"/>
        <w:rPr>
          <w:rFonts w:ascii="Times New Roman" w:hAnsi="Times New Roman" w:cs="Times New Roman"/>
        </w:rPr>
      </w:pPr>
    </w:p>
    <w:p w14:paraId="427F4951" w14:textId="282C7FF2" w:rsidR="00E41AB0" w:rsidRPr="001479B4" w:rsidRDefault="00E41AB0" w:rsidP="000A4C11">
      <w:pPr>
        <w:jc w:val="both"/>
        <w:rPr>
          <w:rFonts w:ascii="Times New Roman" w:hAnsi="Times New Roman" w:cs="Times New Roman"/>
        </w:rPr>
      </w:pPr>
    </w:p>
    <w:p w14:paraId="7D7616B1" w14:textId="77777777" w:rsidR="005B78AE" w:rsidRDefault="005B78AE" w:rsidP="000A4C11">
      <w:pPr>
        <w:jc w:val="both"/>
        <w:rPr>
          <w:rFonts w:ascii="Times New Roman" w:hAnsi="Times New Roman" w:cs="Times New Roman"/>
        </w:rPr>
      </w:pPr>
    </w:p>
    <w:p w14:paraId="6F8EC39B" w14:textId="77777777" w:rsidR="005B78AE" w:rsidRDefault="005B78AE" w:rsidP="000A4C11">
      <w:pPr>
        <w:jc w:val="both"/>
        <w:rPr>
          <w:rFonts w:ascii="Times New Roman" w:hAnsi="Times New Roman" w:cs="Times New Roman"/>
        </w:rPr>
      </w:pPr>
    </w:p>
    <w:p w14:paraId="357C1FE7" w14:textId="77777777" w:rsidR="00EF6A97" w:rsidRDefault="00EF6A97" w:rsidP="000A4C11">
      <w:pPr>
        <w:jc w:val="both"/>
        <w:rPr>
          <w:rFonts w:ascii="Times New Roman" w:hAnsi="Times New Roman" w:cs="Times New Roman"/>
          <w:b/>
          <w:bCs/>
        </w:rPr>
      </w:pPr>
    </w:p>
    <w:p w14:paraId="4E352062" w14:textId="6EE4F692" w:rsidR="00E41AB0" w:rsidRPr="00203431" w:rsidRDefault="00A47FC7" w:rsidP="000A4C11">
      <w:pPr>
        <w:jc w:val="both"/>
        <w:rPr>
          <w:rFonts w:ascii="Times New Roman" w:hAnsi="Times New Roman" w:cs="Times New Roman"/>
          <w:b/>
          <w:bCs/>
        </w:rPr>
      </w:pPr>
      <w:r w:rsidRPr="00203431">
        <w:rPr>
          <w:rFonts w:ascii="Times New Roman" w:hAnsi="Times New Roman" w:cs="Times New Roman"/>
          <w:b/>
          <w:bCs/>
        </w:rPr>
        <w:lastRenderedPageBreak/>
        <w:t xml:space="preserve">III. Zdjęcia </w:t>
      </w:r>
    </w:p>
    <w:p w14:paraId="4A5D5444" w14:textId="77777777" w:rsidR="001773C8" w:rsidRPr="001479B4" w:rsidRDefault="001773C8" w:rsidP="000A4C11">
      <w:pPr>
        <w:jc w:val="both"/>
        <w:rPr>
          <w:rFonts w:ascii="Times New Roman" w:hAnsi="Times New Roman" w:cs="Times New Roman"/>
        </w:rPr>
      </w:pPr>
    </w:p>
    <w:p w14:paraId="2A1649A5" w14:textId="178D3413" w:rsidR="0098024B" w:rsidRDefault="00980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0133141" wp14:editId="547C26D1">
            <wp:extent cx="5419725" cy="3829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37E64" w14:textId="49E492BA" w:rsidR="0098024B" w:rsidRDefault="0098024B">
      <w:pPr>
        <w:rPr>
          <w:rFonts w:asciiTheme="minorHAnsi" w:hAnsiTheme="minorHAnsi" w:cstheme="minorHAnsi"/>
        </w:rPr>
      </w:pPr>
    </w:p>
    <w:p w14:paraId="60DDBF96" w14:textId="0327763C" w:rsidR="0098024B" w:rsidRDefault="00980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D8766E3" wp14:editId="59D80501">
            <wp:extent cx="6191250" cy="441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11C8F" w14:textId="0558278D" w:rsidR="00BC3C6E" w:rsidRPr="00BC3C6E" w:rsidRDefault="00BC3C6E" w:rsidP="007A3509">
      <w:pPr>
        <w:jc w:val="both"/>
        <w:rPr>
          <w:rFonts w:ascii="Times New Roman" w:hAnsi="Times New Roman" w:cs="Times New Roman"/>
          <w:b/>
          <w:bCs/>
        </w:rPr>
      </w:pPr>
      <w:r w:rsidRPr="00BC3C6E">
        <w:rPr>
          <w:rFonts w:ascii="Times New Roman" w:hAnsi="Times New Roman" w:cs="Times New Roman"/>
          <w:b/>
          <w:bCs/>
        </w:rPr>
        <w:lastRenderedPageBreak/>
        <w:t>IV. System nagłaśniający</w:t>
      </w:r>
    </w:p>
    <w:p w14:paraId="7CADFF1A" w14:textId="77777777" w:rsidR="00BC3C6E" w:rsidRDefault="00BC3C6E" w:rsidP="007A3509">
      <w:pPr>
        <w:jc w:val="both"/>
        <w:rPr>
          <w:rFonts w:ascii="Times New Roman" w:hAnsi="Times New Roman" w:cs="Times New Roman"/>
        </w:rPr>
      </w:pPr>
    </w:p>
    <w:p w14:paraId="33B4E94C" w14:textId="74A4F339" w:rsidR="00BD4107" w:rsidRPr="0053233C" w:rsidRDefault="00BC3C6E" w:rsidP="007A3509">
      <w:pPr>
        <w:jc w:val="both"/>
        <w:rPr>
          <w:rFonts w:ascii="Times New Roman" w:hAnsi="Times New Roman" w:cs="Times New Roman"/>
        </w:rPr>
      </w:pPr>
      <w:r w:rsidRPr="00BC3C6E">
        <w:rPr>
          <w:rFonts w:ascii="Times New Roman" w:hAnsi="Times New Roman" w:cs="Times New Roman"/>
        </w:rPr>
        <w:t>Zamawiający oczekuje pozyskania rozwiązania technologicznego jak najwyższej klasy, umożliwiającego bezproblemową organizację widowisk, szeroką akceptację systemu elektroakustycznego przez zewnętrznych wykonawców czy organizatorów wynajmujących salę koncertową na zasadach komercyjnych</w:t>
      </w:r>
      <w:r w:rsidR="00871208">
        <w:rPr>
          <w:rFonts w:ascii="Times New Roman" w:hAnsi="Times New Roman" w:cs="Times New Roman"/>
        </w:rPr>
        <w:t>, któr</w:t>
      </w:r>
      <w:r w:rsidR="000852FE">
        <w:rPr>
          <w:rFonts w:ascii="Times New Roman" w:hAnsi="Times New Roman" w:cs="Times New Roman"/>
        </w:rPr>
        <w:t>e</w:t>
      </w:r>
      <w:r w:rsidR="00871208">
        <w:rPr>
          <w:rFonts w:ascii="Times New Roman" w:hAnsi="Times New Roman" w:cs="Times New Roman"/>
        </w:rPr>
        <w:t xml:space="preserve"> </w:t>
      </w:r>
      <w:r w:rsidR="0009740C">
        <w:rPr>
          <w:rFonts w:ascii="Times New Roman" w:hAnsi="Times New Roman" w:cs="Times New Roman"/>
        </w:rPr>
        <w:t>będzie</w:t>
      </w:r>
      <w:r w:rsidR="00BB429B" w:rsidRPr="0053233C">
        <w:rPr>
          <w:rFonts w:ascii="Times New Roman" w:hAnsi="Times New Roman" w:cs="Times New Roman"/>
        </w:rPr>
        <w:t xml:space="preserve"> charakteryzować się następującymi cechami i właściwościami technologicznymi: </w:t>
      </w:r>
    </w:p>
    <w:p w14:paraId="3E66D4F6" w14:textId="77777777" w:rsidR="00BD4107" w:rsidRPr="0053233C" w:rsidRDefault="00BD4107" w:rsidP="007A3509">
      <w:pPr>
        <w:jc w:val="both"/>
        <w:rPr>
          <w:rFonts w:ascii="Times New Roman" w:hAnsi="Times New Roman" w:cs="Times New Roman"/>
        </w:rPr>
      </w:pPr>
    </w:p>
    <w:p w14:paraId="0A04BEBB" w14:textId="198487DE" w:rsidR="00BD4107" w:rsidRPr="0053233C" w:rsidRDefault="00BD4107" w:rsidP="007A3509">
      <w:pPr>
        <w:jc w:val="both"/>
        <w:rPr>
          <w:rFonts w:ascii="Times New Roman" w:hAnsi="Times New Roman" w:cs="Times New Roman"/>
        </w:rPr>
      </w:pPr>
      <w:r w:rsidRPr="0053233C">
        <w:rPr>
          <w:rFonts w:ascii="Times New Roman" w:hAnsi="Times New Roman" w:cs="Times New Roman"/>
        </w:rPr>
        <w:t>1.</w:t>
      </w:r>
      <w:r w:rsidRPr="0053233C">
        <w:rPr>
          <w:rFonts w:ascii="Times New Roman" w:hAnsi="Times New Roman" w:cs="Times New Roman"/>
        </w:rPr>
        <w:tab/>
        <w:t xml:space="preserve">technologia Load Match (dopasowania impendancji) lub </w:t>
      </w:r>
      <w:r w:rsidR="007A3509" w:rsidRPr="0053233C">
        <w:rPr>
          <w:rFonts w:ascii="Times New Roman" w:hAnsi="Times New Roman" w:cs="Times New Roman"/>
        </w:rPr>
        <w:t>równoważna</w:t>
      </w:r>
      <w:r w:rsidRPr="0053233C">
        <w:rPr>
          <w:rFonts w:ascii="Times New Roman" w:hAnsi="Times New Roman" w:cs="Times New Roman"/>
        </w:rPr>
        <w:t xml:space="preserve"> technologia, która umożliwia dostosowanie charakterystyki częstotliwościowej sygnału przetwarzanego przez wzmacniacz do długości i przekroju kabli głośnikowych pomiędzy wzmacniaczami a zestawami głośnikowymi. Technologia </w:t>
      </w:r>
      <w:r w:rsidR="005C5667" w:rsidRPr="0053233C">
        <w:rPr>
          <w:rFonts w:ascii="Times New Roman" w:hAnsi="Times New Roman" w:cs="Times New Roman"/>
        </w:rPr>
        <w:t>ma</w:t>
      </w:r>
      <w:r w:rsidRPr="0053233C">
        <w:rPr>
          <w:rFonts w:ascii="Times New Roman" w:hAnsi="Times New Roman" w:cs="Times New Roman"/>
        </w:rPr>
        <w:t xml:space="preserve"> pozwala</w:t>
      </w:r>
      <w:r w:rsidR="00FF63F9" w:rsidRPr="0053233C">
        <w:rPr>
          <w:rFonts w:ascii="Times New Roman" w:hAnsi="Times New Roman" w:cs="Times New Roman"/>
        </w:rPr>
        <w:t>ć</w:t>
      </w:r>
      <w:r w:rsidRPr="0053233C">
        <w:rPr>
          <w:rFonts w:ascii="Times New Roman" w:hAnsi="Times New Roman" w:cs="Times New Roman"/>
        </w:rPr>
        <w:t xml:space="preserve"> na kompensację strat sygnału wynikającą ze zmian impedancji powstałych wskutek używania długich kabli głośnikowych i zapewnia bezstratną transmisję sygnału pomiędzy wzmacniaczami a zestawami głośnikowymi</w:t>
      </w:r>
      <w:r w:rsidR="005A0C1E" w:rsidRPr="0053233C">
        <w:rPr>
          <w:rFonts w:ascii="Times New Roman" w:hAnsi="Times New Roman" w:cs="Times New Roman"/>
        </w:rPr>
        <w:t>,</w:t>
      </w:r>
    </w:p>
    <w:p w14:paraId="7315CBD8" w14:textId="6D580F38" w:rsidR="00BD4107" w:rsidRPr="0053233C" w:rsidRDefault="00BD4107" w:rsidP="007A3509">
      <w:pPr>
        <w:jc w:val="both"/>
        <w:rPr>
          <w:rFonts w:ascii="Times New Roman" w:hAnsi="Times New Roman" w:cs="Times New Roman"/>
        </w:rPr>
      </w:pPr>
      <w:r w:rsidRPr="0053233C">
        <w:rPr>
          <w:rFonts w:ascii="Times New Roman" w:hAnsi="Times New Roman" w:cs="Times New Roman"/>
        </w:rPr>
        <w:t>2.</w:t>
      </w:r>
      <w:r w:rsidRPr="0053233C">
        <w:rPr>
          <w:rFonts w:ascii="Times New Roman" w:hAnsi="Times New Roman" w:cs="Times New Roman"/>
        </w:rPr>
        <w:tab/>
        <w:t>technologia umożliwiająca systemowi wykrycie niewłaściwie podłączonych elementów głośnikowych (poprzez zamianę kabli pomiędzy wzmacniaczami a zestawami głośnikowymi) np. 1 element line array zamieniony z 6 itp.</w:t>
      </w:r>
      <w:r w:rsidR="00FF63F9" w:rsidRPr="0053233C">
        <w:rPr>
          <w:rFonts w:ascii="Times New Roman" w:hAnsi="Times New Roman" w:cs="Times New Roman"/>
        </w:rPr>
        <w:t>,</w:t>
      </w:r>
      <w:r w:rsidRPr="0053233C">
        <w:rPr>
          <w:rFonts w:ascii="Times New Roman" w:hAnsi="Times New Roman" w:cs="Times New Roman"/>
        </w:rPr>
        <w:t xml:space="preserve"> a w konsekwencji niepożądaną zmianę charakterystyki systemu.  </w:t>
      </w:r>
    </w:p>
    <w:p w14:paraId="263A1B5A" w14:textId="78991A0B" w:rsidR="00BD4107" w:rsidRPr="0053233C" w:rsidRDefault="00BD4107" w:rsidP="007A3509">
      <w:pPr>
        <w:jc w:val="both"/>
        <w:rPr>
          <w:rFonts w:ascii="Times New Roman" w:hAnsi="Times New Roman" w:cs="Times New Roman"/>
        </w:rPr>
      </w:pPr>
      <w:r w:rsidRPr="0053233C">
        <w:rPr>
          <w:rFonts w:ascii="Times New Roman" w:hAnsi="Times New Roman" w:cs="Times New Roman"/>
        </w:rPr>
        <w:t>3.</w:t>
      </w:r>
      <w:r w:rsidRPr="0053233C">
        <w:rPr>
          <w:rFonts w:ascii="Times New Roman" w:hAnsi="Times New Roman" w:cs="Times New Roman"/>
        </w:rPr>
        <w:tab/>
        <w:t>technologia PFC (power factor correection</w:t>
      </w:r>
      <w:r w:rsidR="00871208">
        <w:rPr>
          <w:rFonts w:ascii="Times New Roman" w:hAnsi="Times New Roman" w:cs="Times New Roman"/>
        </w:rPr>
        <w:t>) lub równoważna,</w:t>
      </w:r>
      <w:r w:rsidRPr="0053233C">
        <w:rPr>
          <w:rFonts w:ascii="Times New Roman" w:hAnsi="Times New Roman" w:cs="Times New Roman"/>
        </w:rPr>
        <w:t xml:space="preserve"> umożliwiająca wzmacniaczom normalną pracę nawet przy bardzo niskich wartościach napięcia prądu zasilającego</w:t>
      </w:r>
      <w:r w:rsidR="005A0C1E" w:rsidRPr="0053233C">
        <w:rPr>
          <w:rFonts w:ascii="Times New Roman" w:hAnsi="Times New Roman" w:cs="Times New Roman"/>
        </w:rPr>
        <w:t>,</w:t>
      </w:r>
    </w:p>
    <w:p w14:paraId="1E38052B" w14:textId="11922B08" w:rsidR="00BD4107" w:rsidRPr="0053233C" w:rsidRDefault="00BD4107" w:rsidP="007A3509">
      <w:pPr>
        <w:jc w:val="both"/>
        <w:rPr>
          <w:rFonts w:ascii="Times New Roman" w:hAnsi="Times New Roman" w:cs="Times New Roman"/>
        </w:rPr>
      </w:pPr>
      <w:r w:rsidRPr="0053233C">
        <w:rPr>
          <w:rFonts w:ascii="Times New Roman" w:hAnsi="Times New Roman" w:cs="Times New Roman"/>
        </w:rPr>
        <w:t>4.</w:t>
      </w:r>
      <w:r w:rsidRPr="0053233C">
        <w:rPr>
          <w:rFonts w:ascii="Times New Roman" w:hAnsi="Times New Roman" w:cs="Times New Roman"/>
        </w:rPr>
        <w:tab/>
        <w:t xml:space="preserve">technologia Array Processing lub </w:t>
      </w:r>
      <w:r w:rsidR="00871208">
        <w:rPr>
          <w:rFonts w:ascii="Times New Roman" w:hAnsi="Times New Roman" w:cs="Times New Roman"/>
        </w:rPr>
        <w:t>równoważna,</w:t>
      </w:r>
      <w:r w:rsidRPr="0053233C">
        <w:rPr>
          <w:rFonts w:ascii="Times New Roman" w:hAnsi="Times New Roman" w:cs="Times New Roman"/>
        </w:rPr>
        <w:t xml:space="preserve"> umożliwiająca kształtowanie wysoce kierunkowej cylindrycznej wiązki akustycznej z systemu</w:t>
      </w:r>
      <w:r w:rsidR="005A0C1E" w:rsidRPr="0053233C">
        <w:rPr>
          <w:rFonts w:ascii="Times New Roman" w:hAnsi="Times New Roman" w:cs="Times New Roman"/>
        </w:rPr>
        <w:t>,</w:t>
      </w:r>
      <w:r w:rsidRPr="0053233C">
        <w:rPr>
          <w:rFonts w:ascii="Times New Roman" w:hAnsi="Times New Roman" w:cs="Times New Roman"/>
        </w:rPr>
        <w:t xml:space="preserve"> otrzymanej poprzez indywidualne modulowanie sygnału dla każdego z głośników z uwzględnieniem interakcji pomiędzy zestawami głośnikowymi umieszczonymi w jednym gronie. Technologia ta powinna być elementem oprogramowania do predykcji oraz oprogramowania zarządzania systemem a także wykorzystywać filtry FIR oraz IIR zaimplementowane we wzmacniaczach systemu. Celem uzyskania idealnego pokrycia nagłaśnianej powierzchni dźwiękiem i celem kompensacji różnic dla słuchacza wynikających z różnej odległości od źródeł dźwięku, przeliczenie korekcji IIR/FIR powinno się odbywać w oprogramowaniu predykcyjnym na wirtualnej siatce o kwantyzacji 20 cm dla nagłaśnianego obszaru</w:t>
      </w:r>
      <w:r w:rsidR="005A0C1E" w:rsidRPr="0053233C">
        <w:rPr>
          <w:rFonts w:ascii="Times New Roman" w:hAnsi="Times New Roman" w:cs="Times New Roman"/>
        </w:rPr>
        <w:t>,</w:t>
      </w:r>
    </w:p>
    <w:p w14:paraId="1BEF9425" w14:textId="4F919450" w:rsidR="00DC0AD2" w:rsidRPr="0053233C" w:rsidRDefault="00BD4107" w:rsidP="007A3509">
      <w:pPr>
        <w:jc w:val="both"/>
        <w:rPr>
          <w:rFonts w:ascii="Times New Roman" w:hAnsi="Times New Roman" w:cs="Times New Roman"/>
        </w:rPr>
      </w:pPr>
      <w:r w:rsidRPr="0053233C">
        <w:rPr>
          <w:rFonts w:ascii="Times New Roman" w:hAnsi="Times New Roman" w:cs="Times New Roman"/>
        </w:rPr>
        <w:t>5.</w:t>
      </w:r>
      <w:r w:rsidRPr="0053233C">
        <w:rPr>
          <w:rFonts w:ascii="Times New Roman" w:hAnsi="Times New Roman" w:cs="Times New Roman"/>
        </w:rPr>
        <w:tab/>
      </w:r>
      <w:r w:rsidR="005A0C1E" w:rsidRPr="0053233C">
        <w:rPr>
          <w:rFonts w:ascii="Times New Roman" w:hAnsi="Times New Roman" w:cs="Times New Roman"/>
        </w:rPr>
        <w:t>t</w:t>
      </w:r>
      <w:r w:rsidRPr="0053233C">
        <w:rPr>
          <w:rFonts w:ascii="Times New Roman" w:hAnsi="Times New Roman" w:cs="Times New Roman"/>
        </w:rPr>
        <w:t>ransfer danych pomiędzy oprogramowaniem predykcyjnym a oprogramowaniem do zarządzania wzmacniaczami i systemem</w:t>
      </w:r>
      <w:r w:rsidR="005A0C1E" w:rsidRPr="0053233C">
        <w:rPr>
          <w:rFonts w:ascii="Times New Roman" w:hAnsi="Times New Roman" w:cs="Times New Roman"/>
        </w:rPr>
        <w:t>.</w:t>
      </w:r>
    </w:p>
    <w:p w14:paraId="7E74E72E" w14:textId="65D5D42F" w:rsidR="00BD4107" w:rsidRDefault="00BD4107">
      <w:pPr>
        <w:rPr>
          <w:rFonts w:asciiTheme="minorHAnsi" w:hAnsiTheme="minorHAnsi" w:cstheme="minorHAnsi"/>
        </w:rPr>
      </w:pPr>
    </w:p>
    <w:p w14:paraId="5739EE4F" w14:textId="77777777" w:rsidR="00BD4107" w:rsidRDefault="00BD4107">
      <w:pPr>
        <w:rPr>
          <w:rFonts w:asciiTheme="minorHAnsi" w:hAnsiTheme="minorHAnsi" w:cstheme="minorHAnsi"/>
        </w:rPr>
      </w:pPr>
    </w:p>
    <w:p w14:paraId="64A25891" w14:textId="21F20FBC" w:rsidR="00DC0AD2" w:rsidRPr="00203431" w:rsidRDefault="005E7716" w:rsidP="00DC0AD2">
      <w:pPr>
        <w:rPr>
          <w:rFonts w:ascii="Times New Roman" w:hAnsi="Times New Roman" w:cs="Times New Roman"/>
          <w:b/>
          <w:bCs/>
        </w:rPr>
      </w:pPr>
      <w:r w:rsidRPr="00203431">
        <w:rPr>
          <w:rFonts w:ascii="Times New Roman" w:hAnsi="Times New Roman" w:cs="Times New Roman"/>
          <w:b/>
          <w:bCs/>
        </w:rPr>
        <w:t>V</w:t>
      </w:r>
      <w:r w:rsidR="00DC0AD2" w:rsidRPr="00203431">
        <w:rPr>
          <w:rFonts w:ascii="Times New Roman" w:hAnsi="Times New Roman" w:cs="Times New Roman"/>
          <w:b/>
          <w:bCs/>
        </w:rPr>
        <w:t>. Wycena dostawy</w:t>
      </w:r>
    </w:p>
    <w:p w14:paraId="685A10D9" w14:textId="77777777" w:rsidR="00C50A26" w:rsidRPr="00C50A26" w:rsidRDefault="00C50A26" w:rsidP="00DA2970">
      <w:pPr>
        <w:jc w:val="both"/>
        <w:rPr>
          <w:rFonts w:ascii="Times New Roman" w:hAnsi="Times New Roman" w:cs="Times New Roman"/>
        </w:rPr>
      </w:pPr>
    </w:p>
    <w:p w14:paraId="092A2BC2" w14:textId="5FCFA2B4" w:rsidR="00DA2970" w:rsidRPr="00C50A26" w:rsidRDefault="00EF6A97" w:rsidP="00DA29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Kalkulację cenową </w:t>
      </w:r>
      <w:r w:rsidR="00EA1F9D">
        <w:rPr>
          <w:rFonts w:ascii="Times New Roman" w:hAnsi="Times New Roman" w:cs="Times New Roman"/>
        </w:rPr>
        <w:t xml:space="preserve">(uwzględniającą wszystkie koszty) </w:t>
      </w:r>
      <w:r w:rsidR="00457F58">
        <w:rPr>
          <w:rFonts w:ascii="Times New Roman" w:hAnsi="Times New Roman" w:cs="Times New Roman"/>
        </w:rPr>
        <w:t xml:space="preserve">uprzejmie </w:t>
      </w:r>
      <w:r w:rsidR="00DC0AD2" w:rsidRPr="00C50A26">
        <w:rPr>
          <w:rFonts w:ascii="Times New Roman" w:hAnsi="Times New Roman" w:cs="Times New Roman"/>
        </w:rPr>
        <w:t xml:space="preserve">prosimy o </w:t>
      </w:r>
      <w:r>
        <w:rPr>
          <w:rFonts w:ascii="Times New Roman" w:hAnsi="Times New Roman" w:cs="Times New Roman"/>
        </w:rPr>
        <w:t xml:space="preserve">przedstawienie na </w:t>
      </w:r>
      <w:r w:rsidR="00DC0AD2" w:rsidRPr="00C50A26">
        <w:rPr>
          <w:rFonts w:ascii="Times New Roman" w:hAnsi="Times New Roman" w:cs="Times New Roman"/>
        </w:rPr>
        <w:t>formularzu stanowiącym załącznik nr 1</w:t>
      </w:r>
      <w:r w:rsidR="00457F58">
        <w:rPr>
          <w:rFonts w:ascii="Times New Roman" w:hAnsi="Times New Roman" w:cs="Times New Roman"/>
        </w:rPr>
        <w:t xml:space="preserve"> </w:t>
      </w:r>
      <w:r w:rsidR="00DC0AD2" w:rsidRPr="00C50A26">
        <w:rPr>
          <w:rFonts w:ascii="Times New Roman" w:hAnsi="Times New Roman" w:cs="Times New Roman"/>
        </w:rPr>
        <w:t xml:space="preserve">do dnia </w:t>
      </w:r>
      <w:r w:rsidR="00DA2970" w:rsidRPr="00C50A26">
        <w:rPr>
          <w:rFonts w:ascii="Times New Roman" w:hAnsi="Times New Roman" w:cs="Times New Roman"/>
        </w:rPr>
        <w:t>30</w:t>
      </w:r>
      <w:r w:rsidR="00DC0AD2" w:rsidRPr="00C50A26">
        <w:rPr>
          <w:rFonts w:ascii="Times New Roman" w:hAnsi="Times New Roman" w:cs="Times New Roman"/>
        </w:rPr>
        <w:t xml:space="preserve"> </w:t>
      </w:r>
      <w:r w:rsidR="00DA2970" w:rsidRPr="00C50A26">
        <w:rPr>
          <w:rFonts w:ascii="Times New Roman" w:hAnsi="Times New Roman" w:cs="Times New Roman"/>
        </w:rPr>
        <w:t>czer</w:t>
      </w:r>
      <w:r w:rsidR="00C116BE" w:rsidRPr="00C50A26">
        <w:rPr>
          <w:rFonts w:ascii="Times New Roman" w:hAnsi="Times New Roman" w:cs="Times New Roman"/>
        </w:rPr>
        <w:t>w</w:t>
      </w:r>
      <w:r w:rsidR="00DA2970" w:rsidRPr="00C50A26">
        <w:rPr>
          <w:rFonts w:ascii="Times New Roman" w:hAnsi="Times New Roman" w:cs="Times New Roman"/>
        </w:rPr>
        <w:t>ca</w:t>
      </w:r>
      <w:r w:rsidR="00DC0AD2" w:rsidRPr="00C50A26">
        <w:rPr>
          <w:rFonts w:ascii="Times New Roman" w:hAnsi="Times New Roman" w:cs="Times New Roman"/>
        </w:rPr>
        <w:t xml:space="preserve"> 2022 r. do godz. 12:00</w:t>
      </w:r>
      <w:r w:rsidR="00F60DF8">
        <w:rPr>
          <w:rFonts w:ascii="Times New Roman" w:hAnsi="Times New Roman" w:cs="Times New Roman"/>
        </w:rPr>
        <w:t xml:space="preserve">. Kalkulacja cenowa powinna zostać podpisana przez osobę umocowaną do </w:t>
      </w:r>
      <w:r w:rsidR="00DC0AD2" w:rsidRPr="00C50A26">
        <w:rPr>
          <w:rFonts w:ascii="Times New Roman" w:hAnsi="Times New Roman" w:cs="Times New Roman"/>
        </w:rPr>
        <w:t xml:space="preserve"> </w:t>
      </w:r>
      <w:r w:rsidR="00F60DF8">
        <w:rPr>
          <w:rFonts w:ascii="Times New Roman" w:hAnsi="Times New Roman" w:cs="Times New Roman"/>
        </w:rPr>
        <w:t>tej czynności.</w:t>
      </w:r>
    </w:p>
    <w:p w14:paraId="7738BF9E" w14:textId="77777777" w:rsidR="00C50A26" w:rsidRPr="00C50A26" w:rsidRDefault="00C50A26" w:rsidP="00DA2970">
      <w:pPr>
        <w:jc w:val="both"/>
        <w:rPr>
          <w:rFonts w:ascii="Times New Roman" w:hAnsi="Times New Roman" w:cs="Times New Roman"/>
        </w:rPr>
      </w:pPr>
    </w:p>
    <w:p w14:paraId="0D4883A2" w14:textId="4883C65D" w:rsidR="00E7653B" w:rsidRPr="00C50A26" w:rsidRDefault="009C0217" w:rsidP="00DA2970">
      <w:pPr>
        <w:jc w:val="both"/>
        <w:rPr>
          <w:rFonts w:ascii="Times New Roman" w:hAnsi="Times New Roman" w:cs="Times New Roman"/>
        </w:rPr>
      </w:pPr>
      <w:r w:rsidRPr="00C50A26">
        <w:rPr>
          <w:rFonts w:ascii="Times New Roman" w:hAnsi="Times New Roman" w:cs="Times New Roman"/>
        </w:rPr>
        <w:t xml:space="preserve">W przypadku wątpliwości </w:t>
      </w:r>
      <w:r w:rsidR="00E7653B" w:rsidRPr="00C50A26">
        <w:rPr>
          <w:rFonts w:ascii="Times New Roman" w:hAnsi="Times New Roman" w:cs="Times New Roman"/>
        </w:rPr>
        <w:t xml:space="preserve">lub pytań </w:t>
      </w:r>
      <w:r w:rsidRPr="00C50A26">
        <w:rPr>
          <w:rFonts w:ascii="Times New Roman" w:hAnsi="Times New Roman" w:cs="Times New Roman"/>
        </w:rPr>
        <w:t xml:space="preserve">prosimy </w:t>
      </w:r>
      <w:r w:rsidR="00E7653B" w:rsidRPr="00C50A26">
        <w:rPr>
          <w:rFonts w:ascii="Times New Roman" w:hAnsi="Times New Roman" w:cs="Times New Roman"/>
        </w:rPr>
        <w:t>kontakt</w:t>
      </w:r>
      <w:r w:rsidRPr="00C50A26">
        <w:rPr>
          <w:rFonts w:ascii="Times New Roman" w:hAnsi="Times New Roman" w:cs="Times New Roman"/>
        </w:rPr>
        <w:t xml:space="preserve"> poprzez </w:t>
      </w:r>
      <w:r w:rsidR="00411BAD">
        <w:rPr>
          <w:rFonts w:ascii="Times New Roman" w:hAnsi="Times New Roman" w:cs="Times New Roman"/>
          <w:i/>
          <w:iCs/>
        </w:rPr>
        <w:t>W</w:t>
      </w:r>
      <w:r w:rsidR="00E7653B" w:rsidRPr="00C50A26">
        <w:rPr>
          <w:rFonts w:ascii="Times New Roman" w:hAnsi="Times New Roman" w:cs="Times New Roman"/>
          <w:i/>
          <w:iCs/>
        </w:rPr>
        <w:t xml:space="preserve">yślij </w:t>
      </w:r>
      <w:r w:rsidRPr="00C50A26">
        <w:rPr>
          <w:rFonts w:ascii="Times New Roman" w:hAnsi="Times New Roman" w:cs="Times New Roman"/>
          <w:i/>
          <w:iCs/>
        </w:rPr>
        <w:t>wiadomość do zamawiającego</w:t>
      </w:r>
      <w:r w:rsidRPr="00C50A26">
        <w:rPr>
          <w:rFonts w:ascii="Times New Roman" w:hAnsi="Times New Roman" w:cs="Times New Roman"/>
        </w:rPr>
        <w:t xml:space="preserve"> </w:t>
      </w:r>
      <w:r w:rsidR="00E7653B" w:rsidRPr="00C50A26">
        <w:rPr>
          <w:rFonts w:ascii="Times New Roman" w:hAnsi="Times New Roman" w:cs="Times New Roman"/>
        </w:rPr>
        <w:t>na platformie zakupowej Filharmonii Podkarpackiej.</w:t>
      </w:r>
    </w:p>
    <w:p w14:paraId="22831321" w14:textId="1CA583FF" w:rsidR="00F60DF8" w:rsidRPr="00C50A26" w:rsidRDefault="00F60DF8" w:rsidP="00DA2970">
      <w:pPr>
        <w:jc w:val="both"/>
        <w:rPr>
          <w:rFonts w:ascii="Times New Roman" w:hAnsi="Times New Roman" w:cs="Times New Roman"/>
        </w:rPr>
      </w:pPr>
    </w:p>
    <w:p w14:paraId="7525F666" w14:textId="7713C4F2" w:rsidR="00DC0AD2" w:rsidRDefault="00DC0AD2" w:rsidP="00DA2970">
      <w:pPr>
        <w:jc w:val="both"/>
        <w:rPr>
          <w:rFonts w:ascii="Times New Roman" w:hAnsi="Times New Roman" w:cs="Times New Roman"/>
        </w:rPr>
      </w:pPr>
      <w:r w:rsidRPr="00C50A26">
        <w:rPr>
          <w:rFonts w:ascii="Times New Roman" w:hAnsi="Times New Roman" w:cs="Times New Roman"/>
        </w:rPr>
        <w:t>Niniejsze zapytanie ma na celu określenie wartości szacunkowej i nie stanowi oferty w myśl</w:t>
      </w:r>
      <w:r w:rsidR="00DA2970" w:rsidRPr="00C50A26">
        <w:rPr>
          <w:rFonts w:ascii="Times New Roman" w:hAnsi="Times New Roman" w:cs="Times New Roman"/>
        </w:rPr>
        <w:t xml:space="preserve"> </w:t>
      </w:r>
      <w:r w:rsidRPr="00C50A26">
        <w:rPr>
          <w:rFonts w:ascii="Times New Roman" w:hAnsi="Times New Roman" w:cs="Times New Roman"/>
        </w:rPr>
        <w:t>art. 66 Kodeksu Cywilnego, jak również nie jest ogłoszeniem w rozumieniu ustawy Prawo</w:t>
      </w:r>
      <w:r w:rsidR="00DA2970" w:rsidRPr="00C50A26">
        <w:rPr>
          <w:rFonts w:ascii="Times New Roman" w:hAnsi="Times New Roman" w:cs="Times New Roman"/>
        </w:rPr>
        <w:t xml:space="preserve"> </w:t>
      </w:r>
      <w:r w:rsidRPr="00C50A26">
        <w:rPr>
          <w:rFonts w:ascii="Times New Roman" w:hAnsi="Times New Roman" w:cs="Times New Roman"/>
        </w:rPr>
        <w:t>zamówień publiczny</w:t>
      </w:r>
      <w:r w:rsidR="009C0217" w:rsidRPr="00C50A26">
        <w:rPr>
          <w:rFonts w:ascii="Times New Roman" w:hAnsi="Times New Roman" w:cs="Times New Roman"/>
        </w:rPr>
        <w:t>ch.</w:t>
      </w:r>
    </w:p>
    <w:p w14:paraId="4C775FD7" w14:textId="1AA4928D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3696DDBA" w14:textId="54C4EC61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21AD2DD7" w14:textId="0BC45A77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06CF340B" w14:textId="560C2EEF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2C7175B8" w14:textId="17BDE718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6B572FA0" w14:textId="0ACAF7E7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27950640" w14:textId="1B1D9AF8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59CEEE24" w14:textId="7292B0F1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009B13E7" w14:textId="58572C41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2349A151" w14:textId="5ABE6E5A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569C48F0" w14:textId="44A6FBA6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5510EEB0" w14:textId="05A1B88C" w:rsidR="000852FE" w:rsidRDefault="000852FE" w:rsidP="00DA2970">
      <w:pPr>
        <w:jc w:val="both"/>
        <w:rPr>
          <w:rFonts w:ascii="Times New Roman" w:hAnsi="Times New Roman" w:cs="Times New Roman"/>
        </w:rPr>
      </w:pPr>
    </w:p>
    <w:p w14:paraId="03E9E59A" w14:textId="77777777" w:rsidR="00475966" w:rsidRPr="00475966" w:rsidRDefault="00475966" w:rsidP="00475966">
      <w:pPr>
        <w:jc w:val="both"/>
        <w:rPr>
          <w:rFonts w:ascii="Times New Roman" w:hAnsi="Times New Roman" w:cs="Times New Roman"/>
          <w:b/>
          <w:bCs/>
        </w:rPr>
      </w:pPr>
      <w:r w:rsidRPr="00475966">
        <w:rPr>
          <w:rFonts w:ascii="Times New Roman" w:hAnsi="Times New Roman" w:cs="Times New Roman"/>
          <w:b/>
          <w:bCs/>
        </w:rPr>
        <w:t xml:space="preserve">Informacja dotycząca przetwarzania danych osobowych w ramach postępowania o udzielenie zamówienia publicznego </w:t>
      </w:r>
    </w:p>
    <w:p w14:paraId="3F19E876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</w:p>
    <w:p w14:paraId="5FF7D473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95/46/WE, zwanego dalej RODO, informujemy, iż: </w:t>
      </w:r>
    </w:p>
    <w:p w14:paraId="419E3AF6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1)</w:t>
      </w:r>
      <w:r w:rsidRPr="00475966">
        <w:rPr>
          <w:rFonts w:ascii="Times New Roman" w:hAnsi="Times New Roman" w:cs="Times New Roman"/>
        </w:rPr>
        <w:tab/>
        <w:t xml:space="preserve">Administratorem danych osobowych jest Filharmonia Podkarpacka im. Artura Malawskiego, ul. Chopina 30, 35-959 Rzeszów, skr. poczt. 204; tel. 17 862 23 33, e-mail: sekretariat@filharmonia.rzeszow.pl; </w:t>
      </w:r>
    </w:p>
    <w:p w14:paraId="6E48BA85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2)</w:t>
      </w:r>
      <w:r w:rsidRPr="00475966">
        <w:rPr>
          <w:rFonts w:ascii="Times New Roman" w:hAnsi="Times New Roman" w:cs="Times New Roman"/>
        </w:rPr>
        <w:tab/>
        <w:t>kontakt z Inspektorem ochrony danych jest możliwy drogą elektroniczną na adres: sekretariat@filharmonia.rzeszow.pl lub iod@filharmonia.rzeszow.pl, a także pocztą tradycyjną na adres Administratora;</w:t>
      </w:r>
    </w:p>
    <w:p w14:paraId="77286145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3)</w:t>
      </w:r>
      <w:r w:rsidRPr="00475966">
        <w:rPr>
          <w:rFonts w:ascii="Times New Roman" w:hAnsi="Times New Roman" w:cs="Times New Roman"/>
        </w:rPr>
        <w:tab/>
        <w:t>dane osobowe przetwarzane będą w celu udzielenia zamówienia publicznego na podstawie ustawy z dnia 29 stycznia 2004 r. Prawo zamówień publicznych, w związku z art. 6 ust. 1 lit. b i lit. c RODO;</w:t>
      </w:r>
    </w:p>
    <w:p w14:paraId="63289611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4)</w:t>
      </w:r>
      <w:r w:rsidRPr="00475966">
        <w:rPr>
          <w:rFonts w:ascii="Times New Roman" w:hAnsi="Times New Roman" w:cs="Times New Roman"/>
        </w:rPr>
        <w:tab/>
        <w:t>podanie danych osobowych jest dobrowolne, lecz niezbędne do wzięcia udziału w postępowaniu o udzielenie zamówienia;</w:t>
      </w:r>
    </w:p>
    <w:p w14:paraId="2711E9B6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5)</w:t>
      </w:r>
      <w:r w:rsidRPr="00475966">
        <w:rPr>
          <w:rFonts w:ascii="Times New Roman" w:hAnsi="Times New Roman" w:cs="Times New Roman"/>
        </w:rPr>
        <w:tab/>
        <w:t>dane osobowe będą przetwarzane przez okres niezbędny do realizacji celu przetwarzania wskazanego w pkt 3, w tym przechowywane do momentu wygaśnięcia obowiązku archiwizacji danych wynikającego z przepisów prawa tj. przez okres 5 lat, licząc od roku zakończenia postępowania;</w:t>
      </w:r>
    </w:p>
    <w:p w14:paraId="753FB54B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6)</w:t>
      </w:r>
      <w:r w:rsidRPr="00475966">
        <w:rPr>
          <w:rFonts w:ascii="Times New Roman" w:hAnsi="Times New Roman" w:cs="Times New Roman"/>
        </w:rPr>
        <w:tab/>
        <w:t>dane osobowe mogą zostać ujawnione:</w:t>
      </w:r>
    </w:p>
    <w:p w14:paraId="281AF7B5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 xml:space="preserve">podmiotom, które są uprawnione, na podstawie obowiązujących przepisów prawa, do dostępu do nich oraz ich przetwarzania w zakresie określonym przepisami, w tym kontrolującym działalność Administratora, </w:t>
      </w:r>
    </w:p>
    <w:p w14:paraId="2D9D9F2A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>podmiotom, którym udostępniona zostanie jawna dokumentacja postępowania w oparciu o przepisy ustawy z dnia 29 stycznia 2004 r. Prawo zamówień publicznych (inni uczestnicy postępowania, podmioty wnioskujące o dostęp do dokumentacji postępowania w ramach dostępu do informacji publicznej),</w:t>
      </w:r>
    </w:p>
    <w:p w14:paraId="12EFE1E2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>podmiotom realizującym na rzecz Administratora usługi w zakresie utrzymania systemów teleinformatycznych;</w:t>
      </w:r>
    </w:p>
    <w:p w14:paraId="17B9437E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7)</w:t>
      </w:r>
      <w:r w:rsidRPr="00475966">
        <w:rPr>
          <w:rFonts w:ascii="Times New Roman" w:hAnsi="Times New Roman" w:cs="Times New Roman"/>
        </w:rPr>
        <w:tab/>
        <w:t>przysługuje Pani/Panu prawo do:</w:t>
      </w:r>
    </w:p>
    <w:p w14:paraId="395EE894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 xml:space="preserve">żądania dostępu do danych osobowych, </w:t>
      </w:r>
    </w:p>
    <w:p w14:paraId="090D4B43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 xml:space="preserve">żądania sprostowania (poprawienia) danych osobowych lub ich uzupełnienia, jeśli są nieprawidłowe lub niekompletne z zaznaczeniem, że skorzystanie z tego prawa nie może skutkować zmianą wyniku postępowania o udzielenie zamówienia publicznego ani zmianą postanowień umowy w zakresie niezgodnym z ustawą Prawo zamówień publicznych oraz nie może naruszać integralności  protokołu oraz jego załączników, </w:t>
      </w:r>
    </w:p>
    <w:p w14:paraId="5E0D067B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 xml:space="preserve">ograniczenia przetwarzania, </w:t>
      </w:r>
    </w:p>
    <w:p w14:paraId="34BE7EEA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>usunięcia danych po ustaniu okresu przechowywania,</w:t>
      </w:r>
    </w:p>
    <w:p w14:paraId="0B17B5DF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</w:t>
      </w:r>
      <w:r w:rsidRPr="00475966">
        <w:rPr>
          <w:rFonts w:ascii="Times New Roman" w:hAnsi="Times New Roman" w:cs="Times New Roman"/>
        </w:rPr>
        <w:tab/>
        <w:t>wniesienia skargi do organu nadzorczego – Prezesa Urzędu Ochrony Danych Osobowych, ul. Stawki 2, 00-193 Warszawa;</w:t>
      </w:r>
    </w:p>
    <w:p w14:paraId="27A8DDD7" w14:textId="77777777" w:rsidR="00475966" w:rsidRPr="0047596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8)</w:t>
      </w:r>
      <w:r w:rsidRPr="00475966">
        <w:rPr>
          <w:rFonts w:ascii="Times New Roman" w:hAnsi="Times New Roman" w:cs="Times New Roman"/>
        </w:rPr>
        <w:tab/>
        <w:t>dane osobowe nie będą poddane zautomatyzowanym procesom związanym z podejmowaniem decyzji, w tym profilowaniu;</w:t>
      </w:r>
    </w:p>
    <w:p w14:paraId="43F02DD7" w14:textId="145352EE" w:rsidR="00475966" w:rsidRPr="00C50A26" w:rsidRDefault="00475966" w:rsidP="00475966">
      <w:pPr>
        <w:jc w:val="both"/>
        <w:rPr>
          <w:rFonts w:ascii="Times New Roman" w:hAnsi="Times New Roman" w:cs="Times New Roman"/>
        </w:rPr>
      </w:pPr>
      <w:r w:rsidRPr="00475966">
        <w:rPr>
          <w:rFonts w:ascii="Times New Roman" w:hAnsi="Times New Roman" w:cs="Times New Roman"/>
        </w:rPr>
        <w:t>9)</w:t>
      </w:r>
      <w:r w:rsidRPr="00475966">
        <w:rPr>
          <w:rFonts w:ascii="Times New Roman" w:hAnsi="Times New Roman" w:cs="Times New Roman"/>
        </w:rPr>
        <w:tab/>
        <w:t>dane osobowe nie będą przekazane odbiorcom w państwach znajdujących się poza Unią Europejską i Europejskim Obszarem Gospodarczym lub do organizacji międzynarodowej.</w:t>
      </w:r>
    </w:p>
    <w:sectPr w:rsidR="00475966" w:rsidRPr="00C50A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21F5" w14:textId="77777777" w:rsidR="00D8284C" w:rsidRDefault="00D8284C" w:rsidP="00BE0681">
      <w:r>
        <w:separator/>
      </w:r>
    </w:p>
  </w:endnote>
  <w:endnote w:type="continuationSeparator" w:id="0">
    <w:p w14:paraId="75576C4C" w14:textId="77777777" w:rsidR="00D8284C" w:rsidRDefault="00D8284C" w:rsidP="00BE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699299"/>
      <w:docPartObj>
        <w:docPartGallery w:val="Page Numbers (Bottom of Page)"/>
        <w:docPartUnique/>
      </w:docPartObj>
    </w:sdtPr>
    <w:sdtEndPr/>
    <w:sdtContent>
      <w:p w14:paraId="68B7FCFB" w14:textId="68C0AF5C" w:rsidR="00BE0681" w:rsidRDefault="00BE0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EF129" w14:textId="77777777" w:rsidR="00BE0681" w:rsidRDefault="00BE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F655" w14:textId="77777777" w:rsidR="00D8284C" w:rsidRDefault="00D8284C" w:rsidP="00BE0681">
      <w:r>
        <w:separator/>
      </w:r>
    </w:p>
  </w:footnote>
  <w:footnote w:type="continuationSeparator" w:id="0">
    <w:p w14:paraId="522AB382" w14:textId="77777777" w:rsidR="00D8284C" w:rsidRDefault="00D8284C" w:rsidP="00BE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E2A"/>
    <w:multiLevelType w:val="hybridMultilevel"/>
    <w:tmpl w:val="0E309B14"/>
    <w:lvl w:ilvl="0" w:tplc="B5949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406"/>
    <w:multiLevelType w:val="hybridMultilevel"/>
    <w:tmpl w:val="17848F42"/>
    <w:lvl w:ilvl="0" w:tplc="B2A6F8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60D5"/>
    <w:multiLevelType w:val="hybridMultilevel"/>
    <w:tmpl w:val="8274207A"/>
    <w:lvl w:ilvl="0" w:tplc="74B014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49F0"/>
    <w:multiLevelType w:val="hybridMultilevel"/>
    <w:tmpl w:val="78FE14CE"/>
    <w:lvl w:ilvl="0" w:tplc="EF9CF6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DF2"/>
    <w:multiLevelType w:val="hybridMultilevel"/>
    <w:tmpl w:val="CD6E94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4CBE"/>
    <w:multiLevelType w:val="hybridMultilevel"/>
    <w:tmpl w:val="925EC1E2"/>
    <w:lvl w:ilvl="0" w:tplc="F63E5A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794"/>
    <w:multiLevelType w:val="hybridMultilevel"/>
    <w:tmpl w:val="FD4004CA"/>
    <w:lvl w:ilvl="0" w:tplc="3C16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6EBD"/>
    <w:multiLevelType w:val="multilevel"/>
    <w:tmpl w:val="1EC0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32148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16604863">
    <w:abstractNumId w:val="6"/>
  </w:num>
  <w:num w:numId="3" w16cid:durableId="2056083470">
    <w:abstractNumId w:val="0"/>
  </w:num>
  <w:num w:numId="4" w16cid:durableId="1256790313">
    <w:abstractNumId w:val="5"/>
  </w:num>
  <w:num w:numId="5" w16cid:durableId="2139492091">
    <w:abstractNumId w:val="1"/>
  </w:num>
  <w:num w:numId="6" w16cid:durableId="886990251">
    <w:abstractNumId w:val="2"/>
  </w:num>
  <w:num w:numId="7" w16cid:durableId="1515337909">
    <w:abstractNumId w:val="4"/>
  </w:num>
  <w:num w:numId="8" w16cid:durableId="96176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F4"/>
    <w:rsid w:val="00010093"/>
    <w:rsid w:val="00017BB9"/>
    <w:rsid w:val="00051CA6"/>
    <w:rsid w:val="00060C9E"/>
    <w:rsid w:val="00064FCE"/>
    <w:rsid w:val="00076C03"/>
    <w:rsid w:val="00082979"/>
    <w:rsid w:val="000852FE"/>
    <w:rsid w:val="0009740C"/>
    <w:rsid w:val="000A3CA0"/>
    <w:rsid w:val="000A47E8"/>
    <w:rsid w:val="000A4C11"/>
    <w:rsid w:val="000D36CC"/>
    <w:rsid w:val="001061E5"/>
    <w:rsid w:val="001316BE"/>
    <w:rsid w:val="00147487"/>
    <w:rsid w:val="001479B4"/>
    <w:rsid w:val="0016664B"/>
    <w:rsid w:val="001773C8"/>
    <w:rsid w:val="00197805"/>
    <w:rsid w:val="001B58EF"/>
    <w:rsid w:val="001D48DE"/>
    <w:rsid w:val="001E1EBF"/>
    <w:rsid w:val="001E7AF5"/>
    <w:rsid w:val="001F7810"/>
    <w:rsid w:val="00203431"/>
    <w:rsid w:val="00206CF6"/>
    <w:rsid w:val="002212AD"/>
    <w:rsid w:val="00221C25"/>
    <w:rsid w:val="0025077B"/>
    <w:rsid w:val="00286B93"/>
    <w:rsid w:val="002B65FE"/>
    <w:rsid w:val="002E6370"/>
    <w:rsid w:val="00301731"/>
    <w:rsid w:val="00304516"/>
    <w:rsid w:val="00310E40"/>
    <w:rsid w:val="0033349D"/>
    <w:rsid w:val="00335F02"/>
    <w:rsid w:val="00395DF4"/>
    <w:rsid w:val="003B4DA8"/>
    <w:rsid w:val="003C4F81"/>
    <w:rsid w:val="003F6AB9"/>
    <w:rsid w:val="0041158A"/>
    <w:rsid w:val="00411BAD"/>
    <w:rsid w:val="004452F1"/>
    <w:rsid w:val="00457F58"/>
    <w:rsid w:val="00475966"/>
    <w:rsid w:val="0049239B"/>
    <w:rsid w:val="004E569F"/>
    <w:rsid w:val="004F32E1"/>
    <w:rsid w:val="00502B3E"/>
    <w:rsid w:val="005059C9"/>
    <w:rsid w:val="005244F4"/>
    <w:rsid w:val="005250BB"/>
    <w:rsid w:val="0053233C"/>
    <w:rsid w:val="005524AE"/>
    <w:rsid w:val="005616DB"/>
    <w:rsid w:val="00565D55"/>
    <w:rsid w:val="00566721"/>
    <w:rsid w:val="00570257"/>
    <w:rsid w:val="005A0C1E"/>
    <w:rsid w:val="005B78AE"/>
    <w:rsid w:val="005B7F2A"/>
    <w:rsid w:val="005C5667"/>
    <w:rsid w:val="005E7716"/>
    <w:rsid w:val="0062341C"/>
    <w:rsid w:val="00626055"/>
    <w:rsid w:val="00641850"/>
    <w:rsid w:val="00643305"/>
    <w:rsid w:val="00651643"/>
    <w:rsid w:val="006575F1"/>
    <w:rsid w:val="00680737"/>
    <w:rsid w:val="00681419"/>
    <w:rsid w:val="0068434D"/>
    <w:rsid w:val="00693F53"/>
    <w:rsid w:val="006D0C91"/>
    <w:rsid w:val="006E4760"/>
    <w:rsid w:val="006E7815"/>
    <w:rsid w:val="00707AEB"/>
    <w:rsid w:val="00726499"/>
    <w:rsid w:val="00732CDD"/>
    <w:rsid w:val="00771994"/>
    <w:rsid w:val="007A3509"/>
    <w:rsid w:val="007E75F6"/>
    <w:rsid w:val="007F3FB7"/>
    <w:rsid w:val="008268B3"/>
    <w:rsid w:val="0082798B"/>
    <w:rsid w:val="0083668D"/>
    <w:rsid w:val="00844283"/>
    <w:rsid w:val="00852E02"/>
    <w:rsid w:val="00871208"/>
    <w:rsid w:val="0089264D"/>
    <w:rsid w:val="008B55CC"/>
    <w:rsid w:val="008C43BD"/>
    <w:rsid w:val="008D02E1"/>
    <w:rsid w:val="008E55EC"/>
    <w:rsid w:val="008F345D"/>
    <w:rsid w:val="00903FA9"/>
    <w:rsid w:val="00910779"/>
    <w:rsid w:val="009139A4"/>
    <w:rsid w:val="00914162"/>
    <w:rsid w:val="00914259"/>
    <w:rsid w:val="00920056"/>
    <w:rsid w:val="009555F2"/>
    <w:rsid w:val="0096648A"/>
    <w:rsid w:val="00975A63"/>
    <w:rsid w:val="0098024B"/>
    <w:rsid w:val="009B09C1"/>
    <w:rsid w:val="009C0217"/>
    <w:rsid w:val="00A14999"/>
    <w:rsid w:val="00A32CB9"/>
    <w:rsid w:val="00A33BC3"/>
    <w:rsid w:val="00A439D2"/>
    <w:rsid w:val="00A47FC7"/>
    <w:rsid w:val="00A843A8"/>
    <w:rsid w:val="00AA2FC2"/>
    <w:rsid w:val="00AB7261"/>
    <w:rsid w:val="00AC0F9E"/>
    <w:rsid w:val="00AD4526"/>
    <w:rsid w:val="00AE5F29"/>
    <w:rsid w:val="00B20379"/>
    <w:rsid w:val="00B35887"/>
    <w:rsid w:val="00B375CC"/>
    <w:rsid w:val="00B608A3"/>
    <w:rsid w:val="00B911CF"/>
    <w:rsid w:val="00B91AE0"/>
    <w:rsid w:val="00B91BD8"/>
    <w:rsid w:val="00B91F23"/>
    <w:rsid w:val="00BA2F16"/>
    <w:rsid w:val="00BA442E"/>
    <w:rsid w:val="00BB429B"/>
    <w:rsid w:val="00BB6F0E"/>
    <w:rsid w:val="00BC3C6E"/>
    <w:rsid w:val="00BD4107"/>
    <w:rsid w:val="00BE0681"/>
    <w:rsid w:val="00BF478A"/>
    <w:rsid w:val="00C116BE"/>
    <w:rsid w:val="00C23CB6"/>
    <w:rsid w:val="00C321D4"/>
    <w:rsid w:val="00C50A26"/>
    <w:rsid w:val="00C540CA"/>
    <w:rsid w:val="00C57B4B"/>
    <w:rsid w:val="00C673C7"/>
    <w:rsid w:val="00C85783"/>
    <w:rsid w:val="00CA06F8"/>
    <w:rsid w:val="00CB7AF4"/>
    <w:rsid w:val="00CF2EF9"/>
    <w:rsid w:val="00CF5463"/>
    <w:rsid w:val="00CF70F2"/>
    <w:rsid w:val="00D020BB"/>
    <w:rsid w:val="00D256BC"/>
    <w:rsid w:val="00D2714D"/>
    <w:rsid w:val="00D306A9"/>
    <w:rsid w:val="00D34024"/>
    <w:rsid w:val="00D34F1D"/>
    <w:rsid w:val="00D6581A"/>
    <w:rsid w:val="00D8284C"/>
    <w:rsid w:val="00D929F2"/>
    <w:rsid w:val="00DA2970"/>
    <w:rsid w:val="00DC0AD2"/>
    <w:rsid w:val="00DC4CC5"/>
    <w:rsid w:val="00DF2F50"/>
    <w:rsid w:val="00E151D6"/>
    <w:rsid w:val="00E24BF1"/>
    <w:rsid w:val="00E25CDD"/>
    <w:rsid w:val="00E41AB0"/>
    <w:rsid w:val="00E571C0"/>
    <w:rsid w:val="00E7653B"/>
    <w:rsid w:val="00E84712"/>
    <w:rsid w:val="00EA1F9D"/>
    <w:rsid w:val="00EC472B"/>
    <w:rsid w:val="00ED50CE"/>
    <w:rsid w:val="00EF6A97"/>
    <w:rsid w:val="00F0037C"/>
    <w:rsid w:val="00F135D9"/>
    <w:rsid w:val="00F237CC"/>
    <w:rsid w:val="00F539AA"/>
    <w:rsid w:val="00F60DF8"/>
    <w:rsid w:val="00F7051F"/>
    <w:rsid w:val="00F73CA2"/>
    <w:rsid w:val="00FB0CFE"/>
    <w:rsid w:val="00FF087F"/>
    <w:rsid w:val="00FF63F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8FF"/>
  <w15:chartTrackingRefBased/>
  <w15:docId w15:val="{9348FEBF-3997-43B6-9402-43465459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7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B4B"/>
    <w:pPr>
      <w:ind w:left="720"/>
      <w:contextualSpacing/>
    </w:pPr>
  </w:style>
  <w:style w:type="table" w:styleId="Tabela-Siatka">
    <w:name w:val="Table Grid"/>
    <w:basedOn w:val="Standardowy"/>
    <w:uiPriority w:val="39"/>
    <w:rsid w:val="00D3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4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0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81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81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- ART</dc:creator>
  <cp:keywords/>
  <dc:description/>
  <cp:lastModifiedBy>Barbara Ziaja</cp:lastModifiedBy>
  <cp:revision>13</cp:revision>
  <cp:lastPrinted>2022-06-23T12:52:00Z</cp:lastPrinted>
  <dcterms:created xsi:type="dcterms:W3CDTF">2022-06-23T10:36:00Z</dcterms:created>
  <dcterms:modified xsi:type="dcterms:W3CDTF">2022-06-24T09:05:00Z</dcterms:modified>
</cp:coreProperties>
</file>