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A557" w14:textId="169CA8C3" w:rsidR="0003013E" w:rsidRPr="00DC0658" w:rsidRDefault="00D92F78" w:rsidP="00C40D64">
      <w:pPr>
        <w:tabs>
          <w:tab w:val="left" w:pos="5670"/>
        </w:tabs>
        <w:spacing w:after="0"/>
        <w:rPr>
          <w:sz w:val="24"/>
          <w:szCs w:val="24"/>
        </w:rPr>
      </w:pPr>
      <w:bookmarkStart w:id="0" w:name="_Hlk112311807"/>
      <w:r w:rsidRPr="0098537F">
        <w:rPr>
          <w:rFonts w:asciiTheme="minorHAnsi" w:hAnsiTheme="minorHAnsi" w:cstheme="minorHAnsi"/>
          <w:sz w:val="24"/>
          <w:szCs w:val="24"/>
        </w:rPr>
        <w:t>Znak pisma: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8537F">
        <w:rPr>
          <w:rFonts w:asciiTheme="minorHAnsi" w:hAnsiTheme="minorHAnsi" w:cstheme="minorHAnsi"/>
          <w:sz w:val="24"/>
          <w:szCs w:val="24"/>
        </w:rPr>
        <w:t>DO.WAL.261.ZP.0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98537F">
        <w:rPr>
          <w:rFonts w:asciiTheme="minorHAnsi" w:hAnsiTheme="minorHAnsi" w:cstheme="minorHAnsi"/>
          <w:sz w:val="24"/>
          <w:szCs w:val="24"/>
        </w:rPr>
        <w:t>.23.</w:t>
      </w:r>
      <w:r>
        <w:rPr>
          <w:rFonts w:asciiTheme="minorHAnsi" w:hAnsiTheme="minorHAnsi" w:cstheme="minorHAnsi"/>
          <w:sz w:val="24"/>
          <w:szCs w:val="24"/>
        </w:rPr>
        <w:t>JT</w:t>
      </w:r>
      <w:r w:rsidRPr="0098537F">
        <w:rPr>
          <w:rFonts w:asciiTheme="minorHAnsi" w:hAnsiTheme="minorHAnsi" w:cstheme="minorHAnsi"/>
          <w:sz w:val="24"/>
          <w:szCs w:val="24"/>
        </w:rPr>
        <w:t>.2023</w:t>
      </w:r>
      <w:r>
        <w:rPr>
          <w:sz w:val="24"/>
          <w:szCs w:val="24"/>
        </w:rPr>
        <w:tab/>
      </w:r>
      <w:r w:rsidR="0003013E" w:rsidRPr="00DC0658">
        <w:rPr>
          <w:sz w:val="24"/>
          <w:szCs w:val="24"/>
        </w:rPr>
        <w:t>Warszawa, dnia</w:t>
      </w:r>
      <w:r w:rsidR="0003013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151FE">
        <w:rPr>
          <w:sz w:val="24"/>
          <w:szCs w:val="24"/>
        </w:rPr>
        <w:t>2</w:t>
      </w:r>
      <w:r w:rsidR="0003013E">
        <w:rPr>
          <w:sz w:val="24"/>
          <w:szCs w:val="24"/>
        </w:rPr>
        <w:t>.0</w:t>
      </w:r>
      <w:r w:rsidR="00EB6A8C">
        <w:rPr>
          <w:sz w:val="24"/>
          <w:szCs w:val="24"/>
        </w:rPr>
        <w:t>3</w:t>
      </w:r>
      <w:r w:rsidR="0003013E">
        <w:rPr>
          <w:sz w:val="24"/>
          <w:szCs w:val="24"/>
        </w:rPr>
        <w:t>.2023</w:t>
      </w:r>
      <w:r w:rsidR="0003013E" w:rsidRPr="00DC0658">
        <w:rPr>
          <w:sz w:val="24"/>
          <w:szCs w:val="24"/>
        </w:rPr>
        <w:t xml:space="preserve"> r.</w:t>
      </w:r>
    </w:p>
    <w:p w14:paraId="683ECAB7" w14:textId="77777777" w:rsidR="00C40D64" w:rsidRDefault="00C40D64" w:rsidP="00C40D64">
      <w:pPr>
        <w:spacing w:after="0"/>
        <w:ind w:right="567"/>
        <w:rPr>
          <w:b/>
          <w:bCs/>
          <w:sz w:val="24"/>
          <w:szCs w:val="24"/>
        </w:rPr>
      </w:pPr>
    </w:p>
    <w:p w14:paraId="3DDDD659" w14:textId="4BF3AF36" w:rsidR="00540D7F" w:rsidRDefault="00722E26" w:rsidP="00F47DF7">
      <w:pPr>
        <w:spacing w:after="0"/>
        <w:ind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O WYBORZE OFERTY NAJKORZYSTNIEJSZEJ</w:t>
      </w:r>
      <w:bookmarkEnd w:id="0"/>
    </w:p>
    <w:p w14:paraId="5E959790" w14:textId="77777777" w:rsidR="00C40D64" w:rsidRPr="00540D7F" w:rsidRDefault="00C40D64" w:rsidP="00C40D64">
      <w:pPr>
        <w:spacing w:after="0"/>
        <w:ind w:right="567"/>
        <w:rPr>
          <w:b/>
          <w:bCs/>
          <w:sz w:val="24"/>
          <w:szCs w:val="24"/>
        </w:rPr>
      </w:pPr>
    </w:p>
    <w:p w14:paraId="3612B2F0" w14:textId="60FA19F0" w:rsidR="0003013E" w:rsidRDefault="00D92F78" w:rsidP="00F47DF7">
      <w:pPr>
        <w:keepNext/>
        <w:tabs>
          <w:tab w:val="left" w:pos="426"/>
        </w:tabs>
        <w:spacing w:after="0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  <w:r w:rsidRPr="0098537F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03013E" w:rsidRPr="0098537F">
        <w:rPr>
          <w:rFonts w:asciiTheme="minorHAnsi" w:hAnsiTheme="minorHAnsi" w:cstheme="minorHAnsi"/>
          <w:sz w:val="24"/>
          <w:szCs w:val="24"/>
          <w:lang w:eastAsia="pl-PL"/>
        </w:rPr>
        <w:t>otyczy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92F78">
        <w:rPr>
          <w:rFonts w:asciiTheme="minorHAnsi" w:hAnsiTheme="minorHAnsi" w:cstheme="minorHAnsi"/>
          <w:sz w:val="24"/>
          <w:szCs w:val="24"/>
          <w:lang w:eastAsia="pl-PL"/>
        </w:rPr>
        <w:t>postępowania na: Usługi dostarczenia i uruchomienia symetrycznych łączy internetowych w Biurze i Oddziałach PFRON – numer sprawy ZP/03/23.</w:t>
      </w:r>
    </w:p>
    <w:p w14:paraId="75C1F5AF" w14:textId="77777777" w:rsidR="00F47DF7" w:rsidRPr="0098537F" w:rsidRDefault="00F47DF7" w:rsidP="00F47DF7">
      <w:pPr>
        <w:keepNext/>
        <w:tabs>
          <w:tab w:val="left" w:pos="426"/>
        </w:tabs>
        <w:spacing w:after="0"/>
        <w:outlineLvl w:val="8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E22A78" w14:textId="4BC9BB53" w:rsidR="0003013E" w:rsidRPr="00F47DF7" w:rsidRDefault="0003013E" w:rsidP="00F47DF7">
      <w:pPr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F47DF7">
        <w:rPr>
          <w:rFonts w:asciiTheme="minorHAnsi" w:hAnsiTheme="minorHAnsi" w:cstheme="minorHAnsi"/>
          <w:sz w:val="24"/>
          <w:szCs w:val="24"/>
          <w:lang w:eastAsia="pl-PL"/>
        </w:rPr>
        <w:t>Zamawiający – Państwowy Fundusz Rehabilitacji Osób Niepełnosprawnych na podstawie art.</w:t>
      </w:r>
      <w:r w:rsidR="00D92F78"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253 ust. 2 ustawy Prawo zamówień publicznych </w:t>
      </w:r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(Dz. U. z 2022 r., poz. 1710 z </w:t>
      </w:r>
      <w:proofErr w:type="spellStart"/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>. zm.)</w:t>
      </w:r>
      <w:r w:rsidR="00C40D64"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(dalej ustawa </w:t>
      </w:r>
      <w:proofErr w:type="spellStart"/>
      <w:r w:rsidR="00C40D64"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>Pzp</w:t>
      </w:r>
      <w:proofErr w:type="spellEnd"/>
      <w:r w:rsidR="00C40D64"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  <w:r w:rsidRPr="00F47DF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r w:rsidRPr="00F47DF7">
        <w:rPr>
          <w:rFonts w:asciiTheme="minorHAnsi" w:hAnsiTheme="minorHAnsi" w:cstheme="minorHAnsi"/>
          <w:bCs/>
          <w:sz w:val="24"/>
          <w:szCs w:val="24"/>
        </w:rPr>
        <w:t>na</w:t>
      </w:r>
      <w:r w:rsidR="00D92F78" w:rsidRPr="00F47DF7">
        <w:rPr>
          <w:rFonts w:asciiTheme="minorHAnsi" w:hAnsiTheme="minorHAnsi" w:cstheme="minorHAnsi"/>
          <w:bCs/>
          <w:sz w:val="24"/>
          <w:szCs w:val="24"/>
        </w:rPr>
        <w:t>: „</w:t>
      </w:r>
      <w:bookmarkStart w:id="1" w:name="_Hlk130199219"/>
      <w:r w:rsidR="00D92F78" w:rsidRPr="00F47DF7">
        <w:rPr>
          <w:rFonts w:asciiTheme="minorHAnsi" w:hAnsiTheme="minorHAnsi" w:cstheme="minorHAnsi"/>
          <w:bCs/>
          <w:sz w:val="24"/>
          <w:szCs w:val="24"/>
        </w:rPr>
        <w:t>Usługi dostarczenia i uruchomienia symetrycznych łączy internetowych w Biurze i Oddziałach PFRON</w:t>
      </w:r>
      <w:r w:rsidRPr="00F47DF7">
        <w:rPr>
          <w:rFonts w:asciiTheme="minorHAnsi" w:hAnsiTheme="minorHAnsi" w:cstheme="minorHAnsi"/>
          <w:bCs/>
          <w:sz w:val="24"/>
          <w:szCs w:val="24"/>
        </w:rPr>
        <w:t>”</w:t>
      </w:r>
      <w:bookmarkEnd w:id="1"/>
      <w:r w:rsidRPr="00F47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najkorzystniejszą ofertę złożył Wykonawca - </w:t>
      </w:r>
      <w:r w:rsidR="00D92F78" w:rsidRPr="00F47DF7">
        <w:rPr>
          <w:rFonts w:asciiTheme="minorHAnsi" w:hAnsiTheme="minorHAnsi" w:cstheme="minorHAnsi"/>
          <w:sz w:val="24"/>
          <w:szCs w:val="24"/>
          <w:lang w:eastAsia="pl-PL"/>
        </w:rPr>
        <w:t xml:space="preserve">TOYA Sp. z o.o. ul. Łąkowa 29, 90-554 Łódź, </w:t>
      </w:r>
      <w:r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którego oferta uzyskała największą liczbę punktów w</w:t>
      </w:r>
      <w:r w:rsidR="00B4342B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wyniku oceny przeprowadzonej przez Zamawiającego, zgodnie z kryteri</w:t>
      </w:r>
      <w:r w:rsidR="006F4722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</w:t>
      </w:r>
      <w:r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określony</w:t>
      </w:r>
      <w:r w:rsidR="006F4722"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</w:t>
      </w:r>
      <w:r w:rsidRPr="00F47DF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 Specyfikacji Warunków Zamówienia (SWZ) oraz spełnia warunki określone w SWZ.</w:t>
      </w:r>
    </w:p>
    <w:p w14:paraId="2A83F318" w14:textId="35BD2205" w:rsidR="0003013E" w:rsidRDefault="0003013E" w:rsidP="00F47DF7">
      <w:pPr>
        <w:numPr>
          <w:ilvl w:val="0"/>
          <w:numId w:val="22"/>
        </w:numPr>
        <w:tabs>
          <w:tab w:val="num" w:pos="426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 xml:space="preserve">a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 Wykonawc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>ach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, który złoży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>li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>w postępowaniu na: „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>Usługi dostarczenia i uruchomienia symetrycznych łączy internetowych w Biurze i Oddziałach PFRON”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wraz z punktacj</w:t>
      </w:r>
      <w:r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>tom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B4342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kryteri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>um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oceny ofert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 xml:space="preserve"> - Cena 100% (1%=1 pkt)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6F472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33D550D" w14:textId="04D2F127" w:rsidR="006F4722" w:rsidRPr="000B4E4E" w:rsidRDefault="006F4722" w:rsidP="00F47DF7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26926054"/>
      <w:r w:rsidRPr="000B4E4E">
        <w:rPr>
          <w:rFonts w:asciiTheme="minorHAnsi" w:hAnsiTheme="minorHAnsi" w:cstheme="minorHAnsi"/>
          <w:sz w:val="24"/>
          <w:szCs w:val="24"/>
          <w:lang w:eastAsia="pl-PL"/>
        </w:rPr>
        <w:t>Oferta nr 1</w:t>
      </w:r>
      <w:bookmarkEnd w:id="2"/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0B4E4E">
        <w:rPr>
          <w:rFonts w:asciiTheme="minorHAnsi" w:hAnsiTheme="minorHAnsi" w:cstheme="minorHAnsi"/>
          <w:sz w:val="24"/>
          <w:szCs w:val="24"/>
          <w:lang w:eastAsia="pl-PL"/>
        </w:rPr>
        <w:t>Netia S.A.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>, u</w:t>
      </w:r>
      <w:r w:rsidRPr="000B4E4E">
        <w:rPr>
          <w:rFonts w:asciiTheme="minorHAnsi" w:hAnsiTheme="minorHAnsi" w:cstheme="minorHAnsi"/>
          <w:sz w:val="24"/>
          <w:szCs w:val="24"/>
          <w:lang w:eastAsia="pl-PL"/>
        </w:rPr>
        <w:t>l. Poleczki 13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0B4E4E">
        <w:rPr>
          <w:rFonts w:asciiTheme="minorHAnsi" w:hAnsiTheme="minorHAnsi" w:cstheme="minorHAnsi"/>
          <w:sz w:val="24"/>
          <w:szCs w:val="24"/>
          <w:lang w:eastAsia="pl-PL"/>
        </w:rPr>
        <w:t>02-822 Warszawa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>93,25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 pkt </w:t>
      </w:r>
    </w:p>
    <w:p w14:paraId="5F2108B3" w14:textId="2B7A187F" w:rsidR="006F4722" w:rsidRPr="000B4E4E" w:rsidRDefault="006F4722" w:rsidP="00F47DF7">
      <w:pPr>
        <w:pStyle w:val="Akapitzlist"/>
        <w:numPr>
          <w:ilvl w:val="0"/>
          <w:numId w:val="27"/>
        </w:num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B4E4E">
        <w:rPr>
          <w:rFonts w:asciiTheme="minorHAnsi" w:hAnsiTheme="minorHAnsi" w:cstheme="minorHAnsi"/>
          <w:sz w:val="24"/>
          <w:szCs w:val="24"/>
          <w:lang w:eastAsia="pl-PL"/>
        </w:rPr>
        <w:t>Oferta nr 2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 - </w:t>
      </w:r>
      <w:r w:rsidRPr="000B4E4E">
        <w:rPr>
          <w:rFonts w:asciiTheme="minorHAnsi" w:hAnsiTheme="minorHAnsi" w:cstheme="minorHAnsi"/>
          <w:sz w:val="24"/>
          <w:szCs w:val="24"/>
          <w:lang w:eastAsia="pl-PL"/>
        </w:rPr>
        <w:t>TOYA Sp. z o.o.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0B4E4E">
        <w:rPr>
          <w:rFonts w:asciiTheme="minorHAnsi" w:hAnsiTheme="minorHAnsi" w:cstheme="minorHAnsi"/>
          <w:sz w:val="24"/>
          <w:szCs w:val="24"/>
          <w:lang w:eastAsia="pl-PL"/>
        </w:rPr>
        <w:t>l. Łąkowa 29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0B4E4E">
        <w:rPr>
          <w:rFonts w:asciiTheme="minorHAnsi" w:hAnsiTheme="minorHAnsi" w:cstheme="minorHAnsi"/>
          <w:sz w:val="24"/>
          <w:szCs w:val="24"/>
          <w:lang w:eastAsia="pl-PL"/>
        </w:rPr>
        <w:t>90-554 Łódź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r w:rsidR="000B4E4E" w:rsidRPr="000B4E4E">
        <w:rPr>
          <w:rFonts w:asciiTheme="minorHAnsi" w:hAnsiTheme="minorHAnsi" w:cstheme="minorHAnsi"/>
          <w:sz w:val="24"/>
          <w:szCs w:val="24"/>
          <w:lang w:eastAsia="pl-PL"/>
        </w:rPr>
        <w:t>100</w:t>
      </w:r>
      <w:r w:rsidR="000B4E4E">
        <w:rPr>
          <w:rFonts w:asciiTheme="minorHAnsi" w:hAnsiTheme="minorHAnsi" w:cstheme="minorHAnsi"/>
          <w:sz w:val="24"/>
          <w:szCs w:val="24"/>
          <w:lang w:eastAsia="pl-PL"/>
        </w:rPr>
        <w:t xml:space="preserve">,00 pkt </w:t>
      </w:r>
    </w:p>
    <w:p w14:paraId="67837C08" w14:textId="7A164761" w:rsidR="000B4E4E" w:rsidRPr="00F47DF7" w:rsidRDefault="006F4722" w:rsidP="00F47DF7">
      <w:pPr>
        <w:pStyle w:val="Akapitzlist"/>
        <w:numPr>
          <w:ilvl w:val="0"/>
          <w:numId w:val="27"/>
        </w:num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0B4E4E">
        <w:rPr>
          <w:rFonts w:asciiTheme="minorHAnsi" w:hAnsiTheme="minorHAnsi" w:cstheme="minorHAnsi"/>
          <w:sz w:val="24"/>
          <w:szCs w:val="24"/>
          <w:lang w:eastAsia="pl-PL"/>
        </w:rPr>
        <w:t>Oferta nr 3</w:t>
      </w:r>
      <w:r w:rsidR="000B4E4E" w:rsidRPr="000B4E4E">
        <w:rPr>
          <w:sz w:val="24"/>
          <w:szCs w:val="24"/>
        </w:rPr>
        <w:t xml:space="preserve"> - </w:t>
      </w:r>
      <w:r w:rsidRPr="000B4E4E">
        <w:rPr>
          <w:sz w:val="24"/>
          <w:szCs w:val="24"/>
        </w:rPr>
        <w:t>Orange Polska S.A.</w:t>
      </w:r>
      <w:r w:rsidR="000B4E4E" w:rsidRPr="000B4E4E">
        <w:rPr>
          <w:sz w:val="24"/>
          <w:szCs w:val="24"/>
        </w:rPr>
        <w:t xml:space="preserve">, </w:t>
      </w:r>
      <w:r w:rsidRPr="000B4E4E">
        <w:rPr>
          <w:sz w:val="24"/>
          <w:szCs w:val="24"/>
        </w:rPr>
        <w:t>Al. Jerozolimskie 160</w:t>
      </w:r>
      <w:r w:rsidR="000B4E4E" w:rsidRPr="000B4E4E">
        <w:rPr>
          <w:sz w:val="24"/>
          <w:szCs w:val="24"/>
        </w:rPr>
        <w:t xml:space="preserve">, </w:t>
      </w:r>
      <w:r w:rsidRPr="000B4E4E">
        <w:rPr>
          <w:sz w:val="24"/>
          <w:szCs w:val="24"/>
        </w:rPr>
        <w:t xml:space="preserve">02-326 Warszawa </w:t>
      </w:r>
      <w:r w:rsidR="000B4E4E">
        <w:rPr>
          <w:sz w:val="24"/>
          <w:szCs w:val="24"/>
        </w:rPr>
        <w:t xml:space="preserve">- </w:t>
      </w:r>
      <w:r w:rsidR="006151FE">
        <w:rPr>
          <w:sz w:val="24"/>
          <w:szCs w:val="24"/>
        </w:rPr>
        <w:t>oferta odrzucona</w:t>
      </w:r>
    </w:p>
    <w:p w14:paraId="1836FE6C" w14:textId="707267DB" w:rsidR="000B4E4E" w:rsidRPr="00C40D64" w:rsidRDefault="000B4E4E" w:rsidP="00F47DF7">
      <w:pPr>
        <w:pStyle w:val="Akapitzlist"/>
        <w:numPr>
          <w:ilvl w:val="0"/>
          <w:numId w:val="22"/>
        </w:num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51FE">
        <w:rPr>
          <w:rFonts w:asciiTheme="minorHAnsi" w:hAnsiTheme="minorHAnsi" w:cstheme="minorHAnsi"/>
          <w:sz w:val="24"/>
          <w:szCs w:val="24"/>
          <w:lang w:eastAsia="pl-PL"/>
        </w:rPr>
        <w:t xml:space="preserve">Zamawiający </w:t>
      </w:r>
      <w:r w:rsidR="00C40D64">
        <w:rPr>
          <w:rFonts w:asciiTheme="minorHAnsi" w:hAnsiTheme="minorHAnsi" w:cstheme="minorHAnsi"/>
          <w:sz w:val="24"/>
          <w:szCs w:val="24"/>
          <w:lang w:eastAsia="pl-PL"/>
        </w:rPr>
        <w:t xml:space="preserve">na podstawie art. </w:t>
      </w:r>
      <w:r w:rsidR="00C40D64" w:rsidRPr="00C40D64">
        <w:rPr>
          <w:rFonts w:asciiTheme="minorHAnsi" w:hAnsiTheme="minorHAnsi" w:cstheme="minorHAnsi"/>
          <w:sz w:val="24"/>
          <w:szCs w:val="24"/>
          <w:lang w:eastAsia="pl-PL"/>
        </w:rPr>
        <w:t xml:space="preserve">Art. 226 ust. 1 pkt 12 ustawy </w:t>
      </w:r>
      <w:proofErr w:type="spellStart"/>
      <w:r w:rsidR="00C40D64" w:rsidRPr="00C40D64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C40D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>odrzucił ofert</w:t>
      </w:r>
      <w:r w:rsidR="006151FE" w:rsidRPr="00C40D64">
        <w:rPr>
          <w:rFonts w:asciiTheme="minorHAnsi" w:hAnsiTheme="minorHAnsi" w:cstheme="minorHAnsi"/>
          <w:sz w:val="24"/>
          <w:szCs w:val="24"/>
          <w:lang w:eastAsia="pl-PL"/>
        </w:rPr>
        <w:t xml:space="preserve">ę </w:t>
      </w:r>
      <w:bookmarkStart w:id="3" w:name="_Hlk130368240"/>
      <w:r w:rsidR="00C40D64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6151FE" w:rsidRPr="00C40D64">
        <w:rPr>
          <w:rFonts w:asciiTheme="minorHAnsi" w:hAnsiTheme="minorHAnsi" w:cstheme="minorHAnsi"/>
          <w:sz w:val="24"/>
          <w:szCs w:val="24"/>
          <w:lang w:eastAsia="pl-PL"/>
        </w:rPr>
        <w:t>ykonawcy Orange Polska S.A., Al. Jerozolimskie 160, 02-326 Warszawa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3"/>
      <w:r w:rsidRPr="00C40D64">
        <w:rPr>
          <w:rFonts w:asciiTheme="minorHAnsi" w:hAnsiTheme="minorHAnsi" w:cstheme="minorHAnsi"/>
          <w:sz w:val="24"/>
          <w:szCs w:val="24"/>
          <w:lang w:eastAsia="pl-PL"/>
        </w:rPr>
        <w:t>w postępowaniu na: „Usługi dostarczenia i uruchomienia symetrycznych łączy internetowych w Biurze i Oddziałach PFRON”.</w:t>
      </w:r>
    </w:p>
    <w:p w14:paraId="2F1E0FBC" w14:textId="719D1A5E" w:rsidR="006151FE" w:rsidRDefault="006151FE" w:rsidP="00F47DF7">
      <w:pPr>
        <w:pStyle w:val="Akapitzlist"/>
        <w:tabs>
          <w:tab w:val="left" w:pos="993"/>
        </w:tabs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Uzasadnienie prawne</w:t>
      </w:r>
      <w:r w:rsidR="00C40D64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3F573C4" w14:textId="7C2CFC1E" w:rsidR="00C40D64" w:rsidRDefault="00C40D64" w:rsidP="00F47DF7">
      <w:pPr>
        <w:pStyle w:val="Akapitzlist"/>
        <w:tabs>
          <w:tab w:val="left" w:pos="993"/>
        </w:tabs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„A</w:t>
      </w:r>
      <w:r w:rsidR="005D14FC" w:rsidRPr="005D14FC">
        <w:rPr>
          <w:rFonts w:asciiTheme="minorHAnsi" w:hAnsiTheme="minorHAnsi" w:cstheme="minorHAnsi"/>
          <w:sz w:val="24"/>
          <w:szCs w:val="24"/>
          <w:lang w:eastAsia="pl-PL"/>
        </w:rPr>
        <w:t>rt. 226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5D14FC" w:rsidRPr="005D14FC">
        <w:rPr>
          <w:rFonts w:asciiTheme="minorHAnsi" w:hAnsiTheme="minorHAnsi" w:cstheme="minorHAnsi"/>
          <w:sz w:val="24"/>
          <w:szCs w:val="24"/>
          <w:lang w:eastAsia="pl-PL"/>
        </w:rPr>
        <w:t>1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C40D64">
        <w:t xml:space="preserve"> 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>Zamawiający odrzuca ofertę, jeżeli:</w:t>
      </w:r>
    </w:p>
    <w:p w14:paraId="64D102B5" w14:textId="7CBC354D" w:rsidR="00C40D64" w:rsidRDefault="00C40D64" w:rsidP="00F47DF7">
      <w:pPr>
        <w:pStyle w:val="Akapitzlist"/>
        <w:tabs>
          <w:tab w:val="left" w:pos="993"/>
        </w:tabs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(…)</w:t>
      </w:r>
    </w:p>
    <w:p w14:paraId="723F30C9" w14:textId="77777777" w:rsidR="00C40D64" w:rsidRPr="00C40D64" w:rsidRDefault="00C40D64" w:rsidP="00F47DF7">
      <w:pPr>
        <w:pStyle w:val="Akapitzlist"/>
        <w:tabs>
          <w:tab w:val="left" w:pos="993"/>
        </w:tabs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(</w:t>
      </w:r>
      <w:r w:rsidR="005D14FC" w:rsidRPr="00C40D64">
        <w:rPr>
          <w:rFonts w:asciiTheme="minorHAnsi" w:hAnsiTheme="minorHAnsi" w:cstheme="minorHAnsi"/>
          <w:sz w:val="24"/>
          <w:szCs w:val="24"/>
          <w:lang w:eastAsia="pl-PL"/>
        </w:rPr>
        <w:t>12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>wykonawca nie wyraził pisemnej zgody na przedłużenie terminu związania</w:t>
      </w:r>
    </w:p>
    <w:p w14:paraId="29769C16" w14:textId="538CC8FD" w:rsidR="006151FE" w:rsidRPr="00C40D64" w:rsidRDefault="00C40D64" w:rsidP="00F47DF7">
      <w:pPr>
        <w:pStyle w:val="Akapitzlist"/>
        <w:tabs>
          <w:tab w:val="left" w:pos="993"/>
        </w:tabs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C40D64">
        <w:rPr>
          <w:rFonts w:asciiTheme="minorHAnsi" w:hAnsiTheme="minorHAnsi" w:cstheme="minorHAnsi"/>
          <w:sz w:val="24"/>
          <w:szCs w:val="24"/>
          <w:lang w:eastAsia="pl-PL"/>
        </w:rPr>
        <w:t>ofertą;</w:t>
      </w:r>
      <w:r>
        <w:rPr>
          <w:rFonts w:asciiTheme="minorHAnsi" w:hAnsiTheme="minorHAnsi" w:cstheme="minorHAnsi"/>
          <w:sz w:val="24"/>
          <w:szCs w:val="24"/>
          <w:lang w:eastAsia="pl-PL"/>
        </w:rPr>
        <w:t>”</w:t>
      </w:r>
    </w:p>
    <w:p w14:paraId="53FDC1CA" w14:textId="0BC1647C" w:rsidR="006151FE" w:rsidRDefault="006151FE" w:rsidP="00F47DF7">
      <w:pPr>
        <w:pStyle w:val="Akapitzlist"/>
        <w:tabs>
          <w:tab w:val="left" w:pos="993"/>
        </w:tabs>
        <w:spacing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Uzasadnienie faktyczne</w:t>
      </w:r>
      <w:r w:rsidR="00C40D64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1538AC56" w14:textId="0B5D3ED5" w:rsidR="00C40D64" w:rsidRDefault="00C40D64" w:rsidP="00F47DF7">
      <w:pPr>
        <w:pStyle w:val="Akapitzlist"/>
        <w:tabs>
          <w:tab w:val="left" w:pos="1134"/>
        </w:tabs>
        <w:spacing w:before="240" w:after="0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>ykonawc</w:t>
      </w:r>
      <w:r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 xml:space="preserve"> Orange Polska S.A., Al. Jerozolimskie 160, 02-326 Warszawa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w wyznaczonym przez Zamawiającego terminie nie 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>wyraził pisemnej zgody na przedłużenie terminu związania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40D64">
        <w:rPr>
          <w:rFonts w:asciiTheme="minorHAnsi" w:hAnsiTheme="minorHAnsi" w:cstheme="minorHAnsi"/>
          <w:sz w:val="24"/>
          <w:szCs w:val="24"/>
          <w:lang w:eastAsia="pl-PL"/>
        </w:rPr>
        <w:t>ofertą;”</w:t>
      </w:r>
      <w:r w:rsidR="00F47DF7"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Start w:id="4" w:name="_GoBack"/>
      <w:bookmarkEnd w:id="4"/>
    </w:p>
    <w:sectPr w:rsidR="00C40D64" w:rsidSect="00F47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7329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03B1F7C5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F694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4F29FD3" wp14:editId="6AEA176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1" name="Obraz 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21A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665D354" wp14:editId="2B6912D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3" name="Obraz 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2DF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E3423B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C6A9" w14:textId="1448E41C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DC024" w14:textId="3018196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6" behindDoc="1" locked="0" layoutInCell="1" allowOverlap="1" wp14:anchorId="318FA0C8" wp14:editId="27934E00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10030" w14:textId="13A2F286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C7FEE"/>
    <w:multiLevelType w:val="hybridMultilevel"/>
    <w:tmpl w:val="2BDE60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E4328"/>
    <w:multiLevelType w:val="multilevel"/>
    <w:tmpl w:val="F7E8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150D"/>
    <w:multiLevelType w:val="hybridMultilevel"/>
    <w:tmpl w:val="A404C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00A69"/>
    <w:multiLevelType w:val="hybridMultilevel"/>
    <w:tmpl w:val="D062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6"/>
  </w:num>
  <w:num w:numId="5">
    <w:abstractNumId w:val="2"/>
  </w:num>
  <w:num w:numId="6">
    <w:abstractNumId w:val="21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24"/>
  </w:num>
  <w:num w:numId="12">
    <w:abstractNumId w:val="23"/>
  </w:num>
  <w:num w:numId="13">
    <w:abstractNumId w:val="17"/>
  </w:num>
  <w:num w:numId="14">
    <w:abstractNumId w:val="13"/>
  </w:num>
  <w:num w:numId="15">
    <w:abstractNumId w:val="15"/>
  </w:num>
  <w:num w:numId="16">
    <w:abstractNumId w:val="22"/>
  </w:num>
  <w:num w:numId="17">
    <w:abstractNumId w:val="25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3013E"/>
    <w:rsid w:val="000477B4"/>
    <w:rsid w:val="00050604"/>
    <w:rsid w:val="0005160E"/>
    <w:rsid w:val="00053CA8"/>
    <w:rsid w:val="00076F4D"/>
    <w:rsid w:val="00091E7E"/>
    <w:rsid w:val="00092842"/>
    <w:rsid w:val="00093427"/>
    <w:rsid w:val="000A34FB"/>
    <w:rsid w:val="000B09F4"/>
    <w:rsid w:val="000B4E4E"/>
    <w:rsid w:val="00132623"/>
    <w:rsid w:val="0014029D"/>
    <w:rsid w:val="00161E95"/>
    <w:rsid w:val="00163201"/>
    <w:rsid w:val="00192A2F"/>
    <w:rsid w:val="001C658D"/>
    <w:rsid w:val="001D013F"/>
    <w:rsid w:val="001E5AD8"/>
    <w:rsid w:val="002461E7"/>
    <w:rsid w:val="00265742"/>
    <w:rsid w:val="002A3319"/>
    <w:rsid w:val="002D2710"/>
    <w:rsid w:val="002E2C6B"/>
    <w:rsid w:val="0030363E"/>
    <w:rsid w:val="0032268E"/>
    <w:rsid w:val="00323140"/>
    <w:rsid w:val="0032635A"/>
    <w:rsid w:val="00342BCC"/>
    <w:rsid w:val="003436A6"/>
    <w:rsid w:val="00366BEF"/>
    <w:rsid w:val="00387E8F"/>
    <w:rsid w:val="003B48DF"/>
    <w:rsid w:val="003B68DC"/>
    <w:rsid w:val="003E5F06"/>
    <w:rsid w:val="0041072C"/>
    <w:rsid w:val="004124EF"/>
    <w:rsid w:val="0043376A"/>
    <w:rsid w:val="00454EFE"/>
    <w:rsid w:val="00467635"/>
    <w:rsid w:val="004D7961"/>
    <w:rsid w:val="00501572"/>
    <w:rsid w:val="00502415"/>
    <w:rsid w:val="005070F0"/>
    <w:rsid w:val="00515306"/>
    <w:rsid w:val="00540D7F"/>
    <w:rsid w:val="00542D99"/>
    <w:rsid w:val="00546DEE"/>
    <w:rsid w:val="00567974"/>
    <w:rsid w:val="005B4445"/>
    <w:rsid w:val="005C3727"/>
    <w:rsid w:val="005D14FC"/>
    <w:rsid w:val="005E09D8"/>
    <w:rsid w:val="006151FE"/>
    <w:rsid w:val="0062731B"/>
    <w:rsid w:val="00633FB3"/>
    <w:rsid w:val="00634E5F"/>
    <w:rsid w:val="00644574"/>
    <w:rsid w:val="00645141"/>
    <w:rsid w:val="006771E9"/>
    <w:rsid w:val="006B3880"/>
    <w:rsid w:val="006C65BD"/>
    <w:rsid w:val="006E60D7"/>
    <w:rsid w:val="006F4722"/>
    <w:rsid w:val="0071247F"/>
    <w:rsid w:val="00721437"/>
    <w:rsid w:val="00722E26"/>
    <w:rsid w:val="0079581E"/>
    <w:rsid w:val="007C0BE1"/>
    <w:rsid w:val="007C109E"/>
    <w:rsid w:val="007D1C8E"/>
    <w:rsid w:val="007E2C1D"/>
    <w:rsid w:val="007E3988"/>
    <w:rsid w:val="0080060F"/>
    <w:rsid w:val="008202B0"/>
    <w:rsid w:val="00821B19"/>
    <w:rsid w:val="00825AE5"/>
    <w:rsid w:val="00866193"/>
    <w:rsid w:val="008672B1"/>
    <w:rsid w:val="00894D9E"/>
    <w:rsid w:val="008A15D1"/>
    <w:rsid w:val="008C0DD2"/>
    <w:rsid w:val="008C39CF"/>
    <w:rsid w:val="008C6298"/>
    <w:rsid w:val="008F09E6"/>
    <w:rsid w:val="008F6206"/>
    <w:rsid w:val="0092198D"/>
    <w:rsid w:val="0092417A"/>
    <w:rsid w:val="0092652F"/>
    <w:rsid w:val="009269D2"/>
    <w:rsid w:val="00945190"/>
    <w:rsid w:val="00946765"/>
    <w:rsid w:val="00954541"/>
    <w:rsid w:val="009A6DB3"/>
    <w:rsid w:val="009C1110"/>
    <w:rsid w:val="00A23326"/>
    <w:rsid w:val="00A45B62"/>
    <w:rsid w:val="00A94D81"/>
    <w:rsid w:val="00AA1C80"/>
    <w:rsid w:val="00AC1539"/>
    <w:rsid w:val="00AE259D"/>
    <w:rsid w:val="00B04DF2"/>
    <w:rsid w:val="00B26F75"/>
    <w:rsid w:val="00B37305"/>
    <w:rsid w:val="00B41F7E"/>
    <w:rsid w:val="00B4342B"/>
    <w:rsid w:val="00B62471"/>
    <w:rsid w:val="00B66B2F"/>
    <w:rsid w:val="00B71470"/>
    <w:rsid w:val="00B90A5A"/>
    <w:rsid w:val="00BD02F4"/>
    <w:rsid w:val="00BD2BDD"/>
    <w:rsid w:val="00C06226"/>
    <w:rsid w:val="00C40D64"/>
    <w:rsid w:val="00C44644"/>
    <w:rsid w:val="00C72B8F"/>
    <w:rsid w:val="00C93A16"/>
    <w:rsid w:val="00CB0B62"/>
    <w:rsid w:val="00CB6D53"/>
    <w:rsid w:val="00D20BAA"/>
    <w:rsid w:val="00D37A6A"/>
    <w:rsid w:val="00D44CF7"/>
    <w:rsid w:val="00D526F6"/>
    <w:rsid w:val="00D559D0"/>
    <w:rsid w:val="00D6570A"/>
    <w:rsid w:val="00D92F78"/>
    <w:rsid w:val="00D9647D"/>
    <w:rsid w:val="00DC0658"/>
    <w:rsid w:val="00DF0878"/>
    <w:rsid w:val="00DF3986"/>
    <w:rsid w:val="00DF4449"/>
    <w:rsid w:val="00E01178"/>
    <w:rsid w:val="00E302A6"/>
    <w:rsid w:val="00E371B8"/>
    <w:rsid w:val="00E441DC"/>
    <w:rsid w:val="00E7636F"/>
    <w:rsid w:val="00EA0B60"/>
    <w:rsid w:val="00EB6A8C"/>
    <w:rsid w:val="00EC5246"/>
    <w:rsid w:val="00ED0BF5"/>
    <w:rsid w:val="00EE2184"/>
    <w:rsid w:val="00F0175C"/>
    <w:rsid w:val="00F21BFA"/>
    <w:rsid w:val="00F32A36"/>
    <w:rsid w:val="00F43CA8"/>
    <w:rsid w:val="00F47DF7"/>
    <w:rsid w:val="00F97517"/>
    <w:rsid w:val="00FA1C80"/>
    <w:rsid w:val="00FA6CB1"/>
    <w:rsid w:val="00FD7B49"/>
    <w:rsid w:val="00FE2822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FA40E2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,Nagłowek 3,Preambuła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D7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4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49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49"/>
    <w:rPr>
      <w:b/>
      <w:bCs/>
      <w:lang w:eastAsia="en-US"/>
    </w:rPr>
  </w:style>
  <w:style w:type="table" w:customStyle="1" w:styleId="Tabela-Siatka1">
    <w:name w:val="Tabela - Siatka1"/>
    <w:basedOn w:val="Standardowy"/>
    <w:uiPriority w:val="59"/>
    <w:rsid w:val="00DF44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Akapit z listą5 Znak,Numerowanie Znak,Nagłowek 3 Znak,Preambuła Znak,Akapit z listą BS Znak,Kolorowa lista — akcent 11 Znak,Dot pt Znak,F5 List Paragraph Znak,Recommendation Znak,List Paragraph11 Znak"/>
    <w:link w:val="Akapitzlist"/>
    <w:uiPriority w:val="34"/>
    <w:rsid w:val="00192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41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Turlej Jadwiga</cp:lastModifiedBy>
  <cp:revision>9</cp:revision>
  <cp:lastPrinted>2022-10-03T09:19:00Z</cp:lastPrinted>
  <dcterms:created xsi:type="dcterms:W3CDTF">2023-03-20T09:09:00Z</dcterms:created>
  <dcterms:modified xsi:type="dcterms:W3CDTF">2023-03-22T08:33:00Z</dcterms:modified>
</cp:coreProperties>
</file>