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zamówień publicznych (Dz.U. z 2019 r. poz. 2019 ze zm.),</w:t>
      </w:r>
    </w:p>
    <w:p w:rsidR="0061551A" w:rsidRPr="0061551A" w:rsidRDefault="00A80D40" w:rsidP="00E877B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zwanej dalej „ustawą”, w postępowaniu na</w:t>
      </w:r>
      <w:r w:rsidRPr="00A249AA">
        <w:rPr>
          <w:rFonts w:ascii="Arial" w:eastAsia="Times New Roman" w:hAnsi="Arial" w:cs="Arial"/>
          <w:kern w:val="2"/>
        </w:rPr>
        <w:t xml:space="preserve"> </w:t>
      </w:r>
      <w:r>
        <w:rPr>
          <w:rFonts w:ascii="Arial" w:eastAsia="Times New Roman" w:hAnsi="Arial" w:cs="Arial"/>
          <w:kern w:val="2"/>
        </w:rPr>
        <w:br/>
      </w:r>
    </w:p>
    <w:p w:rsidR="00251893" w:rsidRPr="00251893" w:rsidRDefault="00251893" w:rsidP="00251893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</w:rPr>
      </w:pPr>
      <w:r w:rsidRPr="00251893">
        <w:rPr>
          <w:rFonts w:ascii="Arial" w:eastAsia="Times New Roman" w:hAnsi="Arial" w:cs="Arial"/>
          <w:b/>
          <w:bCs/>
          <w:i/>
          <w:iCs/>
          <w:kern w:val="2"/>
        </w:rPr>
        <w:t>„Rewaloryzacja i zagospodarowanie parku miejskiego przy ul. Wincentego Witosa w Jelczu-Laskowicach”.</w:t>
      </w:r>
    </w:p>
    <w:p w:rsidR="00251893" w:rsidRPr="00251893" w:rsidRDefault="00251893" w:rsidP="00251893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  <w:lang w:val="en-US"/>
        </w:rPr>
      </w:pPr>
      <w:r w:rsidRPr="00251893">
        <w:rPr>
          <w:rFonts w:ascii="Arial" w:eastAsia="Times New Roman" w:hAnsi="Arial" w:cs="Arial"/>
          <w:b/>
          <w:bCs/>
          <w:i/>
          <w:iCs/>
          <w:kern w:val="2"/>
        </w:rPr>
        <w:t xml:space="preserve">Etap I Wykonanie </w:t>
      </w:r>
      <w:bookmarkStart w:id="2" w:name="_GoBack"/>
      <w:bookmarkEnd w:id="2"/>
      <w:r w:rsidRPr="00251893">
        <w:rPr>
          <w:rFonts w:ascii="Arial" w:eastAsia="Times New Roman" w:hAnsi="Arial" w:cs="Arial"/>
          <w:b/>
          <w:bCs/>
          <w:i/>
          <w:iCs/>
          <w:kern w:val="2"/>
        </w:rPr>
        <w:t>oświetlenia parkowego.</w:t>
      </w:r>
    </w:p>
    <w:p w:rsidR="00C04BD0" w:rsidRPr="00C04BD0" w:rsidRDefault="00251893" w:rsidP="00C04BD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</w:rPr>
      </w:pPr>
      <w:r>
        <w:rPr>
          <w:rFonts w:ascii="Arial" w:eastAsia="Times New Roman" w:hAnsi="Arial" w:cs="Arial"/>
          <w:b/>
          <w:bCs/>
          <w:i/>
          <w:iCs/>
          <w:kern w:val="2"/>
        </w:rPr>
        <w:t xml:space="preserve"> </w:t>
      </w:r>
    </w:p>
    <w:p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</w:rPr>
      </w:pPr>
    </w:p>
    <w:bookmarkEnd w:id="1"/>
    <w:p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</w:p>
    <w:p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3" w:name="_Hlk61824093"/>
      <w:bookmarkStart w:id="4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3"/>
      <w:r>
        <w:rPr>
          <w:rFonts w:ascii="Arial" w:eastAsia="Times New Roman" w:hAnsi="Arial" w:cs="Arial"/>
          <w:kern w:val="2"/>
        </w:rPr>
        <w:t xml:space="preserve">, 5 i 7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4"/>
      <w:r w:rsidRPr="00A249AA">
        <w:rPr>
          <w:rFonts w:ascii="Arial" w:eastAsia="Times New Roman" w:hAnsi="Arial" w:cs="Arial"/>
          <w:kern w:val="2"/>
        </w:rPr>
        <w:t xml:space="preserve">: 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3</w:t>
      </w:r>
      <w:r w:rsidRPr="00A249AA">
        <w:rPr>
          <w:rFonts w:ascii="Arial" w:eastAsia="Times New Roman" w:hAnsi="Arial" w:cs="Arial"/>
          <w:kern w:val="2"/>
        </w:rPr>
        <w:t xml:space="preserve">.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 xml:space="preserve">Wszystkie podane powyżej informacje są aktualne i zgodne z prawdą oraz zostały przedstawione z pełną świadomością konsekwencji wprowadzenia Zamawiającego w błąd przy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>przedstawianiu informacji.</w:t>
      </w:r>
    </w:p>
    <w:p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5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6" w:name="_Hlk61825033"/>
      <w:bookmarkStart w:id="7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6"/>
    </w:p>
    <w:bookmarkEnd w:id="7"/>
    <w:p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5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6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 xml:space="preserve">w stosunku do którego otwarto likwidację, ogłoszono upadłość, którego aktywami zarządza likwidator lub sąd, zawarł układ z wierzycielami, którego działalność gospodarcza jest zawieszona albo </w:t>
      </w:r>
      <w:r w:rsidRPr="00AC57AB">
        <w:rPr>
          <w:rFonts w:ascii="Arial" w:hAnsi="Arial" w:cs="Arial"/>
          <w:i/>
          <w:iCs/>
          <w:sz w:val="19"/>
          <w:szCs w:val="19"/>
        </w:rPr>
        <w:lastRenderedPageBreak/>
        <w:t>znajduje się on w innej tego rodzaju sytuacji wynikającej z podobnej procedury przewidzianej w przepisach miejsca wszczęcia tej procedury.</w:t>
      </w:r>
    </w:p>
    <w:p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2238F3" w:rsidRPr="002238F3" w:rsidRDefault="002238F3" w:rsidP="002238F3">
      <w:pPr>
        <w:pStyle w:val="Akapitzlist"/>
        <w:numPr>
          <w:ilvl w:val="0"/>
          <w:numId w:val="1"/>
        </w:numPr>
        <w:rPr>
          <w:i/>
        </w:rPr>
      </w:pPr>
      <w:r w:rsidRPr="002238F3">
        <w:rPr>
          <w:i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2238F3" w:rsidRDefault="002238F3" w:rsidP="002238F3">
      <w:pPr>
        <w:ind w:left="210" w:firstLine="0"/>
      </w:pPr>
    </w:p>
    <w:sectPr w:rsidR="002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40"/>
    <w:rsid w:val="00130F28"/>
    <w:rsid w:val="002238F3"/>
    <w:rsid w:val="00251893"/>
    <w:rsid w:val="0061551A"/>
    <w:rsid w:val="00716981"/>
    <w:rsid w:val="008B2928"/>
    <w:rsid w:val="00A80D40"/>
    <w:rsid w:val="00B93E68"/>
    <w:rsid w:val="00C04BD0"/>
    <w:rsid w:val="00E877B0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slvpn.um.warszawa.pl/lex/,DanaInfo=.alfzCyrF3i02-m9oO52+index.rp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1258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9</cp:revision>
  <dcterms:created xsi:type="dcterms:W3CDTF">2021-02-24T21:44:00Z</dcterms:created>
  <dcterms:modified xsi:type="dcterms:W3CDTF">2021-11-24T09:14:00Z</dcterms:modified>
</cp:coreProperties>
</file>