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22CF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DD81775" w14:textId="77777777" w:rsidTr="00056CB3">
        <w:tc>
          <w:tcPr>
            <w:tcW w:w="4792" w:type="dxa"/>
            <w:shd w:val="clear" w:color="auto" w:fill="auto"/>
          </w:tcPr>
          <w:p w14:paraId="372A624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7007FF3F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08E235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DAEB15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79910B" w14:textId="1168E10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61154">
        <w:rPr>
          <w:rFonts w:ascii="Georgia" w:hAnsi="Georgia" w:cstheme="minorHAnsi"/>
          <w:b/>
          <w:bCs/>
          <w:sz w:val="32"/>
          <w:szCs w:val="32"/>
        </w:rPr>
        <w:t>3</w:t>
      </w:r>
    </w:p>
    <w:p w14:paraId="1CBE3C1F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49154508" w14:textId="0CF195A0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</w:t>
      </w:r>
      <w:r w:rsidR="00961154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5006209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 xml:space="preserve">Dyrektorem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>Areszt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161D3526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798CA2AE" w14:textId="6EBB060F" w:rsidR="008B3B96" w:rsidRPr="008B3B96" w:rsidRDefault="00961154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3753D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</w:t>
      </w:r>
      <w:r w:rsidR="00F45722">
        <w:rPr>
          <w:rFonts w:asciiTheme="minorHAnsi" w:hAnsiTheme="minorHAnsi" w:cstheme="minorHAnsi"/>
          <w:b/>
          <w:sz w:val="24"/>
          <w:szCs w:val="24"/>
          <w:lang w:eastAsia="ar-SA"/>
        </w:rPr>
        <w:t>Piwko</w:t>
      </w:r>
    </w:p>
    <w:p w14:paraId="2349F00A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A68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6E37103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E73798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F0ADA8E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0E6F6C9B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3A622E4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7956196" w14:textId="77777777" w:rsidR="00227309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38CDB2C0" w14:textId="77777777"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464F41F2" w14:textId="77777777" w:rsidR="00227309" w:rsidRPr="00363BCE" w:rsidRDefault="00227309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9A1C4B7" w14:textId="692DE3B9" w:rsidR="002E3D97" w:rsidRDefault="0011095F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2B5D89">
        <w:rPr>
          <w:rFonts w:asciiTheme="minorHAnsi" w:hAnsiTheme="minorHAnsi" w:cstheme="minorHAnsi"/>
        </w:rPr>
        <w:t>usługa najmu</w:t>
      </w:r>
      <w:r w:rsidR="00EF4757">
        <w:rPr>
          <w:rFonts w:asciiTheme="minorHAnsi" w:hAnsiTheme="minorHAnsi" w:cstheme="minorHAnsi"/>
        </w:rPr>
        <w:t xml:space="preserve"> i serwis</w:t>
      </w:r>
      <w:r w:rsidR="002B5D89">
        <w:rPr>
          <w:rFonts w:asciiTheme="minorHAnsi" w:hAnsiTheme="minorHAnsi" w:cstheme="minorHAnsi"/>
        </w:rPr>
        <w:t>owania</w:t>
      </w:r>
      <w:r w:rsidR="00EF4757">
        <w:rPr>
          <w:rFonts w:asciiTheme="minorHAnsi" w:hAnsiTheme="minorHAnsi" w:cstheme="minorHAnsi"/>
        </w:rPr>
        <w:t xml:space="preserve"> urządzeń wielofunkcyjnych </w:t>
      </w:r>
      <w:r w:rsidR="002B5D89">
        <w:rPr>
          <w:rFonts w:asciiTheme="minorHAnsi" w:hAnsiTheme="minorHAnsi" w:cstheme="minorHAnsi"/>
        </w:rPr>
        <w:br/>
      </w:r>
      <w:r w:rsidR="00EF4757">
        <w:rPr>
          <w:rFonts w:asciiTheme="minorHAnsi" w:hAnsiTheme="minorHAnsi" w:cstheme="minorHAnsi"/>
        </w:rPr>
        <w:t>o podanych poniżej parametrach w ilości</w:t>
      </w:r>
      <w:r w:rsidR="005F75AA">
        <w:rPr>
          <w:rFonts w:asciiTheme="minorHAnsi" w:hAnsiTheme="minorHAnsi" w:cstheme="minorHAnsi"/>
        </w:rPr>
        <w:t xml:space="preserve"> 7</w:t>
      </w:r>
      <w:r w:rsidR="00EF4757">
        <w:rPr>
          <w:rFonts w:asciiTheme="minorHAnsi" w:hAnsiTheme="minorHAnsi" w:cstheme="minorHAnsi"/>
        </w:rPr>
        <w:t xml:space="preserve"> szt.</w:t>
      </w:r>
    </w:p>
    <w:p w14:paraId="7E049E95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urządzenia wyprodukowane maksymalnie w 2019 r. bądź nowsze,</w:t>
      </w:r>
    </w:p>
    <w:p w14:paraId="1244AEDF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lastRenderedPageBreak/>
        <w:t>urządzenie w co najmniej dobrym stanie wizualnym i technicznym, bez uszkodzeń,</w:t>
      </w:r>
    </w:p>
    <w:p w14:paraId="6FF5547C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możliwość wydruku i skanowania dwustronnego,</w:t>
      </w:r>
    </w:p>
    <w:p w14:paraId="31B71115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prędkość wydruku czarno-białego minimum 25 stron/minutę,</w:t>
      </w:r>
    </w:p>
    <w:p w14:paraId="57172C2B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co najmniej dwie szuflady na papier (każda o pojemności co najmniej 500 kartek A4),</w:t>
      </w:r>
    </w:p>
    <w:p w14:paraId="2F0649C9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Menu w języku polskim, obsługa poprzez ekran dotykowy,</w:t>
      </w:r>
    </w:p>
    <w:p w14:paraId="1F496788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 xml:space="preserve">Możliwość pracy w sieci, </w:t>
      </w:r>
    </w:p>
    <w:p w14:paraId="5E159922" w14:textId="77777777" w:rsidR="00EF4757" w:rsidRPr="0011095F" w:rsidRDefault="00EF4757" w:rsidP="0019292D">
      <w:pPr>
        <w:pStyle w:val="Akapitzlist"/>
        <w:numPr>
          <w:ilvl w:val="0"/>
          <w:numId w:val="14"/>
        </w:numPr>
        <w:jc w:val="both"/>
      </w:pPr>
      <w:r w:rsidRPr="0011095F">
        <w:t>Możliwość wydruku do formatu A3,</w:t>
      </w:r>
    </w:p>
    <w:p w14:paraId="7DA08730" w14:textId="114267F7" w:rsidR="00EF4757" w:rsidRPr="0011095F" w:rsidRDefault="00EF4757" w:rsidP="0019292D">
      <w:pPr>
        <w:pStyle w:val="Akapitzlist"/>
        <w:numPr>
          <w:ilvl w:val="0"/>
          <w:numId w:val="14"/>
        </w:numPr>
        <w:jc w:val="both"/>
      </w:pPr>
      <w:r w:rsidRPr="0011095F">
        <w:t>Możliwość wydruku w kolorze</w:t>
      </w:r>
      <w:r w:rsidR="00961154">
        <w:t xml:space="preserve"> (1 urządzenie)</w:t>
      </w:r>
      <w:r w:rsidRPr="0011095F">
        <w:t>,</w:t>
      </w:r>
    </w:p>
    <w:p w14:paraId="126F347A" w14:textId="77777777" w:rsidR="00EF4757" w:rsidRPr="0011095F" w:rsidRDefault="00EF4757" w:rsidP="0019292D">
      <w:pPr>
        <w:pStyle w:val="Akapitzlist"/>
        <w:numPr>
          <w:ilvl w:val="0"/>
          <w:numId w:val="14"/>
        </w:numPr>
        <w:jc w:val="both"/>
      </w:pPr>
      <w:r w:rsidRPr="0011095F">
        <w:t>Osobne tonery do wydruku czarno-białego i kolorowego.</w:t>
      </w:r>
    </w:p>
    <w:p w14:paraId="4F3CDF7F" w14:textId="77777777" w:rsidR="00EF4757" w:rsidRDefault="00EF4757" w:rsidP="00EF4757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Theme="minorHAnsi" w:hAnsiTheme="minorHAnsi" w:cstheme="minorHAnsi"/>
        </w:rPr>
      </w:pPr>
    </w:p>
    <w:p w14:paraId="6D56E74C" w14:textId="77777777" w:rsidR="002E3D97" w:rsidRPr="00EF4757" w:rsidRDefault="00EF475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Szczegółowy wykaz urządzeń </w:t>
      </w:r>
      <w:r w:rsidR="0011095F">
        <w:rPr>
          <w:rFonts w:asciiTheme="minorHAnsi" w:hAnsiTheme="minorHAnsi" w:cstheme="minorHAnsi"/>
        </w:rPr>
        <w:t xml:space="preserve">oddanych w dzierżawę </w:t>
      </w:r>
      <w:r>
        <w:rPr>
          <w:rFonts w:asciiTheme="minorHAnsi" w:hAnsiTheme="minorHAnsi" w:cstheme="minorHAnsi"/>
        </w:rPr>
        <w:t xml:space="preserve">stanowi załącznik nr 1 do niniejszej umowy. </w:t>
      </w:r>
    </w:p>
    <w:p w14:paraId="39F4387C" w14:textId="77777777" w:rsidR="00EF4757" w:rsidRPr="00961154" w:rsidRDefault="00EF475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Strony dopuszczają zmniejszenie lub zwiększenie ilości urządzeń w zakresie do 50%. Wykonawcy nie przysługuje żadne roszczenie  z tytułu zmniejszenie zakresu umowy, </w:t>
      </w:r>
      <w:r>
        <w:rPr>
          <w:rFonts w:asciiTheme="minorHAnsi" w:hAnsiTheme="minorHAnsi" w:cstheme="minorHAnsi"/>
        </w:rPr>
        <w:br/>
        <w:t>o którym mowa w zdaniu poprzednim.</w:t>
      </w:r>
      <w:r w:rsidR="0011095F">
        <w:rPr>
          <w:rFonts w:asciiTheme="minorHAnsi" w:hAnsiTheme="minorHAnsi" w:cstheme="minorHAnsi"/>
        </w:rPr>
        <w:t xml:space="preserve"> W każdym z tych przypadków strony dokonają aneksem zmiany załącznika nr 1 wskazując aktualną ilość dzierżawionych urządzeń.</w:t>
      </w:r>
    </w:p>
    <w:p w14:paraId="4CA3D896" w14:textId="53E810A3" w:rsidR="00961154" w:rsidRDefault="00961154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Strony dopuszczają możliwość zmniejszenia ilości wykonywanych kopii w ilości do 30%. Zmniejszenie, o którym mowa w zdaniu poprzednim nie stanowi zmiany warunków umowy. Wykonawcy przysługuje wynagrodzenie tylko za wykonane </w:t>
      </w:r>
      <w:r w:rsidR="0031417D">
        <w:rPr>
          <w:rFonts w:asciiTheme="minorHAnsi" w:hAnsiTheme="minorHAnsi" w:cstheme="minorHAnsi"/>
        </w:rPr>
        <w:t xml:space="preserve">przez Zamawiającego </w:t>
      </w:r>
      <w:r>
        <w:rPr>
          <w:rFonts w:asciiTheme="minorHAnsi" w:hAnsiTheme="minorHAnsi" w:cstheme="minorHAnsi"/>
        </w:rPr>
        <w:t>kopie.</w:t>
      </w:r>
    </w:p>
    <w:p w14:paraId="6927B9D9" w14:textId="77777777" w:rsidR="002E3D97" w:rsidRPr="00937B37" w:rsidRDefault="002E3D9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34119AA4" w14:textId="77777777" w:rsidR="002E3D97" w:rsidRDefault="002E3D97" w:rsidP="0019292D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22665322" w14:textId="77777777" w:rsidR="00EF4757" w:rsidRDefault="00EF4757" w:rsidP="00EF475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EF4757">
        <w:rPr>
          <w:rFonts w:asciiTheme="minorHAnsi" w:hAnsiTheme="minorHAnsi" w:cstheme="minorHAnsi"/>
          <w:b/>
        </w:rPr>
        <w:t>§ 2</w:t>
      </w:r>
    </w:p>
    <w:p w14:paraId="4A8FF2C1" w14:textId="77777777" w:rsidR="00EF4757" w:rsidRDefault="00EF4757" w:rsidP="0019292D">
      <w:pPr>
        <w:pStyle w:val="Akapitzlist"/>
        <w:numPr>
          <w:ilvl w:val="2"/>
          <w:numId w:val="6"/>
        </w:numPr>
        <w:tabs>
          <w:tab w:val="clear" w:pos="1440"/>
        </w:tabs>
        <w:spacing w:before="100" w:beforeAutospacing="1" w:after="100" w:afterAutospacing="1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zobowiązany jest do:</w:t>
      </w:r>
    </w:p>
    <w:p w14:paraId="0F60A0D2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Zamawiającemu do używania sprzęt wymieniony w załączniku nr 1 do umowy, o parametrach nie gorszych niż określone w § 1.</w:t>
      </w:r>
    </w:p>
    <w:p w14:paraId="09064F71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Utrzymywania urządzeń o których mowa w § 1 sprawnych technicznie przez okres oznaczony w umowie.</w:t>
      </w:r>
    </w:p>
    <w:p w14:paraId="5222498A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Bezpłatnego dostarczania wszelkich części zamiennych i materiałów eksploatacyjnych niezbędnych do napraw i prawidłowego działania urządzeń.</w:t>
      </w:r>
    </w:p>
    <w:p w14:paraId="086C0269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Podjęcia koniecznych działań w ciągu 1 dnia roboczego od otrzymania od Zamawiającego zgłoszenia serwisowego.</w:t>
      </w:r>
      <w:r w:rsidR="00E115DC">
        <w:rPr>
          <w:rFonts w:asciiTheme="minorHAnsi" w:hAnsiTheme="minorHAnsi" w:cstheme="minorHAnsi"/>
        </w:rPr>
        <w:t xml:space="preserve"> Przywrócenia urządzeń do sprawności technicznej w terminie do 3 dni roboczych od otrzymania zgłoszenia serwisowego.</w:t>
      </w:r>
    </w:p>
    <w:p w14:paraId="32A5305D" w14:textId="77777777" w:rsidR="00E115DC" w:rsidRDefault="00E115DC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Przekazania Zamawiającemu, po dokonaniu odbioru wynajętych urządzeń instrukcji obsługi urządzeń sporządzonej w języku polskim.</w:t>
      </w:r>
    </w:p>
    <w:p w14:paraId="063D3ECC" w14:textId="77777777" w:rsidR="00E115DC" w:rsidRDefault="00E115DC" w:rsidP="0019292D">
      <w:pPr>
        <w:pStyle w:val="Akapitzlist"/>
        <w:numPr>
          <w:ilvl w:val="2"/>
          <w:numId w:val="6"/>
        </w:numPr>
        <w:tabs>
          <w:tab w:val="clear" w:pos="1440"/>
        </w:tabs>
        <w:spacing w:before="100" w:beforeAutospacing="1" w:after="100" w:afterAutospacing="1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do:</w:t>
      </w:r>
    </w:p>
    <w:p w14:paraId="769ED7DF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Terminowego regulowania należności z tytułu umowy,</w:t>
      </w:r>
    </w:p>
    <w:p w14:paraId="46CC75F4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postanowień umowy,</w:t>
      </w:r>
    </w:p>
    <w:p w14:paraId="2CD5F9DE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Przesyłania Wykonawcy informacji o stanie liczników urządzeń w comiesięcznych odstępach,</w:t>
      </w:r>
    </w:p>
    <w:p w14:paraId="27DF8687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Niezwłocznego pisemnego powiadomienia Wykonawcy o zmianie adresu siedziby Zamawiającego lub innych danych niezbędnych do fakturowania, a także o wszelkich uszkodzeniach i niesprawnościach urządzeń. </w:t>
      </w:r>
    </w:p>
    <w:p w14:paraId="4538AA75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 za realizację umowy odpowiedzialny jest:</w:t>
      </w:r>
    </w:p>
    <w:p w14:paraId="29F013EF" w14:textId="77777777" w:rsidR="00E115DC" w:rsidRDefault="00E115DC" w:rsidP="00E115DC">
      <w:pPr>
        <w:pStyle w:val="Akapitzlist"/>
        <w:spacing w:before="100" w:beforeAutospacing="1" w:after="100" w:afterAutospacing="1" w:line="360" w:lineRule="auto"/>
        <w:ind w:left="9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 tel. ……………………………………. Email: ……………………………,</w:t>
      </w:r>
    </w:p>
    <w:p w14:paraId="7A3991F6" w14:textId="77777777" w:rsidR="00E115DC" w:rsidRP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odpowiedzialną za realizację umowy jest:</w:t>
      </w:r>
    </w:p>
    <w:p w14:paraId="0DA177EA" w14:textId="77777777" w:rsidR="00E115DC" w:rsidRDefault="00E115DC" w:rsidP="00E115DC">
      <w:pPr>
        <w:pStyle w:val="Akapitzlist"/>
        <w:spacing w:before="100" w:beforeAutospacing="1" w:after="100" w:afterAutospacing="1" w:line="360" w:lineRule="auto"/>
        <w:ind w:left="9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 tel. ……………………………………. Email: ……………………………,</w:t>
      </w:r>
    </w:p>
    <w:p w14:paraId="06821511" w14:textId="77777777" w:rsidR="002E3D97" w:rsidRPr="00E07FAF" w:rsidRDefault="007A16D2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476EE479" w14:textId="01AD0CF3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okres </w:t>
      </w:r>
      <w:r w:rsidR="00961154">
        <w:rPr>
          <w:rFonts w:asciiTheme="minorHAnsi" w:hAnsiTheme="minorHAnsi" w:cstheme="minorHAnsi"/>
        </w:rPr>
        <w:t>01.05.2023 r. do 30.04.2024 r.</w:t>
      </w:r>
    </w:p>
    <w:p w14:paraId="043FD1C0" w14:textId="77777777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dostarczy do siedziby Zamawiającego urządzenia, o których mowa w § 1, najpóźniej w dniu podpisania umowy. </w:t>
      </w:r>
    </w:p>
    <w:p w14:paraId="1F5E536C" w14:textId="77777777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urządzeń zostanie potwierdzone poprzez sporządzenie protokołu przekazania urządzeń. W protokole zawarte będą co najmniej: nazwy przekazywanych urządzeń, numery seryjne, oraz stan licznika z jakim urządzenia są przekazywane.</w:t>
      </w:r>
    </w:p>
    <w:p w14:paraId="00B31135" w14:textId="77777777" w:rsidR="002E3D97" w:rsidRPr="00E115DC" w:rsidRDefault="00E115DC" w:rsidP="00E115DC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A7CFDB" w14:textId="77777777" w:rsidR="002E3D97" w:rsidRPr="00E07FAF" w:rsidRDefault="007A16D2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70DDE7D6" w14:textId="77777777" w:rsidR="002B45DE" w:rsidRDefault="00F41816" w:rsidP="0019292D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zapłaci Wykonawcy następujące wynagrodzenie:</w:t>
      </w:r>
    </w:p>
    <w:p w14:paraId="0C13FC0D" w14:textId="63648579" w:rsidR="00F41816" w:rsidRDefault="00F41816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wydruk/skan </w:t>
      </w:r>
      <w:r w:rsidR="00961154">
        <w:rPr>
          <w:rFonts w:asciiTheme="minorHAnsi" w:hAnsiTheme="minorHAnsi" w:cstheme="minorHAnsi"/>
        </w:rPr>
        <w:t xml:space="preserve">czarnobiałej </w:t>
      </w:r>
      <w:r>
        <w:rPr>
          <w:rFonts w:asciiTheme="minorHAnsi" w:hAnsiTheme="minorHAnsi" w:cstheme="minorHAnsi"/>
        </w:rPr>
        <w:t>jednej strony …………………………….. zł brutto,</w:t>
      </w:r>
    </w:p>
    <w:p w14:paraId="0E3B6CB3" w14:textId="0F0E42B5" w:rsidR="00961154" w:rsidRDefault="00961154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wydruk/skan kolorowej jednej strony …………………………….. zł brutto,</w:t>
      </w:r>
    </w:p>
    <w:p w14:paraId="75B92336" w14:textId="18C7C2DE" w:rsidR="00F41816" w:rsidRPr="00F41816" w:rsidRDefault="00F41816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abonament miesięczny za </w:t>
      </w:r>
      <w:r w:rsidR="0096115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użytkowan</w:t>
      </w:r>
      <w:r w:rsidR="00961154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urządze</w:t>
      </w:r>
      <w:r w:rsidR="00961154">
        <w:rPr>
          <w:rFonts w:asciiTheme="minorHAnsi" w:hAnsiTheme="minorHAnsi" w:cstheme="minorHAnsi"/>
        </w:rPr>
        <w:t>ń w kwocie</w:t>
      </w:r>
      <w:r>
        <w:rPr>
          <w:rFonts w:asciiTheme="minorHAnsi" w:hAnsiTheme="minorHAnsi" w:cstheme="minorHAnsi"/>
        </w:rPr>
        <w:t xml:space="preserve"> ………………………………………….. zł brutto.</w:t>
      </w:r>
    </w:p>
    <w:p w14:paraId="5A88BA10" w14:textId="77777777" w:rsidR="002E3D97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łączną, maksymalną wartość zamówienia na ………………………………………. Zł brutto tj. słownie …………………………………………………………………………………………………………………….</w:t>
      </w:r>
    </w:p>
    <w:p w14:paraId="4A56E3EF" w14:textId="77777777" w:rsidR="00F41816" w:rsidRDefault="00F41816" w:rsidP="00F4181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27325CA" w14:textId="77777777" w:rsidR="00F41816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Płatność za fakturę następuje w terminie 30 dni od dnia jej doręczenia do siedziby Zamawiającego na rachunek bankowy wskazany na fakturze. Za datę zapłaty uważa się datę obciążenia rachunku Zamawiającego.</w:t>
      </w:r>
    </w:p>
    <w:p w14:paraId="167D6152" w14:textId="77777777" w:rsidR="00F41816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 przysługuje dodatkowe wynagrodzenie, ustalone na podstawie cennika napraw obowiązującego w serwisie w przypadku:</w:t>
      </w:r>
    </w:p>
    <w:p w14:paraId="630B3D56" w14:textId="77777777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Uszkodzenia mechanicznego bębnów, wałków, płyt szklanych i części obudowy, sznurów </w:t>
      </w:r>
      <w:r>
        <w:rPr>
          <w:rFonts w:asciiTheme="minorHAnsi" w:hAnsiTheme="minorHAnsi" w:cstheme="minorHAnsi"/>
        </w:rPr>
        <w:lastRenderedPageBreak/>
        <w:t>połączeniowych i sieciowych, wtyków oraz gniazd powstałych z winy użytkowników,</w:t>
      </w:r>
    </w:p>
    <w:p w14:paraId="413D0613" w14:textId="77777777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Stosowania innych, niż wskazane przez Wynajmującego materiałów eksploatacyjnych.</w:t>
      </w:r>
    </w:p>
    <w:p w14:paraId="5D1EEE14" w14:textId="77777777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Przygotowania urządzenia do transportu i ponownej instalacji w nowym miejscu. </w:t>
      </w:r>
    </w:p>
    <w:p w14:paraId="06A053AE" w14:textId="77777777" w:rsidR="002E3D97" w:rsidRPr="00E07FAF" w:rsidRDefault="007A16D2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4FB6E897" w14:textId="77777777" w:rsidR="002E3D97" w:rsidRPr="00E07FAF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705D368" w14:textId="77777777" w:rsidR="002E3D97" w:rsidRPr="00E07FAF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758BFB7E" w14:textId="77777777" w:rsidR="002E3D97" w:rsidRPr="00E07FAF" w:rsidRDefault="007A16D2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trzykrotnego opóźnienia</w:t>
      </w:r>
      <w:r w:rsidR="002E3D97" w:rsidRPr="00E07FAF">
        <w:rPr>
          <w:rFonts w:asciiTheme="minorHAnsi" w:hAnsiTheme="minorHAnsi" w:cstheme="minorHAnsi"/>
        </w:rPr>
        <w:t xml:space="preserve"> Wykonawcy w zakresie terminu  </w:t>
      </w:r>
      <w:r w:rsidR="00F41816">
        <w:rPr>
          <w:rFonts w:asciiTheme="minorHAnsi" w:hAnsiTheme="minorHAnsi" w:cstheme="minorHAnsi"/>
        </w:rPr>
        <w:t xml:space="preserve">realizacji postanowień </w:t>
      </w:r>
      <w:r w:rsidR="002E3D97">
        <w:rPr>
          <w:rFonts w:asciiTheme="minorHAnsi" w:hAnsiTheme="minorHAnsi" w:cstheme="minorHAnsi"/>
        </w:rPr>
        <w:t>umowy</w:t>
      </w:r>
      <w:r w:rsidR="002E3D97" w:rsidRPr="00E07FAF">
        <w:rPr>
          <w:rFonts w:asciiTheme="minorHAnsi" w:hAnsiTheme="minorHAnsi" w:cstheme="minorHAnsi"/>
        </w:rPr>
        <w:t xml:space="preserve"> powyżej </w:t>
      </w:r>
      <w:r>
        <w:rPr>
          <w:rFonts w:asciiTheme="minorHAnsi" w:hAnsiTheme="minorHAnsi" w:cstheme="minorHAnsi"/>
        </w:rPr>
        <w:t>5</w:t>
      </w:r>
      <w:r w:rsidR="002E3D97">
        <w:rPr>
          <w:rFonts w:asciiTheme="minorHAnsi" w:hAnsiTheme="minorHAnsi" w:cstheme="minorHAnsi"/>
        </w:rPr>
        <w:t xml:space="preserve"> dni</w:t>
      </w:r>
      <w:r w:rsidR="00F41816">
        <w:rPr>
          <w:rFonts w:asciiTheme="minorHAnsi" w:hAnsiTheme="minorHAnsi" w:cstheme="minorHAnsi"/>
        </w:rPr>
        <w:t xml:space="preserve"> roboczych</w:t>
      </w:r>
      <w:r w:rsidR="002E3D97" w:rsidRPr="00E07FAF">
        <w:rPr>
          <w:rFonts w:asciiTheme="minorHAnsi" w:hAnsiTheme="minorHAnsi" w:cstheme="minorHAnsi"/>
        </w:rPr>
        <w:t xml:space="preserve"> ponad termin</w:t>
      </w:r>
      <w:r w:rsidR="00F41816">
        <w:rPr>
          <w:rFonts w:asciiTheme="minorHAnsi" w:hAnsiTheme="minorHAnsi" w:cstheme="minorHAnsi"/>
        </w:rPr>
        <w:t>y określone</w:t>
      </w:r>
      <w:r w:rsidR="002E3D97" w:rsidRPr="00E07FAF">
        <w:rPr>
          <w:rFonts w:asciiTheme="minorHAnsi" w:hAnsiTheme="minorHAnsi" w:cstheme="minorHAnsi"/>
        </w:rPr>
        <w:t xml:space="preserve"> w </w:t>
      </w:r>
      <w:r w:rsidR="00F41816">
        <w:rPr>
          <w:rFonts w:asciiTheme="minorHAnsi" w:hAnsiTheme="minorHAnsi" w:cstheme="minorHAnsi"/>
        </w:rPr>
        <w:t>§ 2 ust. 1 pkt. 4</w:t>
      </w:r>
      <w:r>
        <w:rPr>
          <w:rFonts w:asciiTheme="minorHAnsi" w:hAnsiTheme="minorHAnsi" w:cstheme="minorHAnsi"/>
        </w:rPr>
        <w:t xml:space="preserve"> i § 3 ust. 2</w:t>
      </w:r>
      <w:r w:rsidR="002E3D97" w:rsidRPr="00E07FAF">
        <w:rPr>
          <w:rFonts w:asciiTheme="minorHAnsi" w:hAnsiTheme="minorHAnsi" w:cstheme="minorHAnsi"/>
        </w:rPr>
        <w:t xml:space="preserve"> niniejszej umowy,</w:t>
      </w:r>
    </w:p>
    <w:p w14:paraId="163C1241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1994F64C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02B97B4F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20BC33EF" w14:textId="77777777" w:rsidR="002E3D97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6F210E12" w14:textId="77777777" w:rsidR="007A16D2" w:rsidRPr="00E07FAF" w:rsidRDefault="007A16D2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Każdej ze stron przysługuje prawo rozwiązania umowy z ważnych przyczyn, za jedno miesięcznym okresem wypowiedzenia ze skutkiem na koniec miesiąca kalendarzowego.</w:t>
      </w:r>
    </w:p>
    <w:p w14:paraId="6225CCDC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</w:p>
    <w:p w14:paraId="5F310BBB" w14:textId="77777777" w:rsidR="002E3D97" w:rsidRPr="00E07FAF" w:rsidRDefault="002E3D97" w:rsidP="0019292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779BEFC7" w14:textId="77777777" w:rsidR="002E3D97" w:rsidRPr="00213863" w:rsidRDefault="002E3D97" w:rsidP="0019292D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</w:t>
      </w:r>
      <w:r w:rsidR="007A16D2">
        <w:rPr>
          <w:rFonts w:asciiTheme="minorHAnsi" w:hAnsiTheme="minorHAnsi" w:cstheme="minorHAnsi"/>
        </w:rPr>
        <w:t xml:space="preserve">opóźnienie w wykonaniu czynności, o których mowa w </w:t>
      </w:r>
      <w:r w:rsidRPr="00213863">
        <w:rPr>
          <w:rFonts w:asciiTheme="minorHAnsi" w:hAnsiTheme="minorHAnsi" w:cstheme="minorHAnsi"/>
        </w:rPr>
        <w:t xml:space="preserve"> </w:t>
      </w:r>
      <w:r w:rsidR="007A16D2">
        <w:rPr>
          <w:rFonts w:asciiTheme="minorHAnsi" w:hAnsiTheme="minorHAnsi" w:cstheme="minorHAnsi"/>
        </w:rPr>
        <w:t xml:space="preserve">§ 2 ust. 1 pkt. 4 </w:t>
      </w:r>
      <w:r w:rsidR="007A16D2">
        <w:rPr>
          <w:rFonts w:asciiTheme="minorHAnsi" w:hAnsiTheme="minorHAnsi" w:cstheme="minorHAnsi"/>
        </w:rPr>
        <w:br/>
        <w:t xml:space="preserve">i § 3 ust. 2 </w:t>
      </w:r>
      <w:r w:rsidRPr="00213863">
        <w:rPr>
          <w:rFonts w:asciiTheme="minorHAnsi" w:hAnsiTheme="minorHAnsi" w:cstheme="minorHAnsi"/>
        </w:rPr>
        <w:t>– Wykonawca zapłaci karę w wysokości 200,00 zł (słownie: dwieście złotych) za każdy rozpoczęty dzień opóźnienia,</w:t>
      </w:r>
    </w:p>
    <w:p w14:paraId="344AA63F" w14:textId="77777777" w:rsidR="007A16D2" w:rsidRDefault="002E3D97" w:rsidP="0019292D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</w:t>
      </w:r>
      <w:r w:rsidR="007A16D2">
        <w:rPr>
          <w:rFonts w:asciiTheme="minorHAnsi" w:hAnsiTheme="minorHAnsi" w:cstheme="minorHAnsi"/>
        </w:rPr>
        <w:t xml:space="preserve"> rozwiązania umowy ze skutkiem natychmiastowym, o którym mowa w § 5 ust. 2 niniejszej umowy Wykonawca zapłaci Zamawiającemu karę umowną w wysokości 10 % kwoty wynagrodzenia brutto, o której mowa w § 4 ust. 2 umowy.</w:t>
      </w:r>
      <w:r w:rsidRPr="00213863">
        <w:rPr>
          <w:rFonts w:asciiTheme="minorHAnsi" w:hAnsiTheme="minorHAnsi" w:cstheme="minorHAnsi"/>
        </w:rPr>
        <w:t xml:space="preserve"> </w:t>
      </w:r>
    </w:p>
    <w:p w14:paraId="2ED88997" w14:textId="77777777" w:rsidR="002E3D97" w:rsidRPr="00E07FAF" w:rsidRDefault="002E3D97" w:rsidP="0019292D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4423435E" w14:textId="77777777" w:rsidR="002E3D97" w:rsidRPr="00E07FAF" w:rsidRDefault="002E3D97" w:rsidP="0019292D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lastRenderedPageBreak/>
        <w:t>Należne Zamawiającemu kary umowne mogą zostać potrącone z wynagrodzenia Wykon</w:t>
      </w:r>
      <w:r w:rsidR="001F7F33">
        <w:rPr>
          <w:rFonts w:asciiTheme="minorHAnsi" w:hAnsiTheme="minorHAnsi" w:cstheme="minorHAnsi"/>
        </w:rPr>
        <w:t>awcy, o którym mowa w § 4</w:t>
      </w:r>
      <w:r w:rsidRPr="00E07FAF">
        <w:rPr>
          <w:rFonts w:asciiTheme="minorHAnsi" w:hAnsiTheme="minorHAnsi" w:cstheme="minorHAnsi"/>
        </w:rPr>
        <w:t>. Wykonawca oświadcza, iż wyraża zgodę na czynności wymienione w zdaniu pierwszym niniejszego ustępu.</w:t>
      </w:r>
    </w:p>
    <w:p w14:paraId="17DC3B00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6D03E45" w14:textId="77777777" w:rsidR="002E3D97" w:rsidRPr="00FB7276" w:rsidRDefault="002E3D97" w:rsidP="0019292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DF1E404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33C5262D" w14:textId="77777777" w:rsidR="002E3D97" w:rsidRPr="00FB7276" w:rsidRDefault="002E3D97" w:rsidP="0019292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2D565315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63BE1216" w14:textId="77777777" w:rsidR="002E3D97" w:rsidRPr="00FB7276" w:rsidRDefault="002E3D97" w:rsidP="0019292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DC8BE72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693ED6D4" w14:textId="77777777" w:rsidR="002E3D97" w:rsidRDefault="002E3D97" w:rsidP="0019292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2AC484CB" w14:textId="77777777" w:rsidR="001C01A8" w:rsidRDefault="001C01A8" w:rsidP="0019292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umowy stanowiące jej integralną część:</w:t>
      </w:r>
    </w:p>
    <w:p w14:paraId="50272A4D" w14:textId="77777777" w:rsidR="001C01A8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Specyfikacja sprzętu  objętego umową.</w:t>
      </w:r>
    </w:p>
    <w:p w14:paraId="098E9B8D" w14:textId="77777777" w:rsidR="001C01A8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Szczegółowa kalkulacja kosztów umowy.</w:t>
      </w:r>
    </w:p>
    <w:p w14:paraId="3EF21FF4" w14:textId="77777777" w:rsidR="001C01A8" w:rsidRPr="00FB7276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odbioru sprzętu zawierający co najmniej nazwy i model urządzeń, numery seryjne, oraz stan licznika wydruku stron.</w:t>
      </w:r>
    </w:p>
    <w:p w14:paraId="69C0A22A" w14:textId="77777777"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14:paraId="686D1BF5" w14:textId="77777777"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3CD66863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1B4E" w14:textId="77777777" w:rsidR="006F5E54" w:rsidRDefault="006F5E54" w:rsidP="003C197C">
      <w:pPr>
        <w:spacing w:after="0" w:line="240" w:lineRule="auto"/>
      </w:pPr>
      <w:r>
        <w:separator/>
      </w:r>
    </w:p>
  </w:endnote>
  <w:endnote w:type="continuationSeparator" w:id="0">
    <w:p w14:paraId="7014B35B" w14:textId="77777777" w:rsidR="006F5E54" w:rsidRDefault="006F5E5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5A1" w14:textId="77777777"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27309">
      <w:rPr>
        <w:noProof/>
      </w:rPr>
      <w:t>2</w:t>
    </w:r>
    <w:r>
      <w:rPr>
        <w:noProof/>
      </w:rPr>
      <w:fldChar w:fldCharType="end"/>
    </w:r>
  </w:p>
  <w:p w14:paraId="765CD92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6467" w14:textId="77777777" w:rsidR="006F5E54" w:rsidRDefault="006F5E54" w:rsidP="003C197C">
      <w:pPr>
        <w:spacing w:after="0" w:line="240" w:lineRule="auto"/>
      </w:pPr>
      <w:r>
        <w:separator/>
      </w:r>
    </w:p>
  </w:footnote>
  <w:footnote w:type="continuationSeparator" w:id="0">
    <w:p w14:paraId="184191F0" w14:textId="77777777" w:rsidR="006F5E54" w:rsidRDefault="006F5E5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6F6B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503C657" w14:textId="77777777" w:rsidTr="000165A7">
      <w:tc>
        <w:tcPr>
          <w:tcW w:w="3281" w:type="dxa"/>
          <w:shd w:val="clear" w:color="auto" w:fill="auto"/>
        </w:tcPr>
        <w:p w14:paraId="1C5BC713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A55CCE8" wp14:editId="48A2D8D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7F0EE3C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40F02E77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9336DA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1CDCC36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0981">
    <w:abstractNumId w:val="3"/>
  </w:num>
  <w:num w:numId="2" w16cid:durableId="1494759716">
    <w:abstractNumId w:val="1"/>
  </w:num>
  <w:num w:numId="3" w16cid:durableId="556549568">
    <w:abstractNumId w:val="15"/>
  </w:num>
  <w:num w:numId="4" w16cid:durableId="1815638783">
    <w:abstractNumId w:val="6"/>
  </w:num>
  <w:num w:numId="5" w16cid:durableId="484126266">
    <w:abstractNumId w:val="4"/>
  </w:num>
  <w:num w:numId="6" w16cid:durableId="527988841">
    <w:abstractNumId w:val="0"/>
  </w:num>
  <w:num w:numId="7" w16cid:durableId="899906901">
    <w:abstractNumId w:val="2"/>
  </w:num>
  <w:num w:numId="8" w16cid:durableId="249584722">
    <w:abstractNumId w:val="9"/>
  </w:num>
  <w:num w:numId="9" w16cid:durableId="343215660">
    <w:abstractNumId w:val="17"/>
  </w:num>
  <w:num w:numId="10" w16cid:durableId="1346251122">
    <w:abstractNumId w:val="13"/>
  </w:num>
  <w:num w:numId="11" w16cid:durableId="643974091">
    <w:abstractNumId w:val="16"/>
  </w:num>
  <w:num w:numId="12" w16cid:durableId="741637472">
    <w:abstractNumId w:val="18"/>
  </w:num>
  <w:num w:numId="13" w16cid:durableId="603273648">
    <w:abstractNumId w:val="10"/>
  </w:num>
  <w:num w:numId="14" w16cid:durableId="239098318">
    <w:abstractNumId w:val="5"/>
  </w:num>
  <w:num w:numId="15" w16cid:durableId="1917858930">
    <w:abstractNumId w:val="8"/>
  </w:num>
  <w:num w:numId="16" w16cid:durableId="1565526673">
    <w:abstractNumId w:val="14"/>
  </w:num>
  <w:num w:numId="17" w16cid:durableId="1842966813">
    <w:abstractNumId w:val="12"/>
  </w:num>
  <w:num w:numId="18" w16cid:durableId="1573420544">
    <w:abstractNumId w:val="7"/>
  </w:num>
  <w:num w:numId="19" w16cid:durableId="6785842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1095F"/>
    <w:rsid w:val="00125295"/>
    <w:rsid w:val="0012574F"/>
    <w:rsid w:val="00135F85"/>
    <w:rsid w:val="001452DE"/>
    <w:rsid w:val="00151B61"/>
    <w:rsid w:val="0017011F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73E3"/>
    <w:rsid w:val="00222C01"/>
    <w:rsid w:val="00227309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45DE"/>
    <w:rsid w:val="002B5D89"/>
    <w:rsid w:val="002C393D"/>
    <w:rsid w:val="002D2CCA"/>
    <w:rsid w:val="002D5D8F"/>
    <w:rsid w:val="002D6A27"/>
    <w:rsid w:val="002D71C3"/>
    <w:rsid w:val="002E3D97"/>
    <w:rsid w:val="002E479B"/>
    <w:rsid w:val="003006AC"/>
    <w:rsid w:val="00302F0B"/>
    <w:rsid w:val="00306AFD"/>
    <w:rsid w:val="0031417D"/>
    <w:rsid w:val="0031670E"/>
    <w:rsid w:val="00354BF4"/>
    <w:rsid w:val="003628F1"/>
    <w:rsid w:val="00362CCE"/>
    <w:rsid w:val="00366172"/>
    <w:rsid w:val="003753D7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5AA"/>
    <w:rsid w:val="00600F5E"/>
    <w:rsid w:val="00616ACC"/>
    <w:rsid w:val="00623C1C"/>
    <w:rsid w:val="00627207"/>
    <w:rsid w:val="006530BA"/>
    <w:rsid w:val="00674ECC"/>
    <w:rsid w:val="006A6B90"/>
    <w:rsid w:val="006B0E3C"/>
    <w:rsid w:val="006C5144"/>
    <w:rsid w:val="006C56E9"/>
    <w:rsid w:val="006D4008"/>
    <w:rsid w:val="006D6D2A"/>
    <w:rsid w:val="006F5E54"/>
    <w:rsid w:val="006F69F2"/>
    <w:rsid w:val="0070730D"/>
    <w:rsid w:val="00721E45"/>
    <w:rsid w:val="00730215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326C6"/>
    <w:rsid w:val="00961154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769F8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63A33"/>
    <w:rsid w:val="00FB7571"/>
    <w:rsid w:val="00FE3672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B0942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A6C1-1110-45DA-814E-F400ECE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Hubert Bąk</cp:lastModifiedBy>
  <cp:revision>13</cp:revision>
  <cp:lastPrinted>2023-04-20T09:19:00Z</cp:lastPrinted>
  <dcterms:created xsi:type="dcterms:W3CDTF">2022-02-20T10:08:00Z</dcterms:created>
  <dcterms:modified xsi:type="dcterms:W3CDTF">2023-04-20T09:22:00Z</dcterms:modified>
</cp:coreProperties>
</file>