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/>
        <w:drawing>
          <wp:inline distT="0" distB="0" distL="0" distR="0">
            <wp:extent cx="5760720" cy="5334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clear" w:pos="709"/>
          <w:tab w:val="center" w:pos="7655" w:leader="none"/>
          <w:tab w:val="right" w:pos="9072" w:leader="none"/>
        </w:tabs>
        <w:jc w:val="center"/>
        <w:rPr>
          <w:rFonts w:ascii="Times New Roman" w:hAnsi="Times New Roman" w:eastAsia="Ubuntu" w:cs="Times New Roman"/>
          <w:i/>
          <w:i/>
          <w:sz w:val="20"/>
          <w:szCs w:val="20"/>
        </w:rPr>
      </w:pPr>
      <w:r>
        <w:rPr>
          <w:rFonts w:eastAsia="Ubuntu" w:cs="Times New Roman" w:ascii="Times New Roman" w:hAnsi="Times New Roman"/>
          <w:i/>
          <w:sz w:val="20"/>
          <w:szCs w:val="20"/>
        </w:rPr>
        <w:t>Sfinansowano w ramach reakcji Unii na pandemię COVID-19</w:t>
      </w:r>
    </w:p>
    <w:p>
      <w:pPr>
        <w:pStyle w:val="Standard"/>
        <w:tabs>
          <w:tab w:val="clear" w:pos="709"/>
          <w:tab w:val="center" w:pos="7655" w:leader="none"/>
          <w:tab w:val="right" w:pos="9072" w:leader="none"/>
        </w:tabs>
        <w:jc w:val="center"/>
        <w:rPr/>
      </w:pPr>
      <w:r>
        <w:rPr/>
      </w:r>
    </w:p>
    <w:p>
      <w:pPr>
        <w:pStyle w:val="Standard"/>
        <w:spacing w:lineRule="auto" w:line="276"/>
        <w:rPr/>
      </w:pPr>
      <w:r>
        <w:rPr>
          <w:rFonts w:eastAsia="Ubuntu" w:ascii="Cambria" w:hAnsi="Cambria"/>
        </w:rPr>
        <w:t>W</w:t>
      </w:r>
      <w:r>
        <w:rPr>
          <w:rFonts w:ascii="Cambria" w:hAnsi="Cambria"/>
        </w:rPr>
        <w:t>A.271.1.2023.AM</w:t>
      </w:r>
      <w:r>
        <w:rPr>
          <w:rFonts w:eastAsia="Ubuntu" w:ascii="Cambria" w:hAnsi="Cambria"/>
        </w:rPr>
        <w:t xml:space="preserve">                                                                                        Włodawa,  dnia </w:t>
      </w:r>
      <w:r>
        <w:rPr>
          <w:rFonts w:eastAsia="Ubuntu" w:ascii="Cambria" w:hAnsi="Cambria"/>
          <w:shd w:fill="auto" w:val="clear"/>
        </w:rPr>
        <w:t>29.</w:t>
      </w:r>
      <w:r>
        <w:rPr>
          <w:rFonts w:eastAsia="Ubuntu" w:ascii="Cambria" w:hAnsi="Cambria"/>
        </w:rPr>
        <w:t>03.2023</w:t>
      </w:r>
      <w:r>
        <w:rPr>
          <w:rFonts w:ascii="Cambria" w:hAnsi="Cambria"/>
        </w:rPr>
        <w:t xml:space="preserve"> r.</w:t>
      </w:r>
    </w:p>
    <w:p>
      <w:pPr>
        <w:pStyle w:val="Standard"/>
        <w:spacing w:lineRule="auto" w:line="276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Standard"/>
        <w:spacing w:lineRule="auto" w:line="276"/>
        <w:rPr/>
      </w:pPr>
      <w:r>
        <w:rPr/>
        <w:t xml:space="preserve">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Cambria" w:hAnsi="Cambria" w:eastAsia="Tahoma" w:cs="Tahoma"/>
          <w:b/>
          <w:sz w:val="26"/>
          <w:szCs w:val="26"/>
        </w:rPr>
      </w:pPr>
      <w:r>
        <w:rPr>
          <w:rFonts w:eastAsia="Tahoma" w:cs="Tahoma" w:ascii="Cambria" w:hAnsi="Cambria"/>
          <w:b/>
          <w:sz w:val="26"/>
          <w:szCs w:val="26"/>
        </w:rPr>
        <w:t>INFORMACJA O WYBORZE NAJKORZYSTNIEJSZEJ OFERTY</w:t>
      </w:r>
    </w:p>
    <w:p>
      <w:pPr>
        <w:pStyle w:val="Standard"/>
        <w:spacing w:lineRule="auto" w:line="276"/>
        <w:jc w:val="center"/>
        <w:rPr>
          <w:rFonts w:ascii="Cambria" w:hAnsi="Cambria" w:cs="Arial Narrow"/>
        </w:rPr>
      </w:pPr>
      <w:r>
        <w:rPr>
          <w:rFonts w:cs="Arial Narrow" w:ascii="Cambria" w:hAnsi="Cambria"/>
        </w:rPr>
      </w:r>
    </w:p>
    <w:p>
      <w:pPr>
        <w:pStyle w:val="Standard"/>
        <w:spacing w:lineRule="auto" w:line="276"/>
        <w:jc w:val="center"/>
        <w:rPr>
          <w:rFonts w:ascii="Cambria" w:hAnsi="Cambria" w:cs="Arial Narrow"/>
        </w:rPr>
      </w:pPr>
      <w:r>
        <w:rPr>
          <w:rFonts w:cs="Arial Narrow" w:ascii="Cambria" w:hAnsi="Cambria"/>
        </w:rPr>
      </w:r>
    </w:p>
    <w:p>
      <w:pPr>
        <w:pStyle w:val="Standard"/>
        <w:spacing w:lineRule="auto" w:line="276"/>
        <w:jc w:val="center"/>
        <w:rPr>
          <w:rFonts w:ascii="Cambria" w:hAnsi="Cambria" w:cs="Arial Narrow"/>
        </w:rPr>
      </w:pPr>
      <w:r>
        <w:rPr>
          <w:rFonts w:cs="Arial Narrow" w:ascii="Cambria" w:hAnsi="Cambria"/>
        </w:rPr>
      </w:r>
    </w:p>
    <w:p>
      <w:pPr>
        <w:pStyle w:val="Textbody"/>
        <w:spacing w:before="0" w:after="0"/>
        <w:jc w:val="center"/>
        <w:rPr>
          <w:rFonts w:ascii="Cambria" w:hAnsi="Cambria"/>
        </w:rPr>
      </w:pPr>
      <w:r>
        <w:rPr>
          <w:rFonts w:ascii="Cambria" w:hAnsi="Cambria"/>
        </w:rPr>
        <w:t>Dotyczy postępowania o udzielenie zamówienia publicznego w trybie podstawowym zgodnie z art. 275 pkt.1 ustawy Pzp, pn.:</w:t>
      </w:r>
    </w:p>
    <w:p>
      <w:pPr>
        <w:pStyle w:val="Standard"/>
        <w:tabs>
          <w:tab w:val="clear" w:pos="709"/>
          <w:tab w:val="left" w:pos="210" w:leader="none"/>
          <w:tab w:val="left" w:pos="1050" w:leader="none"/>
        </w:tabs>
        <w:spacing w:lineRule="auto" w:line="276"/>
        <w:ind w:left="735" w:hanging="0"/>
        <w:jc w:val="center"/>
        <w:rPr>
          <w:rFonts w:ascii="Cambria" w:hAnsi="Cambria" w:eastAsia="Calibri" w:cs="Times New Roman"/>
          <w:b/>
          <w:bCs/>
          <w:sz w:val="26"/>
          <w:szCs w:val="26"/>
        </w:rPr>
      </w:pPr>
      <w:r>
        <w:rPr>
          <w:rFonts w:eastAsia="Calibri" w:cs="Times New Roman" w:ascii="Cambria" w:hAnsi="Cambria"/>
          <w:b/>
          <w:bCs/>
          <w:sz w:val="26"/>
          <w:szCs w:val="26"/>
        </w:rPr>
        <w:t>Dostawa sprzętu informatycznego i oprogramowania związana z realizacją projektu w ramach grantu „Cyfrowa Gmina”</w:t>
      </w:r>
    </w:p>
    <w:p>
      <w:pPr>
        <w:pStyle w:val="Standard"/>
        <w:tabs>
          <w:tab w:val="clear" w:pos="709"/>
          <w:tab w:val="left" w:pos="210" w:leader="none"/>
          <w:tab w:val="left" w:pos="1050" w:leader="none"/>
        </w:tabs>
        <w:spacing w:lineRule="auto" w:line="276"/>
        <w:ind w:left="735" w:hanging="0"/>
        <w:jc w:val="center"/>
        <w:rPr/>
      </w:pPr>
      <w:r>
        <w:rPr>
          <w:rFonts w:eastAsia="Calibri" w:cs="Times New Roman" w:ascii="Cambria" w:hAnsi="Cambria"/>
          <w:b/>
          <w:bCs/>
          <w:sz w:val="26"/>
          <w:szCs w:val="26"/>
        </w:rPr>
        <w:t>Część I – Dostawa sprzętu informatycznego i oprogramowania dla urzędu</w:t>
      </w:r>
    </w:p>
    <w:p>
      <w:pPr>
        <w:pStyle w:val="Standard"/>
        <w:tabs>
          <w:tab w:val="clear" w:pos="709"/>
          <w:tab w:val="left" w:pos="210" w:leader="none"/>
          <w:tab w:val="left" w:pos="1050" w:leader="none"/>
        </w:tabs>
        <w:spacing w:lineRule="auto" w:line="276"/>
        <w:ind w:left="735" w:hanging="0"/>
        <w:jc w:val="center"/>
        <w:rPr/>
      </w:pPr>
      <w:r>
        <w:rPr/>
      </w:r>
    </w:p>
    <w:p>
      <w:pPr>
        <w:pStyle w:val="Standard"/>
        <w:spacing w:lineRule="auto" w:line="276"/>
        <w:ind w:firstLine="284"/>
        <w:jc w:val="both"/>
        <w:rPr>
          <w:rFonts w:ascii="Cambria" w:hAnsi="Cambria" w:eastAsia="Calibri"/>
        </w:rPr>
      </w:pPr>
      <w:r>
        <w:rPr>
          <w:rFonts w:eastAsia="Calibri" w:ascii="Cambria" w:hAnsi="Cambria"/>
        </w:rPr>
        <w:t xml:space="preserve">Działając na podstawie art. 253 ust. 1 i 2 ustawy z dnia 11 września 2019 r. Prawo zamówień publicznych (Dz. U. z 2022 r. poz. 1710 ze zm.) </w:t>
      </w:r>
      <w:r>
        <w:rPr>
          <w:rStyle w:val="Mocnowyrniony"/>
          <w:rFonts w:eastAsia="Calibri" w:cs="Times New Roman" w:ascii="Cambria" w:hAnsi="Cambria"/>
          <w:b w:val="false"/>
          <w:bCs w:val="false"/>
          <w:color w:val="000000"/>
          <w:lang w:eastAsia="ar-SA" w:bidi="ar-SA"/>
        </w:rPr>
        <w:t>– dalej ustawa,</w:t>
      </w:r>
      <w:r>
        <w:rPr>
          <w:rFonts w:eastAsia="Calibri" w:ascii="Cambria" w:hAnsi="Cambria"/>
        </w:rPr>
        <w:t xml:space="preserve"> Zamawiający informuje, że w przedmiotowym postępowaniu prowadzonym przez Gminę Miejską Włodawa, Al. J. Piłsudskiego 41, 22-200 Włodawa, dokonał wyboru najkorzystniejszej oferty.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276"/>
        <w:jc w:val="both"/>
        <w:rPr>
          <w:rFonts w:ascii="Cambria" w:hAnsi="Cambria" w:eastAsia="Tahoma" w:cs="Tahoma"/>
        </w:rPr>
      </w:pPr>
      <w:r>
        <w:rPr>
          <w:rFonts w:eastAsia="Tahoma" w:cs="Tahoma" w:ascii="Cambria" w:hAnsi="Cambria"/>
          <w:b/>
          <w:bCs/>
          <w:u w:val="single"/>
        </w:rPr>
        <w:t>Uzasadnienie prawne</w:t>
      </w:r>
    </w:p>
    <w:p>
      <w:pPr>
        <w:pStyle w:val="Standard"/>
        <w:spacing w:lineRule="auto" w:line="276"/>
        <w:jc w:val="both"/>
        <w:rPr/>
      </w:pPr>
      <w:r>
        <w:rPr>
          <w:rFonts w:eastAsia="Tahoma" w:cs="Tahoma" w:ascii="Cambria" w:hAnsi="Cambria"/>
        </w:rPr>
        <w:t xml:space="preserve">Zamawiający na podstawie z art. 239 ust. 1 ustawy dokonał wyboru najkorzystniejszej oferty złożonej przez Wykonawcę </w:t>
      </w:r>
      <w:r>
        <w:rPr>
          <w:rFonts w:eastAsia="Tahoma" w:cs="Tahoma" w:ascii="Cambria" w:hAnsi="Cambria"/>
          <w:b/>
          <w:bCs/>
        </w:rPr>
        <w:t>Login IT Jacek Zimny, ul. Zięby 5, Koteże, 83-200 Starogard Gdański.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rFonts w:ascii="Cambria" w:hAnsi="Cambria" w:eastAsia="Tahoma" w:cs="Tahoma"/>
          <w:b/>
          <w:bCs/>
          <w:u w:val="single"/>
        </w:rPr>
      </w:pPr>
      <w:r>
        <w:rPr>
          <w:rFonts w:eastAsia="Tahoma" w:cs="Tahoma" w:ascii="Cambria" w:hAnsi="Cambria"/>
          <w:b/>
          <w:bCs/>
          <w:u w:val="single"/>
        </w:rPr>
        <w:t>Uzasadnienie faktyczne</w:t>
      </w:r>
    </w:p>
    <w:p>
      <w:pPr>
        <w:pStyle w:val="Standard"/>
        <w:spacing w:lineRule="auto" w:line="276"/>
        <w:jc w:val="both"/>
        <w:rPr>
          <w:rFonts w:ascii="Cambria" w:hAnsi="Cambria" w:eastAsia="Tahoma" w:cs="Tahoma"/>
          <w:b/>
          <w:bCs/>
        </w:rPr>
      </w:pPr>
      <w:r>
        <w:rPr>
          <w:rFonts w:eastAsia="Tahoma" w:cs="Tahoma" w:ascii="Cambria" w:hAnsi="Cambria"/>
        </w:rPr>
        <w:t>Oferta wybrana do realizacji zamówienia została złożona w terminie. Spełnia warunki udziału w postępowaniu i wymagania Zamawiającego zawarte w Specyfikacji Warunków Zamówienia (SWZ). Oferta otrzymała najwyższą ilość punktów, tj. 100 według przyjętych w SWZ kryteriów oceny ofert. Oferta została wybrana zgodnie z art. 239 ust. 1 i 2 ustawy na podstawie kryteriów oceny ofert określonych w SWZ.</w:t>
      </w:r>
    </w:p>
    <w:p>
      <w:pPr>
        <w:pStyle w:val="Standard"/>
        <w:spacing w:lineRule="auto" w:line="360"/>
        <w:jc w:val="both"/>
        <w:rPr>
          <w:rFonts w:ascii="Cambria" w:hAnsi="Cambria" w:eastAsia="Tahoma" w:cs="Tahoma"/>
          <w:b/>
          <w:bCs/>
        </w:rPr>
      </w:pPr>
      <w:r>
        <w:rPr>
          <w:rFonts w:eastAsia="Tahoma" w:cs="Tahoma" w:ascii="Cambria" w:hAnsi="Cambria"/>
          <w:b/>
          <w:bCs/>
        </w:rPr>
      </w:r>
    </w:p>
    <w:p>
      <w:pPr>
        <w:pStyle w:val="Standard"/>
        <w:spacing w:lineRule="auto" w:line="360"/>
        <w:jc w:val="both"/>
        <w:rPr>
          <w:rFonts w:ascii="Cambria" w:hAnsi="Cambria" w:eastAsia="Tahoma" w:cs="Tahoma"/>
          <w:b/>
          <w:bCs/>
        </w:rPr>
      </w:pPr>
      <w:r>
        <w:rPr>
          <w:rFonts w:eastAsia="Tahoma" w:cs="Tahoma" w:ascii="Cambria" w:hAnsi="Cambria"/>
          <w:b/>
          <w:bCs/>
        </w:rPr>
      </w:r>
    </w:p>
    <w:p>
      <w:pPr>
        <w:pStyle w:val="Standard"/>
        <w:spacing w:lineRule="auto" w:line="360"/>
        <w:jc w:val="both"/>
        <w:rPr>
          <w:rFonts w:ascii="Cambria" w:hAnsi="Cambria" w:eastAsia="Tahoma" w:cs="Tahoma"/>
          <w:b/>
          <w:bCs/>
        </w:rPr>
      </w:pPr>
      <w:r>
        <w:rPr>
          <w:rFonts w:eastAsia="Tahoma" w:cs="Tahoma" w:ascii="Cambria" w:hAnsi="Cambria"/>
          <w:b/>
          <w:bCs/>
        </w:rPr>
      </w:r>
    </w:p>
    <w:p>
      <w:pPr>
        <w:pStyle w:val="Standard"/>
        <w:spacing w:lineRule="auto" w:line="360"/>
        <w:jc w:val="both"/>
        <w:rPr>
          <w:rFonts w:ascii="Cambria" w:hAnsi="Cambria" w:eastAsia="Tahoma" w:cs="Tahoma"/>
          <w:b/>
          <w:bCs/>
        </w:rPr>
      </w:pPr>
      <w:r>
        <w:rPr>
          <w:rFonts w:eastAsia="Tahoma" w:cs="Tahoma" w:ascii="Cambria" w:hAnsi="Cambria"/>
          <w:b/>
          <w:bCs/>
        </w:rPr>
      </w:r>
    </w:p>
    <w:p>
      <w:pPr>
        <w:pStyle w:val="Standard"/>
        <w:spacing w:lineRule="auto" w:line="360"/>
        <w:jc w:val="both"/>
        <w:rPr>
          <w:rFonts w:ascii="Cambria" w:hAnsi="Cambria" w:eastAsia="Tahoma" w:cs="Tahoma"/>
          <w:b/>
          <w:bCs/>
        </w:rPr>
      </w:pPr>
      <w:r>
        <w:rPr>
          <w:rFonts w:eastAsia="Tahoma" w:cs="Tahoma" w:ascii="Cambria" w:hAnsi="Cambria"/>
          <w:b/>
          <w:bCs/>
        </w:rPr>
      </w:r>
    </w:p>
    <w:p>
      <w:pPr>
        <w:pStyle w:val="Standard"/>
        <w:spacing w:lineRule="auto" w:line="360"/>
        <w:jc w:val="both"/>
        <w:rPr>
          <w:rFonts w:ascii="Cambria" w:hAnsi="Cambria" w:eastAsia="Tahoma" w:cs="Tahoma"/>
          <w:b/>
          <w:bCs/>
        </w:rPr>
      </w:pPr>
      <w:r>
        <w:rPr>
          <w:rFonts w:eastAsia="Tahoma" w:cs="Tahoma" w:ascii="Cambria" w:hAnsi="Cambria"/>
          <w:b/>
          <w:bCs/>
        </w:rPr>
      </w:r>
    </w:p>
    <w:p>
      <w:pPr>
        <w:pStyle w:val="Standard"/>
        <w:spacing w:lineRule="auto" w:line="360"/>
        <w:jc w:val="both"/>
        <w:rPr>
          <w:rFonts w:ascii="Cambria" w:hAnsi="Cambria" w:eastAsia="Tahoma" w:cs="Times New Roman"/>
        </w:rPr>
      </w:pPr>
      <w:r>
        <w:rPr>
          <w:rFonts w:eastAsia="Tahoma" w:cs="Times New Roman" w:ascii="Cambria" w:hAnsi="Cambria"/>
        </w:rPr>
      </w:r>
    </w:p>
    <w:p>
      <w:pPr>
        <w:pStyle w:val="Standard"/>
        <w:spacing w:lineRule="auto" w:line="276"/>
        <w:jc w:val="both"/>
        <w:rPr/>
      </w:pPr>
      <w:r>
        <w:rPr>
          <w:rFonts w:eastAsia="Tahoma" w:cs="Tahoma" w:ascii="Cambria" w:hAnsi="Cambria"/>
          <w:b/>
          <w:bCs/>
        </w:rPr>
        <w:t>Złożone oferty niepodlegające odrzuceniu w ramach Części I zamówienia otrzymały następującą liczbę punktów przyznaną w każdym kryterium oceny oferty:</w:t>
      </w:r>
    </w:p>
    <w:p>
      <w:pPr>
        <w:pStyle w:val="Standard"/>
        <w:spacing w:lineRule="auto" w:line="360"/>
        <w:jc w:val="both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71"/>
        <w:gridCol w:w="956"/>
        <w:gridCol w:w="847"/>
        <w:gridCol w:w="853"/>
        <w:gridCol w:w="940"/>
        <w:gridCol w:w="851"/>
        <w:gridCol w:w="990"/>
        <w:gridCol w:w="993"/>
        <w:gridCol w:w="843"/>
        <w:gridCol w:w="1044"/>
        <w:gridCol w:w="948"/>
      </w:tblGrid>
      <w:tr>
        <w:trPr/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Nr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Wykonawca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(nazwa i adres)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Kryterium 1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Cena oferty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Kryterium 1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Waga 60%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Przyznana punktacja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Kryterium 2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Cambria" w:hAnsi="Cambria"/>
                <w:b/>
                <w:bCs/>
                <w:sz w:val="16"/>
                <w:szCs w:val="16"/>
              </w:rPr>
              <w:t>„</w:t>
            </w:r>
            <w:r>
              <w:rPr>
                <w:rFonts w:eastAsia="Calibri" w:cs="Times New Roman" w:ascii="Cambria" w:hAnsi="Cambria"/>
                <w:b/>
                <w:bCs/>
                <w:sz w:val="16"/>
                <w:szCs w:val="16"/>
              </w:rPr>
              <w:t>Okres gwarancji na serwer i urządzenie NAS”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(miesiące)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Kryterium 2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Waga 20%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Cambria" w:hAnsi="Cambria"/>
                <w:b/>
                <w:bCs/>
                <w:sz w:val="16"/>
                <w:szCs w:val="16"/>
              </w:rPr>
              <w:t>Przyznana punktacja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Kryterium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3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„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Okres gwarancji na przełącznik” 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  <w:t>(miesiące)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Kryterium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3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Waga 10%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„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Okres gwarancji na przełącznik” (miesiące)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Kryterium 4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Waga 10%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„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Okres gwarancji na stacje robocze”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(miesiące)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Kryterium 4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Waga 10%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„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Okres gwarancji na stacje robocze”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Łączna punktacja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Login IT Jacek Zimny, ul. Zięby 5, Koteże,</w:t>
            </w:r>
          </w:p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83-200 Starogard Gdański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254 155,88 zł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100</w:t>
            </w:r>
          </w:p>
        </w:tc>
      </w:tr>
    </w:tbl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Normal"/>
        <w:jc w:val="right"/>
        <w:rPr>
          <w:rFonts w:ascii="Cambria" w:hAnsi="Cambria"/>
          <w:b/>
          <w:bCs/>
          <w:i/>
          <w:i/>
          <w:iCs/>
        </w:rPr>
      </w:pPr>
      <w:r>
        <w:rPr>
          <w:rFonts w:ascii="Cambria" w:hAnsi="Cambria"/>
          <w:b/>
          <w:bCs/>
          <w:i/>
          <w:iCs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 w:eastAsia="Calibri" w:cs="Times New Roman"/>
          <w:b/>
          <w:bCs/>
          <w:i/>
          <w:i/>
          <w:iCs/>
          <w:color w:val="000000"/>
          <w:spacing w:val="-1"/>
          <w:kern w:val="2"/>
          <w:sz w:val="24"/>
          <w:szCs w:val="24"/>
          <w:lang w:val="pl-PL" w:eastAsia="zxx" w:bidi="zxx"/>
        </w:rPr>
      </w:pPr>
      <w:r>
        <w:rPr>
          <w:rFonts w:eastAsia="Calibri" w:cs="Times New Roman" w:ascii="Cambria" w:hAnsi="Cambria"/>
          <w:b/>
          <w:bCs/>
          <w:i/>
          <w:iCs/>
          <w:color w:val="000000"/>
          <w:spacing w:val="-1"/>
          <w:kern w:val="2"/>
          <w:sz w:val="24"/>
          <w:szCs w:val="24"/>
          <w:lang w:val="pl-PL" w:eastAsia="zxx" w:bidi="zxx"/>
        </w:rPr>
        <w:t>(-)BURMISTRZ WŁODAWY</w:t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 w:eastAsia="Calibri" w:cs="Times New Roman"/>
          <w:b/>
          <w:bCs/>
          <w:i/>
          <w:i/>
          <w:iCs/>
          <w:color w:val="000000"/>
          <w:spacing w:val="-1"/>
          <w:kern w:val="2"/>
          <w:sz w:val="24"/>
          <w:szCs w:val="24"/>
          <w:lang w:val="pl-PL" w:eastAsia="zxx" w:bidi="zxx"/>
        </w:rPr>
      </w:pPr>
      <w:r>
        <w:rPr>
          <w:rFonts w:eastAsia="Calibri" w:cs="Times New Roman" w:ascii="Cambria" w:hAnsi="Cambria"/>
          <w:b/>
          <w:bCs/>
          <w:i/>
          <w:iCs/>
          <w:color w:val="000000"/>
          <w:spacing w:val="-1"/>
          <w:kern w:val="2"/>
          <w:sz w:val="24"/>
          <w:szCs w:val="24"/>
          <w:lang w:val="pl-PL" w:eastAsia="zxx" w:bidi="zxx"/>
        </w:rPr>
        <w:t>WIESŁAW MUSZYŃSKI</w:t>
      </w:r>
    </w:p>
    <w:p>
      <w:pPr>
        <w:pStyle w:val="Standard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WW8Num2z8" w:customStyle="1">
    <w:name w:val="WW8Num2z8"/>
    <w:qFormat/>
    <w:rPr/>
  </w:style>
  <w:style w:type="character" w:styleId="TekstdymkaZnak" w:customStyle="1">
    <w:name w:val="Tekst dymka Znak"/>
    <w:qFormat/>
    <w:rPr>
      <w:rFonts w:ascii="Segoe UI" w:hAnsi="Segoe UI" w:eastAsia="Times New Roman" w:cs="Mangal"/>
      <w:sz w:val="18"/>
      <w:szCs w:val="16"/>
    </w:rPr>
  </w:style>
  <w:style w:type="character" w:styleId="TematkomentarzaZnak" w:customStyle="1">
    <w:name w:val="Temat komentarza Znak"/>
    <w:qFormat/>
    <w:rPr>
      <w:rFonts w:ascii="Times New Roman" w:hAnsi="Times New Roman" w:eastAsia="Times New Roman" w:cs="Mangal"/>
      <w:b/>
      <w:bCs/>
      <w:sz w:val="24"/>
      <w:szCs w:val="18"/>
    </w:rPr>
  </w:style>
  <w:style w:type="character" w:styleId="TekstkomentarzaZnak" w:customStyle="1">
    <w:name w:val="Tekst komentarza Znak"/>
    <w:qFormat/>
    <w:rPr>
      <w:rFonts w:ascii="Times New Roman" w:hAnsi="Times New Roman" w:eastAsia="Times New Roman" w:cs="Mangal"/>
      <w:sz w:val="24"/>
      <w:szCs w:val="18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BezodstpwZnak" w:customStyle="1">
    <w:name w:val="Bez odstępów Znak"/>
    <w:qFormat/>
    <w:rPr>
      <w:rFonts w:ascii="Calibri" w:hAnsi="Calibri" w:eastAsia="Calibri" w:cs="0"/>
      <w:color w:val="000000"/>
      <w:sz w:val="22"/>
      <w:szCs w:val="22"/>
      <w:lang w:eastAsia="pl-PL"/>
    </w:rPr>
  </w:style>
  <w:style w:type="character" w:styleId="AkapitzlistZnak" w:customStyle="1">
    <w:name w:val="Akapit z listą Znak"/>
    <w:qFormat/>
    <w:rPr>
      <w:rFonts w:ascii="Calibri" w:hAnsi="Calibri" w:eastAsia="Calibri" w:cs="Calibri"/>
      <w:sz w:val="22"/>
      <w:szCs w:val="22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Znak" w:customStyle="1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umeracjawierszy">
    <w:name w:val="Line Number"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widowControl w:val="false"/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1"/>
      <w:lang w:val="pl-PL" w:eastAsia="zh-CN" w:bidi="hi-IN"/>
    </w:rPr>
  </w:style>
  <w:style w:type="paragraph" w:styleId="Kolorowecieniowanieakcent31" w:customStyle="1">
    <w:name w:val="Kolorowe cieniowanie — akcent 31"/>
    <w:basedOn w:val="Standard"/>
    <w:qFormat/>
    <w:pPr>
      <w:spacing w:lineRule="exact" w:line="252" w:before="20" w:after="40"/>
      <w:ind w:left="720" w:hanging="0"/>
      <w:contextualSpacing/>
      <w:jc w:val="both"/>
    </w:pPr>
    <w:rPr>
      <w:rFonts w:ascii="Calibri" w:hAnsi="Calibri" w:eastAsia="SimSun" w:cs="Calibri"/>
      <w:sz w:val="20"/>
      <w:szCs w:val="20"/>
    </w:rPr>
  </w:style>
  <w:style w:type="paragraph" w:styleId="BalloonText">
    <w:name w:val="Balloon Text"/>
    <w:basedOn w:val="Standard"/>
    <w:qFormat/>
    <w:pPr>
      <w:spacing w:lineRule="exact" w:line="240"/>
    </w:pPr>
    <w:rPr>
      <w:rFonts w:ascii="Segoe UI" w:hAnsi="Segoe UI" w:eastAsia="Segoe UI" w:cs="Mangal"/>
      <w:sz w:val="18"/>
      <w:szCs w:val="16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  <w:textAlignment w:val="baseline"/>
    </w:pPr>
    <w:rPr>
      <w:rFonts w:ascii="Liberation Serif" w:hAnsi="Liberation Serif" w:eastAsia="NSimSun" w:cs="Mangal"/>
      <w:b/>
      <w:bCs/>
      <w:color w:val="auto"/>
      <w:kern w:val="2"/>
      <w:sz w:val="20"/>
      <w:szCs w:val="18"/>
      <w:lang w:val="pl-PL" w:eastAsia="zh-CN" w:bidi="hi-IN"/>
    </w:rPr>
  </w:style>
  <w:style w:type="paragraph" w:styleId="Annotationtext">
    <w:name w:val="annotation text"/>
    <w:basedOn w:val="Standard"/>
    <w:qFormat/>
    <w:pPr>
      <w:spacing w:lineRule="exact" w:line="240"/>
    </w:pPr>
    <w:rPr>
      <w:rFonts w:cs="Mangal"/>
      <w:sz w:val="20"/>
      <w:szCs w:val="1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0" w:cs="0"/>
      <w:color w:val="00000A"/>
      <w:kern w:val="0"/>
      <w:sz w:val="22"/>
      <w:szCs w:val="22"/>
      <w:lang w:val="pl-PL" w:eastAsia="pl-PL" w:bidi="hi-IN"/>
    </w:rPr>
  </w:style>
  <w:style w:type="paragraph" w:styleId="ListParagraph">
    <w:name w:val="List Paragraph"/>
    <w:basedOn w:val="Standard"/>
    <w:qFormat/>
    <w:pPr>
      <w:spacing w:lineRule="exact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WW-Tekstwstpniesformatowany1111111111111" w:customStyle="1">
    <w:name w:val="WW-Tekst wstępnie sformatowany1111111111111"/>
    <w:basedOn w:val="Standard"/>
    <w:qFormat/>
    <w:pPr>
      <w:widowControl w:val="false"/>
      <w:spacing w:lineRule="exact" w:line="240"/>
    </w:pPr>
    <w:rPr>
      <w:rFonts w:ascii="Courier New" w:hAnsi="Courier New" w:eastAsia="Courier New" w:cs="Courier New"/>
      <w:sz w:val="20"/>
      <w:szCs w:val="20"/>
      <w:lang w:eastAsia="ar-SA"/>
    </w:rPr>
  </w:style>
  <w:style w:type="paragraph" w:styleId="Nagwek1" w:customStyle="1">
    <w:name w:val="Nagłówek1"/>
    <w:basedOn w:val="Standard"/>
    <w:qFormat/>
    <w:pPr>
      <w:tabs>
        <w:tab w:val="clear" w:pos="709"/>
        <w:tab w:val="center" w:pos="4536" w:leader="none"/>
        <w:tab w:val="right" w:pos="9072" w:leader="none"/>
      </w:tabs>
      <w:spacing w:lineRule="exact" w:line="240"/>
    </w:pPr>
    <w:rPr/>
  </w:style>
  <w:style w:type="paragraph" w:styleId="Tekstpodstawowy1" w:customStyle="1">
    <w:name w:val="Tekst podstawowy1"/>
    <w:basedOn w:val="Standard"/>
    <w:qFormat/>
    <w:pPr>
      <w:spacing w:lineRule="exact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LibreOffice/7.5.0.3$Windows_X86_64 LibreOffice_project/c21113d003cd3efa8c53188764377a8272d9d6de</Application>
  <AppVersion>15.0000</AppVersion>
  <Pages>2</Pages>
  <Words>313</Words>
  <Characters>1871</Characters>
  <CharactersWithSpaces>2295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2023-03-23T15:16:00Z</dcterms:created>
  <dc:creator>"Piotr Mikuszewski" &lt;p.mikuszewski@interbroker.pl&gt;</dc:creator>
  <dc:description/>
  <dc:language>pl-PL</dc:language>
  <cp:lastModifiedBy/>
  <cp:lastPrinted>2023-03-29T12:55:45Z</cp:lastPrinted>
  <dcterms:modified xsi:type="dcterms:W3CDTF">2023-03-29T13:10:53Z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