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D5D4" w14:textId="5051F7FF" w:rsidR="00EA4A9D" w:rsidRDefault="00EA4A9D" w:rsidP="00EA4A9D">
      <w:pPr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6123E8">
        <w:rPr>
          <w:rFonts w:cstheme="minorHAnsi"/>
          <w:b/>
        </w:rPr>
        <w:t>7</w:t>
      </w:r>
      <w:r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03C5CBA8" w14:textId="0C37304C" w:rsidR="003B0D3E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>….. dnia ………………………..202</w:t>
      </w:r>
      <w:r w:rsidR="00286CD9">
        <w:rPr>
          <w:rFonts w:cstheme="minorHAnsi"/>
          <w:b/>
          <w:bCs/>
        </w:rPr>
        <w:t>….</w:t>
      </w:r>
      <w:r w:rsidR="003B0D3E" w:rsidRPr="002F4E46">
        <w:rPr>
          <w:rFonts w:cstheme="minorHAnsi"/>
          <w:b/>
          <w:bCs/>
        </w:rPr>
        <w:t xml:space="preserve"> r.</w:t>
      </w:r>
    </w:p>
    <w:p w14:paraId="1B1883C1" w14:textId="77777777" w:rsidR="003B0D3E" w:rsidRPr="00DA097A" w:rsidRDefault="003B0D3E" w:rsidP="003B0D3E">
      <w:pPr>
        <w:spacing w:after="0" w:line="240" w:lineRule="auto"/>
        <w:jc w:val="center"/>
        <w:rPr>
          <w:rFonts w:cstheme="minorHAnsi"/>
        </w:rPr>
      </w:pPr>
    </w:p>
    <w:p w14:paraId="5428394E" w14:textId="46327CCB" w:rsidR="003B0D3E" w:rsidRPr="001B0879" w:rsidRDefault="003B0D3E" w:rsidP="00DA097A">
      <w:pPr>
        <w:spacing w:after="0" w:line="264" w:lineRule="auto"/>
        <w:jc w:val="both"/>
        <w:rPr>
          <w:rFonts w:eastAsia="Times New Roman" w:cstheme="minorHAnsi"/>
          <w:lang w:eastAsia="pl-PL"/>
        </w:rPr>
      </w:pPr>
      <w:r w:rsidRPr="00DA097A">
        <w:rPr>
          <w:rFonts w:cstheme="minorHAnsi"/>
        </w:rPr>
        <w:t xml:space="preserve">zawartej w </w:t>
      </w:r>
      <w:r w:rsidR="00C47852" w:rsidRPr="00DA097A">
        <w:rPr>
          <w:rFonts w:cstheme="minorHAnsi"/>
        </w:rPr>
        <w:t>wyniku przeprowadzonego postępowania</w:t>
      </w:r>
      <w:r w:rsidRPr="00DA097A">
        <w:rPr>
          <w:rFonts w:cstheme="minorHAnsi"/>
        </w:rPr>
        <w:t xml:space="preserve"> </w:t>
      </w:r>
      <w:r w:rsidRPr="00DA097A">
        <w:rPr>
          <w:rFonts w:eastAsia="Times New Roman" w:cstheme="minorHAnsi"/>
          <w:lang w:eastAsia="pl-PL"/>
        </w:rPr>
        <w:t xml:space="preserve">o udzielenie zamówienia publicznego, </w:t>
      </w:r>
      <w:r w:rsidRPr="0092714B">
        <w:rPr>
          <w:rFonts w:eastAsia="Times New Roman" w:cstheme="minorHAnsi"/>
          <w:lang w:eastAsia="pl-PL"/>
        </w:rPr>
        <w:t xml:space="preserve">przeprowadzonego w trybie </w:t>
      </w:r>
      <w:r w:rsidR="006422D0" w:rsidRPr="0092714B">
        <w:rPr>
          <w:rFonts w:eastAsia="Times New Roman" w:cstheme="minorHAnsi"/>
          <w:lang w:eastAsia="pl-PL"/>
        </w:rPr>
        <w:t>podstawowym bez negocjacji,</w:t>
      </w:r>
      <w:r w:rsidRPr="0092714B">
        <w:rPr>
          <w:rFonts w:eastAsia="Times New Roman" w:cstheme="minorHAnsi"/>
          <w:lang w:eastAsia="pl-PL"/>
        </w:rPr>
        <w:t xml:space="preserve"> </w:t>
      </w:r>
      <w:r w:rsidRPr="0092714B">
        <w:rPr>
          <w:rFonts w:eastAsia="Times New Roman" w:cstheme="minorHAnsi"/>
          <w:lang w:eastAsia="ar-SA"/>
        </w:rPr>
        <w:t xml:space="preserve">zgodnie z ustawą  z dnia 11 września 2019 </w:t>
      </w:r>
      <w:r w:rsidRPr="0092714B">
        <w:rPr>
          <w:rFonts w:ascii="Calibri" w:eastAsia="Times New Roman" w:hAnsi="Calibri" w:cs="Calibri"/>
          <w:lang w:eastAsia="ar-SA"/>
        </w:rPr>
        <w:t xml:space="preserve">r. Prawo zamówień publicznych </w:t>
      </w:r>
      <w:r w:rsidRPr="0092714B">
        <w:rPr>
          <w:rFonts w:ascii="Calibri" w:eastAsia="Times New Roman" w:hAnsi="Calibri" w:cs="Calibri"/>
          <w:lang w:eastAsia="pl-PL"/>
        </w:rPr>
        <w:t>(</w:t>
      </w:r>
      <w:proofErr w:type="spellStart"/>
      <w:r w:rsidR="00C40C01" w:rsidRPr="0092714B">
        <w:rPr>
          <w:rFonts w:ascii="Calibri" w:eastAsia="Times New Roman" w:hAnsi="Calibri" w:cs="Calibri"/>
          <w:lang w:eastAsia="pl-PL"/>
        </w:rPr>
        <w:t>t.j</w:t>
      </w:r>
      <w:proofErr w:type="spellEnd"/>
      <w:r w:rsidR="00C40C01" w:rsidRPr="0092714B">
        <w:rPr>
          <w:rFonts w:ascii="Calibri" w:eastAsia="Times New Roman" w:hAnsi="Calibri" w:cs="Calibri"/>
          <w:lang w:eastAsia="pl-PL"/>
        </w:rPr>
        <w:t xml:space="preserve">. </w:t>
      </w:r>
      <w:r w:rsidRPr="0092714B">
        <w:rPr>
          <w:rFonts w:ascii="Calibri" w:eastAsia="Times New Roman" w:hAnsi="Calibri" w:cs="Calibri"/>
          <w:lang w:eastAsia="pl-PL"/>
        </w:rPr>
        <w:t>Dz.U. z 20</w:t>
      </w:r>
      <w:r w:rsidR="00C40C01" w:rsidRPr="0092714B">
        <w:rPr>
          <w:rFonts w:ascii="Calibri" w:eastAsia="Times New Roman" w:hAnsi="Calibri" w:cs="Calibri"/>
          <w:lang w:eastAsia="pl-PL"/>
        </w:rPr>
        <w:t>2</w:t>
      </w:r>
      <w:r w:rsidR="00286CD9">
        <w:rPr>
          <w:rFonts w:ascii="Calibri" w:eastAsia="Times New Roman" w:hAnsi="Calibri" w:cs="Calibri"/>
          <w:lang w:eastAsia="pl-PL"/>
        </w:rPr>
        <w:t>2</w:t>
      </w:r>
      <w:r w:rsidRPr="0092714B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92714B">
        <w:rPr>
          <w:rFonts w:ascii="Calibri" w:eastAsia="Times New Roman" w:hAnsi="Calibri" w:cs="Calibri"/>
          <w:lang w:eastAsia="pl-PL"/>
        </w:rPr>
        <w:t>1</w:t>
      </w:r>
      <w:r w:rsidR="00286CD9">
        <w:rPr>
          <w:rFonts w:ascii="Calibri" w:eastAsia="Times New Roman" w:hAnsi="Calibri" w:cs="Calibri"/>
          <w:lang w:eastAsia="pl-PL"/>
        </w:rPr>
        <w:t>710</w:t>
      </w:r>
      <w:r w:rsidR="004774DD" w:rsidRPr="0092714B">
        <w:rPr>
          <w:rFonts w:ascii="Calibri" w:eastAsia="Times New Roman" w:hAnsi="Calibri" w:cs="Calibri"/>
          <w:lang w:eastAsia="pl-PL"/>
        </w:rPr>
        <w:t xml:space="preserve"> ze zm.</w:t>
      </w:r>
      <w:r w:rsidRPr="0092714B">
        <w:rPr>
          <w:rFonts w:ascii="Calibri" w:eastAsia="Times New Roman" w:hAnsi="Calibri" w:cs="Calibri"/>
          <w:lang w:eastAsia="pl-PL"/>
        </w:rPr>
        <w:t>)</w:t>
      </w:r>
      <w:r w:rsidRPr="0092714B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92714B">
        <w:rPr>
          <w:rFonts w:ascii="Calibri" w:eastAsia="Times New Roman" w:hAnsi="Calibri" w:cs="Calibri"/>
          <w:lang w:eastAsia="ar-SA"/>
        </w:rPr>
        <w:t>na:</w:t>
      </w:r>
      <w:r w:rsidR="00DA097A" w:rsidRPr="0092714B">
        <w:rPr>
          <w:rFonts w:ascii="Calibri" w:eastAsia="Times New Roman" w:hAnsi="Calibri" w:cs="Calibri"/>
          <w:lang w:eastAsia="ar-SA"/>
        </w:rPr>
        <w:t xml:space="preserve"> </w:t>
      </w:r>
      <w:r w:rsidR="002C234D" w:rsidRPr="0092714B">
        <w:rPr>
          <w:rFonts w:ascii="Calibri" w:hAnsi="Calibri" w:cs="Calibri"/>
        </w:rPr>
        <w:t>„</w:t>
      </w:r>
      <w:r w:rsidR="002C234D" w:rsidRPr="0092714B">
        <w:rPr>
          <w:rFonts w:ascii="Calibri" w:hAnsi="Calibri" w:cs="Calibri"/>
          <w:b/>
          <w:bCs/>
        </w:rPr>
        <w:t>Dostawę</w:t>
      </w:r>
      <w:bookmarkEnd w:id="0"/>
      <w:r w:rsidR="001B0879">
        <w:rPr>
          <w:rFonts w:ascii="Calibri" w:hAnsi="Calibri" w:cs="Calibri"/>
          <w:b/>
          <w:bCs/>
        </w:rPr>
        <w:t xml:space="preserve"> </w:t>
      </w:r>
      <w:r w:rsidR="001B0879">
        <w:rPr>
          <w:b/>
          <w:bCs/>
        </w:rPr>
        <w:t>w formie leasingu operacyjnego z opcją wykupu używanego pojazdu bezpylnego trzykomorowego o pojemności całkowitej skrzyń ładunkowych min. 20 m3”</w:t>
      </w:r>
      <w:r w:rsidR="001B0879">
        <w:t>.</w:t>
      </w:r>
    </w:p>
    <w:p w14:paraId="78F6E618" w14:textId="23839CD3" w:rsidR="003B0D3E" w:rsidRDefault="003B0D3E" w:rsidP="00BD6405">
      <w:pPr>
        <w:spacing w:after="0" w:line="240" w:lineRule="auto"/>
        <w:jc w:val="both"/>
        <w:rPr>
          <w:rFonts w:cstheme="minorHAnsi"/>
        </w:rPr>
      </w:pPr>
    </w:p>
    <w:p w14:paraId="0B23FEF5" w14:textId="77777777" w:rsidR="0076290B" w:rsidRPr="00DA097A" w:rsidRDefault="0076290B" w:rsidP="00BD6405">
      <w:pPr>
        <w:spacing w:after="0" w:line="240" w:lineRule="auto"/>
        <w:jc w:val="both"/>
        <w:rPr>
          <w:rFonts w:cstheme="minorHAnsi"/>
        </w:rPr>
      </w:pPr>
    </w:p>
    <w:p w14:paraId="27A647D9" w14:textId="19E720D6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 xml:space="preserve">Przedsiębiorstwo Gospodarki Komunalnej </w:t>
      </w:r>
      <w:r w:rsidR="009D6C2B">
        <w:rPr>
          <w:rFonts w:cstheme="minorHAnsi"/>
          <w:b/>
          <w:bCs/>
          <w:color w:val="000000"/>
          <w:spacing w:val="-2"/>
        </w:rPr>
        <w:t>s</w:t>
      </w:r>
      <w:r w:rsidRPr="00DA097A">
        <w:rPr>
          <w:rFonts w:cstheme="minorHAnsi"/>
          <w:b/>
          <w:bCs/>
          <w:color w:val="000000"/>
          <w:spacing w:val="-2"/>
        </w:rPr>
        <w:t>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z kapitałem zakładowym w wysokości 16.922.196,00 zł, reprezentowana przez:</w:t>
      </w:r>
    </w:p>
    <w:p w14:paraId="311F245A" w14:textId="5A051C3D" w:rsidR="003B0D3E" w:rsidRPr="00DA097A" w:rsidRDefault="003B0D3E" w:rsidP="00BD6405">
      <w:pPr>
        <w:spacing w:after="0" w:line="240" w:lineRule="auto"/>
        <w:ind w:left="360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7C5DBC98" w:rsidR="003B0D3E" w:rsidRPr="00DA097A" w:rsidRDefault="003B0D3E" w:rsidP="00BD6405">
      <w:pPr>
        <w:spacing w:after="0" w:line="240" w:lineRule="auto"/>
        <w:ind w:left="360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</w:p>
    <w:p w14:paraId="46DCE2AF" w14:textId="77777777" w:rsidR="003B0D3E" w:rsidRPr="00DA097A" w:rsidRDefault="003B0D3E" w:rsidP="00BD6405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013C5680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9D6C2B">
        <w:rPr>
          <w:rFonts w:cstheme="minorHAnsi"/>
          <w:b/>
          <w:bCs/>
        </w:rPr>
        <w:t xml:space="preserve"> </w:t>
      </w:r>
      <w:r w:rsidRPr="00DA097A">
        <w:rPr>
          <w:rFonts w:cstheme="minorHAnsi"/>
        </w:rPr>
        <w:t>reprezentowanym przez:</w:t>
      </w:r>
    </w:p>
    <w:p w14:paraId="5D548F13" w14:textId="77777777" w:rsidR="003B0D3E" w:rsidRPr="00DA097A" w:rsidRDefault="003B0D3E" w:rsidP="00BD6405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Pr="00DA097A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3DD6E77B" w:rsidR="00A64C8F" w:rsidRPr="00DA097A" w:rsidRDefault="00A64C8F" w:rsidP="00A64C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……………….202</w:t>
      </w:r>
      <w:r w:rsidR="00286CD9">
        <w:rPr>
          <w:rFonts w:cstheme="minorHAnsi"/>
        </w:rPr>
        <w:t>…..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92714B">
        <w:rPr>
          <w:rFonts w:cstheme="minorHAnsi"/>
        </w:rPr>
        <w:t>(dalej zwaną „</w:t>
      </w:r>
      <w:r w:rsidRPr="0092714B">
        <w:rPr>
          <w:rFonts w:cstheme="minorHAnsi"/>
          <w:i/>
        </w:rPr>
        <w:t>Umową Leasingu</w:t>
      </w:r>
      <w:r w:rsidRPr="0092714B">
        <w:rPr>
          <w:rFonts w:cstheme="minorHAnsi"/>
        </w:rPr>
        <w:t xml:space="preserve">”), przedmiotem której jest </w:t>
      </w:r>
      <w:r w:rsidR="009D6C2B">
        <w:rPr>
          <w:b/>
          <w:bCs/>
        </w:rPr>
        <w:t xml:space="preserve">używany </w:t>
      </w:r>
      <w:r w:rsidR="002C234D" w:rsidRPr="0092714B">
        <w:rPr>
          <w:b/>
          <w:bCs/>
        </w:rPr>
        <w:t>pojazd</w:t>
      </w:r>
      <w:r w:rsidR="009D6C2B">
        <w:rPr>
          <w:b/>
          <w:bCs/>
        </w:rPr>
        <w:t xml:space="preserve"> bezpylny trzykomorowy o pojemności całkowitej skrzyń ładunkowych min. 20 m3 </w:t>
      </w:r>
      <w:r w:rsidRPr="00DA097A">
        <w:rPr>
          <w:rFonts w:cstheme="minorHAnsi"/>
        </w:rPr>
        <w:t>(dalej „</w:t>
      </w:r>
      <w:r w:rsidRPr="00DA097A">
        <w:rPr>
          <w:rFonts w:cstheme="minorHAnsi"/>
          <w:i/>
          <w:iCs/>
        </w:rPr>
        <w:t>Sprzęt</w:t>
      </w:r>
      <w:r w:rsidRPr="00DA097A">
        <w:rPr>
          <w:rFonts w:cstheme="minorHAnsi"/>
        </w:rPr>
        <w:t>”).</w:t>
      </w:r>
    </w:p>
    <w:p w14:paraId="0E5F3CD1" w14:textId="58B87179" w:rsidR="00A64C8F" w:rsidRPr="00DA097A" w:rsidRDefault="00A64C8F" w:rsidP="00A64C8F">
      <w:pPr>
        <w:pStyle w:val="Tekstpodstawowy2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8D6137">
        <w:rPr>
          <w:rFonts w:cstheme="minorHAnsi"/>
          <w:b/>
          <w:bCs/>
        </w:rPr>
        <w:t>nr postępowania</w:t>
      </w:r>
      <w:r w:rsidR="0092714B">
        <w:rPr>
          <w:rFonts w:cstheme="minorHAnsi"/>
          <w:b/>
          <w:bCs/>
        </w:rPr>
        <w:t xml:space="preserve"> </w:t>
      </w:r>
      <w:r w:rsidR="00286CD9">
        <w:rPr>
          <w:rFonts w:cstheme="minorHAnsi"/>
          <w:b/>
          <w:bCs/>
        </w:rPr>
        <w:t>35.</w:t>
      </w:r>
      <w:r w:rsidRPr="008D6137">
        <w:rPr>
          <w:rFonts w:cstheme="minorHAnsi"/>
          <w:b/>
          <w:bCs/>
        </w:rPr>
        <w:t>T</w:t>
      </w:r>
      <w:r w:rsidR="00286CD9">
        <w:rPr>
          <w:rFonts w:cstheme="minorHAnsi"/>
          <w:b/>
          <w:bCs/>
        </w:rPr>
        <w:t>.</w:t>
      </w:r>
      <w:r w:rsidRPr="008D6137">
        <w:rPr>
          <w:rFonts w:cstheme="minorHAnsi"/>
          <w:b/>
          <w:bCs/>
        </w:rPr>
        <w:t>202</w:t>
      </w:r>
      <w:r w:rsidR="00490CE6" w:rsidRPr="008D6137">
        <w:rPr>
          <w:rFonts w:cstheme="minorHAnsi"/>
          <w:b/>
          <w:bCs/>
        </w:rPr>
        <w:t>2</w:t>
      </w:r>
      <w:r w:rsidRPr="00DA097A">
        <w:rPr>
          <w:rFonts w:cstheme="minorHAnsi"/>
        </w:rPr>
        <w:t>), a postanowieniami Umowy Leasingu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40FF51B4" w:rsidR="00A64C8F" w:rsidRPr="0092714B" w:rsidRDefault="009D6C2B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zobowiązany jest dostarczyć Sprzęt najpóźniej w terminie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92714B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4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leasingu.</w:t>
      </w:r>
    </w:p>
    <w:p w14:paraId="4573370B" w14:textId="5B3F393C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zobowiązuje się nabyć na własność i oddać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 użytkowania Sprzęt o parametrach technicznych, konstrukcyjnych</w:t>
      </w:r>
      <w:r w:rsidR="00762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</w:t>
      </w:r>
      <w:r w:rsidR="009D6C2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225FA797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zapewni udzielenie gwarancji, że dostarczony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02EC6338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nie może przenieść wierzytelności wynikającej z realizacji Umowy leasingu na osobę trzecią, bez uprzedniej zgody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61F83283" w14:textId="770C36F0" w:rsidR="00A64C8F" w:rsidRPr="0092714B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zastrzega możliwość umieszczenia we własnym zakresie na stanowiącym przedmiot leasingu Sprzęcie napisów i grafik, co nie spowoduje utraty gwarancji. Powyższe w żaden sposób 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oświadcza, że w razie konieczności powyższe oznaczenia zostaną usunięte bez pozostawienia szkody w przedmiocie leasingu.</w:t>
      </w:r>
    </w:p>
    <w:p w14:paraId="2CA6CCE1" w14:textId="2C5D7A36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dopuszcza zmianę realizacji przedmiotu umowy w przypadku:</w:t>
      </w:r>
    </w:p>
    <w:p w14:paraId="160E9441" w14:textId="4254E62D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gdy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wykonanie zamówienia w określonym pierwotnie terminie nie leży w interesie</w:t>
      </w:r>
      <w:r w:rsidR="00605848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publicznym</w:t>
      </w:r>
      <w:r w:rsidR="006422D0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– zmiana Umowy leasingu jest dopuszczalna w zakresie uzasadnionego interesu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485A4426" w14:textId="5E96161C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działania siły wyższej uniemożliwiającej wykonanie zamówienia w określonym pierwotnie terminie. Termin zostanie przedłużony o czas działania siły wyższej oraz o czas potrzebny do usunięcia skutków tego działania,</w:t>
      </w:r>
    </w:p>
    <w:p w14:paraId="49F54B08" w14:textId="1FEC88AD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zaistnienia innych sytuacji, których nie można było przewidzieć w chwili zawarcia Umowy leasingu i mających charakter zmian nieistotnych, tj. nie odnoszących się do kwestii, które podlegały ocenie podczas wyboru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i takich, które gdyby były znane w momencie wszczęcia procedury mającej na celu wybór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nie miałby wpływu na udział większej liczby podmiotów zainteresowanych tym postępowaniem.</w:t>
      </w:r>
    </w:p>
    <w:p w14:paraId="624C5AF4" w14:textId="42C58450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pkt. 4 lit. b) ustawy z dnia 11 września 2019 r. Prawo zamówień publicznych, tj. zmiany:</w:t>
      </w:r>
    </w:p>
    <w:p w14:paraId="264A35CF" w14:textId="53D632B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 od towarów i usług oraz podatku 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3A1C3CFE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proofErr w:type="spellStart"/>
      <w:r w:rsidR="00D80310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z 2020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1342</w:t>
      </w:r>
      <w:r w:rsidR="00967289">
        <w:rPr>
          <w:rFonts w:asciiTheme="minorHAnsi" w:hAnsiTheme="minorHAnsi" w:cstheme="minorHAnsi"/>
          <w:sz w:val="22"/>
          <w:szCs w:val="22"/>
          <w:lang w:eastAsia="pl-PL"/>
        </w:rPr>
        <w:t xml:space="preserve"> ze zm.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4C4AE03C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7 z zastrzeżeniem, że zmiana wynagrodzenia określonego w ust. 7 pkt 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 - d) może być dokonana nie wcześniej niż po upływie 12 miesięcy od dnia zawarcia Umowy leasingu lub dokonania ostatniej zmiany.</w:t>
      </w:r>
    </w:p>
    <w:p w14:paraId="2D618CD3" w14:textId="41095FE1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7 pkt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a) wartość netto wynagrodzenia Leasingodawcy nie zmieni się a określona w aneksie wartość brutto wynagrodzenia zostanie wyliczona na podstawie nowych przepisów.</w:t>
      </w:r>
    </w:p>
    <w:p w14:paraId="0BF982DE" w14:textId="75BBE3E6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Obowiązek wykazania wpływu zmian, o których mowa w ust. 7 na koszt wykonania zamówienia należy do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5B4727" w14:textId="77777777" w:rsidR="00895B32" w:rsidRPr="00DA097A" w:rsidRDefault="00A64C8F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02A6731" w:rsidR="00A64C8F" w:rsidRPr="00DA097A" w:rsidRDefault="005B2C32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następujące kary umowne:</w:t>
      </w:r>
    </w:p>
    <w:p w14:paraId="31F9FD2A" w14:textId="24FC8A78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Umowy leasingu przez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przyczyn leżących po stronie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0758D2B9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do </w:t>
      </w:r>
      <w:r w:rsidR="0092714B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zawarcia Umowy leasingu w wysokości 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56DC78F2" w:rsidR="00A64C8F" w:rsidRPr="00201412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2714B" w:rsidRPr="00201412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E02E0C" w:rsidRPr="00201412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201412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>o jakich mowa w pkt 1</w:t>
      </w:r>
      <w:r w:rsidR="00552850" w:rsidRPr="00201412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92714B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OPZ (Zał. nr </w:t>
      </w:r>
      <w:r w:rsidR="006422D0" w:rsidRPr="00201412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 do SWZ)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4704C6F6" w:rsidR="00895B32" w:rsidRPr="00DA097A" w:rsidRDefault="00314129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karę umowną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od Umowy leasingu przez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Wykonawcę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przyczyn, za które ponosi odpowiedzialność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brutto.</w:t>
      </w:r>
    </w:p>
    <w:p w14:paraId="7F0791B2" w14:textId="245AFE95" w:rsidR="00430084" w:rsidRPr="00430084" w:rsidRDefault="00430084" w:rsidP="00430084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430084">
        <w:rPr>
          <w:rFonts w:ascii="Calibri" w:hAnsi="Calibri" w:cs="Calibri"/>
          <w:sz w:val="22"/>
          <w:szCs w:val="22"/>
        </w:rPr>
        <w:t xml:space="preserve">Strony ustalają, że kary </w:t>
      </w:r>
      <w:r w:rsidR="0076290B">
        <w:rPr>
          <w:rFonts w:ascii="Calibri" w:hAnsi="Calibri" w:cs="Calibri"/>
          <w:sz w:val="22"/>
          <w:szCs w:val="22"/>
        </w:rPr>
        <w:t xml:space="preserve">o </w:t>
      </w:r>
      <w:r w:rsidRPr="00430084">
        <w:rPr>
          <w:rFonts w:ascii="Calibri" w:hAnsi="Calibri" w:cs="Calibri"/>
          <w:sz w:val="22"/>
          <w:szCs w:val="22"/>
        </w:rPr>
        <w:t xml:space="preserve">których mowa w ust. 11 pkt b) i c) mogą zostać potrącone z wynagrodzenia </w:t>
      </w:r>
      <w:r>
        <w:rPr>
          <w:rFonts w:ascii="Calibri" w:hAnsi="Calibri" w:cs="Calibri"/>
          <w:sz w:val="22"/>
          <w:szCs w:val="22"/>
        </w:rPr>
        <w:t>Wykonawcy</w:t>
      </w:r>
      <w:r w:rsidRPr="00430084">
        <w:rPr>
          <w:rFonts w:ascii="Calibri" w:hAnsi="Calibri" w:cs="Calibri"/>
          <w:sz w:val="22"/>
          <w:szCs w:val="22"/>
        </w:rPr>
        <w:t xml:space="preserve"> na podstawie wystawionego dokumentu przez Zamawiającego.</w:t>
      </w:r>
    </w:p>
    <w:p w14:paraId="70DC7365" w14:textId="3EA3FD6D" w:rsidR="008D6137" w:rsidRPr="00B15474" w:rsidRDefault="008D6137" w:rsidP="008D6137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lastRenderedPageBreak/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Pr="008D6137">
        <w:rPr>
          <w:rFonts w:ascii="Calibri" w:hAnsi="Calibri" w:cs="Calibri"/>
          <w:color w:val="000000"/>
          <w:sz w:val="22"/>
          <w:szCs w:val="22"/>
        </w:rPr>
        <w:t>umowy.</w:t>
      </w:r>
    </w:p>
    <w:p w14:paraId="0FE62456" w14:textId="36E61FCD" w:rsidR="00675D6E" w:rsidRPr="00675D6E" w:rsidRDefault="00A64C8F" w:rsidP="00092286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>/100) i obejmuje koszty związane z wykonywaniem przedmiotu zamówienia, łącznie z dostarczeniem Sprzętu do</w:t>
      </w:r>
      <w:r w:rsidR="002837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83778" w:rsidRPr="00973D5F">
        <w:rPr>
          <w:rFonts w:asciiTheme="minorHAnsi" w:hAnsiTheme="minorHAnsi" w:cstheme="minorHAnsi"/>
          <w:sz w:val="22"/>
          <w:szCs w:val="22"/>
          <w:lang w:eastAsia="pl-PL"/>
        </w:rPr>
        <w:t xml:space="preserve">siedziby </w:t>
      </w:r>
      <w:r w:rsidR="00283778">
        <w:rPr>
          <w:rFonts w:asciiTheme="minorHAnsi" w:hAnsiTheme="minorHAnsi" w:cstheme="minorHAnsi"/>
          <w:sz w:val="22"/>
          <w:szCs w:val="22"/>
          <w:lang w:eastAsia="pl-PL"/>
        </w:rPr>
        <w:t>Zamawiającego - Słupsk, ul. Szczecińska 112</w:t>
      </w:r>
      <w:r w:rsidR="00283778" w:rsidRPr="00973D5F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45067F60" w14:textId="30B9DCA0" w:rsidR="00895B32" w:rsidRPr="00DA097A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05627F">
        <w:rPr>
          <w:rFonts w:asciiTheme="minorHAnsi" w:hAnsiTheme="minorHAnsi" w:cstheme="minorHAnsi"/>
          <w:sz w:val="22"/>
          <w:szCs w:val="22"/>
          <w:lang w:eastAsia="pl-PL"/>
        </w:rPr>
        <w:t xml:space="preserve">W </w:t>
      </w:r>
      <w:r w:rsidR="008D6137" w:rsidRPr="0005627F">
        <w:rPr>
          <w:rFonts w:asciiTheme="minorHAnsi" w:hAnsiTheme="minorHAnsi" w:cstheme="minorHAnsi"/>
          <w:sz w:val="22"/>
          <w:szCs w:val="22"/>
          <w:lang w:eastAsia="pl-PL"/>
        </w:rPr>
        <w:t>kwocie</w:t>
      </w:r>
      <w:r w:rsidRPr="0005627F">
        <w:rPr>
          <w:rFonts w:asciiTheme="minorHAnsi" w:hAnsiTheme="minorHAnsi" w:cstheme="minorHAnsi"/>
          <w:sz w:val="22"/>
          <w:szCs w:val="22"/>
          <w:lang w:eastAsia="pl-PL"/>
        </w:rPr>
        <w:t xml:space="preserve">, o której mowa w </w:t>
      </w:r>
      <w:r w:rsidR="008D6137" w:rsidRPr="0005627F">
        <w:rPr>
          <w:rFonts w:asciiTheme="minorHAnsi" w:hAnsiTheme="minorHAnsi" w:cstheme="minorHAnsi"/>
          <w:sz w:val="22"/>
          <w:szCs w:val="22"/>
          <w:lang w:eastAsia="pl-PL"/>
        </w:rPr>
        <w:t>ust. 15</w:t>
      </w:r>
      <w:r w:rsidR="00A30161" w:rsidRPr="0005627F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B15474" w:rsidRPr="0005627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0DFD" w:rsidRPr="0005627F"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uwzględnił wszystkie koszty związane 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realizacją przedmiotu zamówienia. </w:t>
      </w:r>
    </w:p>
    <w:p w14:paraId="2BF3BA17" w14:textId="491694A9" w:rsidR="00A64C8F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1B1C4DEE" w14:textId="1CEDE418" w:rsidR="008D6137" w:rsidRPr="001F77E7" w:rsidRDefault="00950DFD" w:rsidP="008D6137">
      <w:pPr>
        <w:pStyle w:val="pkt"/>
        <w:numPr>
          <w:ilvl w:val="0"/>
          <w:numId w:val="24"/>
        </w:numPr>
        <w:tabs>
          <w:tab w:val="left" w:pos="701"/>
        </w:tabs>
        <w:suppressAutoHyphens w:val="0"/>
        <w:autoSpaceDN w:val="0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 przy realizacji Umowy leasingu zobowiązuje się posługiwać rachunkiem rozliczeniowym o którym mowa w art. 49 ust. 1 pkt. 1 ustawy z dnia 29 sierpnia 1997 r. Prawo bankowe (</w:t>
      </w:r>
      <w:proofErr w:type="spellStart"/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>. Dz. U. z 202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 r. poz. 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 xml:space="preserve">2439 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D87DB8">
        <w:rPr>
          <w:rFonts w:asciiTheme="minorHAnsi" w:hAnsiTheme="minorHAnsi" w:cstheme="minorHAnsi"/>
          <w:sz w:val="22"/>
          <w:szCs w:val="22"/>
          <w:lang w:eastAsia="pl-PL"/>
        </w:rPr>
        <w:t xml:space="preserve">e 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zm.) zawartym w wykazie podmiotów, o którym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>mowa w art. 96 b ust. 1 ustawy z dnia 11 marca 2004 r. o podatku od towarów i usług (</w:t>
      </w:r>
      <w:proofErr w:type="spellStart"/>
      <w:r w:rsidR="008D6137" w:rsidRPr="008D6137">
        <w:rPr>
          <w:rFonts w:ascii="Calibri" w:hAnsi="Calibri" w:cs="Calibri"/>
          <w:sz w:val="22"/>
          <w:szCs w:val="22"/>
          <w:lang w:eastAsia="pl-PL"/>
        </w:rPr>
        <w:t>t.j</w:t>
      </w:r>
      <w:proofErr w:type="spellEnd"/>
      <w:r w:rsidR="008D6137" w:rsidRPr="008D6137">
        <w:rPr>
          <w:rFonts w:ascii="Calibri" w:hAnsi="Calibri" w:cs="Calibri"/>
          <w:sz w:val="22"/>
          <w:szCs w:val="22"/>
          <w:lang w:eastAsia="pl-PL"/>
        </w:rPr>
        <w:t xml:space="preserve">. Dz. U.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br/>
        <w:t>z 202</w:t>
      </w:r>
      <w:r w:rsidR="006422D0">
        <w:rPr>
          <w:rFonts w:ascii="Calibri" w:hAnsi="Calibri" w:cs="Calibri"/>
          <w:sz w:val="22"/>
          <w:szCs w:val="22"/>
          <w:lang w:eastAsia="pl-PL"/>
        </w:rPr>
        <w:t>2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 xml:space="preserve"> r. poz. </w:t>
      </w:r>
      <w:r w:rsidR="006422D0">
        <w:rPr>
          <w:rFonts w:ascii="Calibri" w:hAnsi="Calibri" w:cs="Calibri"/>
          <w:sz w:val="22"/>
          <w:szCs w:val="22"/>
          <w:lang w:eastAsia="pl-PL"/>
        </w:rPr>
        <w:t xml:space="preserve">931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>z</w:t>
      </w:r>
      <w:r w:rsidR="00D87DB8">
        <w:rPr>
          <w:rFonts w:ascii="Calibri" w:hAnsi="Calibri" w:cs="Calibri"/>
          <w:sz w:val="22"/>
          <w:szCs w:val="22"/>
          <w:lang w:eastAsia="pl-PL"/>
        </w:rPr>
        <w:t xml:space="preserve">e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 xml:space="preserve">zm.). </w:t>
      </w:r>
      <w:r w:rsidR="008D6137" w:rsidRPr="008D6137">
        <w:rPr>
          <w:rFonts w:ascii="Calibri" w:hAnsi="Calibri" w:cs="Calibri"/>
          <w:color w:val="000000"/>
          <w:sz w:val="22"/>
          <w:szCs w:val="22"/>
        </w:rPr>
        <w:t xml:space="preserve">W przypadku zmiany powyższego stanu rzeczy </w:t>
      </w:r>
      <w:r>
        <w:rPr>
          <w:rFonts w:ascii="Calibri" w:hAnsi="Calibri" w:cs="Calibri"/>
          <w:color w:val="000000"/>
          <w:sz w:val="22"/>
          <w:szCs w:val="22"/>
        </w:rPr>
        <w:t>Zamawiający</w:t>
      </w:r>
      <w:r w:rsidR="008D6137" w:rsidRPr="008D613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D6137" w:rsidRPr="001F77E7">
        <w:rPr>
          <w:rFonts w:ascii="Calibri" w:hAnsi="Calibri" w:cs="Calibri"/>
          <w:color w:val="000000"/>
          <w:sz w:val="22"/>
          <w:szCs w:val="22"/>
        </w:rPr>
        <w:t xml:space="preserve">będzie uprawniony do dokonania zapłaty na rachunek bankowy zawarty w przedmiotowym wykazie co stanowić będzie o należytym wykonaniu Umowy, a w przypadku, w którym przedmiotowy wykaz nie będzie zawierał numeru rachunku </w:t>
      </w:r>
      <w:r>
        <w:rPr>
          <w:rFonts w:ascii="Calibri" w:hAnsi="Calibri" w:cs="Calibri"/>
          <w:color w:val="000000"/>
          <w:sz w:val="22"/>
          <w:szCs w:val="22"/>
        </w:rPr>
        <w:t>Wykonawcy</w:t>
      </w:r>
      <w:r w:rsidR="008D6137" w:rsidRPr="001F77E7">
        <w:rPr>
          <w:rFonts w:ascii="Calibri" w:hAnsi="Calibri" w:cs="Calibri"/>
          <w:color w:val="000000"/>
          <w:sz w:val="22"/>
          <w:szCs w:val="22"/>
        </w:rPr>
        <w:t xml:space="preserve"> - wstrzymania się</w:t>
      </w:r>
      <w:r w:rsidR="00D87DB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D6137" w:rsidRPr="001F77E7">
        <w:rPr>
          <w:rFonts w:ascii="Calibri" w:hAnsi="Calibri" w:cs="Calibri"/>
          <w:color w:val="000000"/>
          <w:sz w:val="22"/>
          <w:szCs w:val="22"/>
        </w:rPr>
        <w:t xml:space="preserve">z płatnością do czasu jego ujawnienia i nie będzie uważany za pozostającego w opóźnieniu. </w:t>
      </w:r>
    </w:p>
    <w:p w14:paraId="38055B81" w14:textId="4941F069" w:rsidR="001F77E7" w:rsidRPr="00BB3942" w:rsidRDefault="00950DFD" w:rsidP="001F77E7">
      <w:pPr>
        <w:numPr>
          <w:ilvl w:val="0"/>
          <w:numId w:val="2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</w:t>
      </w:r>
      <w:r w:rsidR="001F77E7"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</w:t>
      </w:r>
      <w:proofErr w:type="spellStart"/>
      <w:r w:rsidR="001F77E7" w:rsidRPr="001F77E7">
        <w:rPr>
          <w:rFonts w:ascii="Calibri" w:hAnsi="Calibri" w:cs="Calibri"/>
        </w:rPr>
        <w:t>t.j</w:t>
      </w:r>
      <w:proofErr w:type="spellEnd"/>
      <w:r w:rsidR="001F77E7" w:rsidRPr="001F77E7">
        <w:rPr>
          <w:rFonts w:ascii="Calibri" w:hAnsi="Calibri" w:cs="Calibri"/>
        </w:rPr>
        <w:t>. Dz.U. z 202</w:t>
      </w:r>
      <w:r w:rsidR="00D3631A">
        <w:rPr>
          <w:rFonts w:ascii="Calibri" w:hAnsi="Calibri" w:cs="Calibri"/>
        </w:rPr>
        <w:t>2</w:t>
      </w:r>
      <w:r w:rsidR="001F77E7" w:rsidRPr="001F77E7">
        <w:rPr>
          <w:rFonts w:ascii="Calibri" w:hAnsi="Calibri" w:cs="Calibri"/>
        </w:rPr>
        <w:t xml:space="preserve"> r. poz. </w:t>
      </w:r>
      <w:r w:rsidR="00D3631A">
        <w:rPr>
          <w:rFonts w:ascii="Calibri" w:hAnsi="Calibri" w:cs="Calibri"/>
        </w:rPr>
        <w:t>893</w:t>
      </w:r>
      <w:r w:rsidR="001F77E7"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w </w:t>
      </w:r>
      <w:r w:rsidR="001F77E7" w:rsidRPr="00BB3942">
        <w:rPr>
          <w:rFonts w:ascii="Calibri" w:hAnsi="Calibri" w:cs="Calibri"/>
        </w:rPr>
        <w:t xml:space="preserve">zastosowaniu art. 107 i 108 Traktatu. </w:t>
      </w:r>
    </w:p>
    <w:p w14:paraId="75FA9B78" w14:textId="06FE8F1B" w:rsidR="002E5940" w:rsidRPr="00BB3942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0A96B098" w14:textId="77777777" w:rsidR="0005627F" w:rsidRPr="00BB3942" w:rsidRDefault="0005627F" w:rsidP="0005627F">
      <w:pPr>
        <w:spacing w:after="0" w:line="240" w:lineRule="auto"/>
        <w:jc w:val="center"/>
        <w:rPr>
          <w:rFonts w:ascii="Calibri" w:hAnsi="Calibri" w:cs="Calibri"/>
          <w:b/>
        </w:rPr>
      </w:pPr>
      <w:r w:rsidRPr="00BB3942">
        <w:rPr>
          <w:rFonts w:ascii="Calibri" w:hAnsi="Calibri" w:cs="Calibri"/>
          <w:b/>
        </w:rPr>
        <w:t>§ 3</w:t>
      </w:r>
    </w:p>
    <w:p w14:paraId="258B9891" w14:textId="26218DB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hAnsi="Calibri" w:cs="Calibri"/>
          <w:color w:val="auto"/>
          <w:sz w:val="22"/>
          <w:szCs w:val="22"/>
        </w:rPr>
        <w:t xml:space="preserve">W związku z tym, że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mowa została zawarta na okres dłuższy niż 6 miesięcy, Zamawiający wprowadza postanowienia dotyczące zasad wprowadzania zmian wysokości wynagrodzenia należnego Wykonawcy w przypadku zmiany ceny materiałów lub kosztów związanych z realizacją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</w:t>
      </w:r>
    </w:p>
    <w:p w14:paraId="7768C5B1" w14:textId="77777777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Wartość wynagrodzenia może zostać waloryzowana (w górę lub w dół) w oparciu o roczny wskaźnik cen towarów i usług konsumpcyjnych ogłoszony przez Prezesa GUS, pod warunkiem, że poziom zmiany cen na podstawie w/w wskaźnika będzie większy aniżeli 5% w porównaniu do wartości tegoż wskaźnika za rok poprzedni. </w:t>
      </w:r>
    </w:p>
    <w:p w14:paraId="09752166" w14:textId="65CBAD1B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Waloryzacja wartości wynagrodzenia następuje na wniosek Wykonawcy lub Zamawiającego</w:t>
      </w:r>
      <w:r w:rsidR="007D5D01"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, </w:t>
      </w:r>
      <w:r w:rsidR="007D5D01" w:rsidRPr="007D5D01">
        <w:rPr>
          <w:rFonts w:ascii="Calibri" w:hAnsi="Calibri" w:cs="Tahoma"/>
          <w:sz w:val="22"/>
          <w:szCs w:val="22"/>
        </w:rPr>
        <w:t>co Strona wnioskująca zobowiązana jest wykazać</w:t>
      </w:r>
      <w:r w:rsidR="007D5D01" w:rsidRPr="007D5D01">
        <w:rPr>
          <w:rFonts w:ascii="Calibri" w:hAnsi="Calibri" w:cs="Tahoma"/>
          <w:sz w:val="22"/>
          <w:szCs w:val="22"/>
        </w:rPr>
        <w:t xml:space="preserve">, 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 i wymaga podpisania aneksu do Umowy.</w:t>
      </w:r>
    </w:p>
    <w:p w14:paraId="6D8EF089" w14:textId="1ADDD3EE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Z uwzględnieniem ust. 3, w</w:t>
      </w:r>
      <w:r w:rsidRPr="007D5D01">
        <w:rPr>
          <w:rFonts w:ascii="Calibri" w:hAnsi="Calibri" w:cs="Calibri"/>
          <w:color w:val="auto"/>
          <w:sz w:val="22"/>
          <w:szCs w:val="22"/>
        </w:rPr>
        <w:t>niosek o podwyższenie lub obniżenie wynagrodzenia Wykonawcy może zostać złożony w okresie obowiązywania Umowy. Pierwszy wniosek może zostać złożony nie wcześniej niż po upływie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 6 miesięcy od zawarcia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W celu uniknięcia wątpliwości, występowanie o zmianę wynagrodzenia nie jest możliwe, jeśli nie upłynął okres wskazany w zdaniach poprzedzających. </w:t>
      </w:r>
    </w:p>
    <w:p w14:paraId="1FAEB799" w14:textId="7777777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Postanowienie ust. 4 nie narusza art. 439 ust. 3 PZP.</w:t>
      </w:r>
    </w:p>
    <w:p w14:paraId="0CC63DEE" w14:textId="44E1880E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Maksymalna wysokość zmiany wartości wynagrodzenia na podstawie ust. 4 wynosi 5% wartości wynagrodzenia.</w:t>
      </w:r>
    </w:p>
    <w:p w14:paraId="6EC4AFBC" w14:textId="77777777" w:rsidR="0005627F" w:rsidRDefault="0005627F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59FCFC0C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5627F">
        <w:rPr>
          <w:rFonts w:ascii="Calibri" w:hAnsi="Calibri" w:cs="Calibri"/>
          <w:b/>
        </w:rPr>
        <w:t>4</w:t>
      </w:r>
    </w:p>
    <w:p w14:paraId="5007AB2D" w14:textId="7951851C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Wykonawca </w:t>
      </w:r>
      <w:r w:rsidRPr="0069657B">
        <w:rPr>
          <w:rFonts w:ascii="Calibri" w:hAnsi="Calibri" w:cs="Calibri"/>
        </w:rPr>
        <w:t>w okresie udzielonej gwarancji (………… miesi</w:t>
      </w:r>
      <w:r w:rsidR="00201412">
        <w:rPr>
          <w:rFonts w:ascii="Calibri" w:hAnsi="Calibri" w:cs="Calibri"/>
        </w:rPr>
        <w:t>ęcy</w:t>
      </w:r>
      <w:r w:rsidRPr="0069657B">
        <w:rPr>
          <w:rFonts w:ascii="Calibri" w:hAnsi="Calibri" w:cs="Calibri"/>
        </w:rPr>
        <w:t xml:space="preserve">)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(pojazdu).</w:t>
      </w:r>
    </w:p>
    <w:p w14:paraId="513EB95C" w14:textId="3C670BB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</w:t>
      </w:r>
      <w:r w:rsidR="00950DFD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 xml:space="preserve"> sceduje na dostawcę pojazdu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(pojazdu)</w:t>
      </w:r>
      <w:r>
        <w:rPr>
          <w:rFonts w:ascii="Calibri" w:hAnsi="Calibri" w:cs="Calibri"/>
        </w:rPr>
        <w:t>, to jest zobowiązany do zawarcia w tym zakresie umowy z dostawcą pojazdu lub innym podmiotem.</w:t>
      </w:r>
    </w:p>
    <w:p w14:paraId="6E59DA5B" w14:textId="369507CD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 xml:space="preserve">przedmiotu leasingu (pojazdu)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675D6E">
        <w:rPr>
          <w:rFonts w:ascii="Calibri" w:hAnsi="Calibri" w:cs="Calibri"/>
          <w:spacing w:val="-1"/>
        </w:rPr>
        <w:t xml:space="preserve">określony w </w:t>
      </w:r>
      <w:r w:rsidRPr="00675D6E">
        <w:rPr>
          <w:rFonts w:cstheme="minorHAnsi"/>
          <w:lang w:eastAsia="pl-PL"/>
        </w:rPr>
        <w:t xml:space="preserve">OPZ (Zał. nr </w:t>
      </w:r>
      <w:r w:rsidR="00D3631A" w:rsidRPr="00675D6E">
        <w:rPr>
          <w:rFonts w:cstheme="minorHAnsi"/>
          <w:lang w:eastAsia="pl-PL"/>
        </w:rPr>
        <w:t xml:space="preserve">8 </w:t>
      </w:r>
      <w:r w:rsidRPr="00675D6E">
        <w:rPr>
          <w:rFonts w:cstheme="minorHAnsi"/>
          <w:lang w:eastAsia="pl-PL"/>
        </w:rPr>
        <w:t>do SWZ).</w:t>
      </w:r>
    </w:p>
    <w:p w14:paraId="081AD065" w14:textId="55438FC5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lastRenderedPageBreak/>
        <w:t xml:space="preserve">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(pojazdu)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 xml:space="preserve">usuwanie wszelkich wad i usterek przedmiotu leasingu (pojazdu)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34AF8C1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(pojazdu)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(pojazdu) w okresie gwarancji musi być potwierdzone protokolarnie.</w:t>
      </w:r>
    </w:p>
    <w:p w14:paraId="73AC50E4" w14:textId="3C6F3A9B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Okres gwarancji przedłuża się każdorazowo o czas trwania naprawy przedmiotu leasingu (pojazdu),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usterki i/lub wady przez </w:t>
      </w:r>
      <w:r w:rsidR="00950DFD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 xml:space="preserve"> do dnia jego odbioru po naprawie.</w:t>
      </w:r>
    </w:p>
    <w:p w14:paraId="39FC9194" w14:textId="77777777" w:rsidR="002E5940" w:rsidRDefault="002E5940" w:rsidP="0069657B">
      <w:pPr>
        <w:pStyle w:val="Tekstpodstawowy2"/>
        <w:spacing w:after="0" w:line="240" w:lineRule="auto"/>
        <w:rPr>
          <w:rFonts w:cstheme="minorHAnsi"/>
          <w:b/>
        </w:rPr>
      </w:pPr>
    </w:p>
    <w:p w14:paraId="477D154C" w14:textId="0FAE3999" w:rsidR="00895B32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5</w:t>
      </w:r>
    </w:p>
    <w:p w14:paraId="11F74CDC" w14:textId="60F8BC09" w:rsidR="00A64C8F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 w:rsidRPr="00D22CAF">
        <w:rPr>
          <w:rFonts w:cstheme="minorHAnsi"/>
          <w:b/>
        </w:rPr>
        <w:t xml:space="preserve">Zmiany w Umowie </w:t>
      </w:r>
      <w:r w:rsidR="00BD6405" w:rsidRPr="00D22CAF">
        <w:rPr>
          <w:rFonts w:cstheme="minorHAnsi"/>
          <w:b/>
        </w:rPr>
        <w:t>L</w:t>
      </w:r>
      <w:r w:rsidRPr="00D22CAF">
        <w:rPr>
          <w:rFonts w:cstheme="minorHAnsi"/>
          <w:b/>
        </w:rPr>
        <w:t xml:space="preserve">easingu </w:t>
      </w:r>
    </w:p>
    <w:p w14:paraId="2E1D3E4C" w14:textId="08349CB0" w:rsidR="00A64C8F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…………………………………….</w:t>
      </w:r>
    </w:p>
    <w:p w14:paraId="5EDEE36A" w14:textId="5A3A60CE" w:rsidR="00BD6405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……………………………….……</w:t>
      </w:r>
    </w:p>
    <w:p w14:paraId="24483E1F" w14:textId="38A68509" w:rsidR="00BD6405" w:rsidRPr="003000F3" w:rsidRDefault="00D22CAF" w:rsidP="00A64C8F">
      <w:pPr>
        <w:pStyle w:val="Tekstpodstawowy2"/>
        <w:spacing w:after="0" w:line="240" w:lineRule="auto"/>
        <w:jc w:val="both"/>
        <w:rPr>
          <w:rFonts w:cstheme="minorHAnsi"/>
          <w:i/>
          <w:iCs/>
          <w:color w:val="FF0000"/>
        </w:rPr>
      </w:pPr>
      <w:r w:rsidRPr="003000F3">
        <w:rPr>
          <w:rFonts w:cstheme="minorHAnsi"/>
          <w:i/>
          <w:iCs/>
          <w:color w:val="FF0000"/>
        </w:rPr>
        <w:t>(</w:t>
      </w:r>
      <w:r w:rsidR="003000F3" w:rsidRPr="003000F3">
        <w:rPr>
          <w:rFonts w:cstheme="minorHAnsi"/>
          <w:i/>
          <w:iCs/>
          <w:color w:val="FF0000"/>
        </w:rPr>
        <w:t xml:space="preserve">§ </w:t>
      </w:r>
      <w:r w:rsidR="0005627F">
        <w:rPr>
          <w:rFonts w:cstheme="minorHAnsi"/>
          <w:i/>
          <w:iCs/>
          <w:color w:val="FF0000"/>
        </w:rPr>
        <w:t>5</w:t>
      </w:r>
      <w:r w:rsidR="003000F3" w:rsidRPr="003000F3">
        <w:rPr>
          <w:rFonts w:cstheme="minorHAnsi"/>
          <w:i/>
          <w:iCs/>
          <w:color w:val="FF0000"/>
        </w:rPr>
        <w:t xml:space="preserve"> uzupełnia </w:t>
      </w:r>
      <w:r w:rsidR="002049B8">
        <w:rPr>
          <w:rFonts w:cstheme="minorHAnsi"/>
          <w:i/>
          <w:iCs/>
          <w:color w:val="FF0000"/>
        </w:rPr>
        <w:t>Zamawiający</w:t>
      </w:r>
      <w:r w:rsidR="00293A2A" w:rsidRPr="003000F3">
        <w:rPr>
          <w:rFonts w:cstheme="minorHAnsi"/>
          <w:i/>
          <w:iCs/>
          <w:color w:val="FF0000"/>
        </w:rPr>
        <w:t xml:space="preserve">, </w:t>
      </w:r>
      <w:r w:rsidRPr="003000F3">
        <w:rPr>
          <w:rFonts w:cstheme="minorHAnsi"/>
          <w:i/>
          <w:iCs/>
          <w:color w:val="FF0000"/>
        </w:rPr>
        <w:t xml:space="preserve">jeżeli </w:t>
      </w:r>
      <w:r w:rsidR="00293A2A" w:rsidRPr="003000F3">
        <w:rPr>
          <w:rFonts w:cstheme="minorHAnsi"/>
          <w:i/>
          <w:iCs/>
          <w:color w:val="FF0000"/>
        </w:rPr>
        <w:t>standardowy w</w:t>
      </w:r>
      <w:r w:rsidR="00996958">
        <w:rPr>
          <w:rFonts w:cstheme="minorHAnsi"/>
          <w:i/>
          <w:iCs/>
          <w:color w:val="FF0000"/>
        </w:rPr>
        <w:t>z</w:t>
      </w:r>
      <w:r w:rsidR="00293A2A" w:rsidRPr="003000F3">
        <w:rPr>
          <w:rFonts w:cstheme="minorHAnsi"/>
          <w:i/>
          <w:iCs/>
          <w:color w:val="FF0000"/>
        </w:rPr>
        <w:t>ór umowy</w:t>
      </w:r>
      <w:r w:rsidR="002049B8">
        <w:rPr>
          <w:rFonts w:cstheme="minorHAnsi"/>
          <w:i/>
          <w:iCs/>
          <w:color w:val="FF0000"/>
        </w:rPr>
        <w:t xml:space="preserve"> leasingu</w:t>
      </w:r>
      <w:r w:rsidR="00293A2A" w:rsidRPr="003000F3">
        <w:rPr>
          <w:rFonts w:cstheme="minorHAnsi"/>
          <w:i/>
          <w:iCs/>
          <w:color w:val="FF0000"/>
        </w:rPr>
        <w:t xml:space="preserve"> stosowany u Wykonawcy zawiera postanowienia sprzeczne z warunkami określonymi przez Z</w:t>
      </w:r>
      <w:r w:rsidR="00EE1F64">
        <w:rPr>
          <w:rFonts w:cstheme="minorHAnsi"/>
          <w:i/>
          <w:iCs/>
          <w:color w:val="FF0000"/>
        </w:rPr>
        <w:t>a</w:t>
      </w:r>
      <w:r w:rsidR="00293A2A" w:rsidRPr="003000F3">
        <w:rPr>
          <w:rFonts w:cstheme="minorHAnsi"/>
          <w:i/>
          <w:iCs/>
          <w:color w:val="FF0000"/>
        </w:rPr>
        <w:t>mawiającego)</w:t>
      </w:r>
      <w:r w:rsidR="003000F3">
        <w:rPr>
          <w:rFonts w:cstheme="minorHAnsi"/>
          <w:i/>
          <w:iCs/>
          <w:color w:val="FF0000"/>
        </w:rPr>
        <w:t>.</w:t>
      </w:r>
    </w:p>
    <w:p w14:paraId="1A6123E1" w14:textId="77777777" w:rsidR="00675D6E" w:rsidRDefault="00675D6E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</w:p>
    <w:p w14:paraId="6F754554" w14:textId="2E7C11B6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6</w:t>
      </w:r>
    </w:p>
    <w:p w14:paraId="00F19ECE" w14:textId="5B3B176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0C815E60" w14:textId="34DB0458" w:rsidR="00331D88" w:rsidRDefault="00331D88" w:rsidP="00331D88">
      <w:pPr>
        <w:spacing w:after="0" w:line="240" w:lineRule="auto"/>
        <w:jc w:val="both"/>
      </w:pPr>
      <w:r>
        <w:t xml:space="preserve">Zgodnie z art. 13 ust. 1 i 2 rozporządzenia Parlamentu Europejskiego i Rady (UE) 2016/679 z dnia </w:t>
      </w:r>
      <w:r w:rsidR="00D87DB8">
        <w:br/>
      </w:r>
      <w: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5A0E311C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6D7EEDC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Pani/Pana dane osobowe przetwarzane będą na podstawie art. 6 ust. 1 lit. c RODO w celu związanym z postępowaniem o udzielenie zamówienia publicznego.</w:t>
      </w:r>
    </w:p>
    <w:p w14:paraId="397455F0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Odbiorcami Pani/Pana danych osobowych będą osoby lub podmioty, którym udostępniona zostanie dokumentacja postępowania w oparciu o art. 74 ustawy </w:t>
      </w:r>
      <w:proofErr w:type="spellStart"/>
      <w:r>
        <w:t>Pzp</w:t>
      </w:r>
      <w:proofErr w:type="spellEnd"/>
      <w:r>
        <w:t>.</w:t>
      </w:r>
    </w:p>
    <w:p w14:paraId="3F11BB05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Pani/Pana dane osobowe będą przechowywane, zgodnie z art. 87 ust. 1 ustawy </w:t>
      </w:r>
      <w:proofErr w:type="spellStart"/>
      <w:r>
        <w:t>Pzp</w:t>
      </w:r>
      <w:proofErr w:type="spellEnd"/>
      <w:r>
        <w:t>, przez okres 4 lat od dnia zakończenia postępowania o udzielenie zamówienia, a jeżeli czas trwania umowy przekracza 4 lata, okres przechowywania obejmuje cały czas trwania umowy.</w:t>
      </w:r>
    </w:p>
    <w:p w14:paraId="264078B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. </w:t>
      </w:r>
    </w:p>
    <w:p w14:paraId="12632241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W odniesieniu do Pani/Pana danych osobowych decyzje nie będą podejmowane w sposób zautomatyzowany, stosowanie do art. 22 RODO. </w:t>
      </w:r>
    </w:p>
    <w:p w14:paraId="0025C61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Posiada Pani/Pan: </w:t>
      </w:r>
    </w:p>
    <w:p w14:paraId="442C6BB1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15 RODO prawo dostępu do danych osobowych Pani/Pana dotyczących,</w:t>
      </w:r>
    </w:p>
    <w:p w14:paraId="772C4642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16 RODO prawo do sprostowania Pani/Pana danych osobowych,</w:t>
      </w:r>
    </w:p>
    <w:p w14:paraId="78903BD9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18 RODO prawo żądania od administratora ograniczenia przetwarzania danych osobowych z zastrzeżeniem przypadków, o których mowa w art. 18 ust. 2 RODO, </w:t>
      </w:r>
    </w:p>
    <w:p w14:paraId="5054E6FF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lastRenderedPageBreak/>
        <w:t xml:space="preserve">prawo do wniesienia skargi do Prezesa Urzędu Ochrony Danych Osobowych, gdy uzna Pani/Pan, że przetwarzanie danych osobowych Pani/Pana dotyczących narusza przepisy RODO. </w:t>
      </w:r>
    </w:p>
    <w:p w14:paraId="642EA584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Nie przysługuje Pani/Panu:</w:t>
      </w:r>
    </w:p>
    <w:p w14:paraId="6C90B3D5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w związku z art. 17 ust. 3 lit. b, d lub e RODO prawo do usunięcia danych osobowych,</w:t>
      </w:r>
    </w:p>
    <w:p w14:paraId="064FEE64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prawo do przenoszenia danych osobowych, o którym mowa w art. 20 RODO,</w:t>
      </w:r>
    </w:p>
    <w:p w14:paraId="4379171E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21 RODO prawo sprzeciwu, wobec przetwarzania danych osobowych, gdyż podstawą prawną przetwarzania Pani/Pana danych osobowych jest art. 6 ust. 1 lit. c RODO.</w:t>
      </w:r>
    </w:p>
    <w:p w14:paraId="2291A3A3" w14:textId="43D8FEFA" w:rsidR="00331D88" w:rsidRDefault="00331D88" w:rsidP="00A64C8F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12BD1202" w14:textId="314D0798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7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6AE70AF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8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DB141B1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950DFD">
        <w:rPr>
          <w:rFonts w:ascii="Calibri" w:hAnsi="Calibri" w:cs="Calibri"/>
          <w:sz w:val="22"/>
          <w:szCs w:val="22"/>
        </w:rPr>
        <w:t>Wykonawcą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="00950DFD">
        <w:rPr>
          <w:rFonts w:ascii="Calibri" w:hAnsi="Calibri" w:cs="Calibri"/>
          <w:sz w:val="22"/>
          <w:szCs w:val="22"/>
        </w:rPr>
        <w:t xml:space="preserve">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6D66CF6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201412">
        <w:rPr>
          <w:rFonts w:ascii="Calibri" w:hAnsi="Calibri" w:cs="Calibri"/>
          <w:color w:val="auto"/>
          <w:sz w:val="22"/>
          <w:szCs w:val="22"/>
        </w:rPr>
        <w:t>Wykonawcy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0D808DA4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05627F">
        <w:rPr>
          <w:rFonts w:ascii="Calibri" w:hAnsi="Calibri" w:cs="Calibri"/>
          <w:b/>
        </w:rPr>
        <w:t>8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2A3CA83A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</w:t>
      </w:r>
      <w:r w:rsidR="005142BB">
        <w:rPr>
          <w:rFonts w:cstheme="minorHAnsi"/>
        </w:rPr>
        <w:t>Zamawiającego</w:t>
      </w:r>
      <w:r w:rsidR="00BD6405" w:rsidRPr="00DA097A">
        <w:rPr>
          <w:rFonts w:cstheme="minorHAnsi"/>
        </w:rPr>
        <w:t>.</w:t>
      </w:r>
    </w:p>
    <w:p w14:paraId="18460B54" w14:textId="740E8352" w:rsidR="00A64C8F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BD0E137" w14:textId="475CE1B5" w:rsidR="005142BB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514BB7CB" w14:textId="77777777" w:rsidR="005142BB" w:rsidRPr="00DA097A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620CD73E" w14:textId="68BD9442" w:rsidR="00E245DE" w:rsidRPr="00E245DE" w:rsidRDefault="00E245DE" w:rsidP="00E245DE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E245DE">
        <w:rPr>
          <w:rFonts w:eastAsia="Times New Roman" w:cstheme="minorHAnsi"/>
          <w:b/>
          <w:lang w:eastAsia="pl-PL"/>
        </w:rPr>
        <w:t xml:space="preserve">Załącznikami do </w:t>
      </w:r>
      <w:r>
        <w:rPr>
          <w:rFonts w:eastAsia="Times New Roman" w:cstheme="minorHAnsi"/>
          <w:b/>
          <w:lang w:eastAsia="pl-PL"/>
        </w:rPr>
        <w:t>U</w:t>
      </w:r>
      <w:r w:rsidRPr="00E245DE">
        <w:rPr>
          <w:rFonts w:eastAsia="Times New Roman" w:cstheme="minorHAnsi"/>
          <w:b/>
          <w:lang w:eastAsia="pl-PL"/>
        </w:rPr>
        <w:t xml:space="preserve">mowy </w:t>
      </w:r>
      <w:r w:rsidR="00B12BE3">
        <w:rPr>
          <w:rFonts w:eastAsia="Times New Roman" w:cstheme="minorHAnsi"/>
          <w:b/>
          <w:lang w:eastAsia="pl-PL"/>
        </w:rPr>
        <w:t>l</w:t>
      </w:r>
      <w:r>
        <w:rPr>
          <w:rFonts w:eastAsia="Times New Roman" w:cstheme="minorHAnsi"/>
          <w:b/>
          <w:lang w:eastAsia="pl-PL"/>
        </w:rPr>
        <w:t xml:space="preserve">easingu </w:t>
      </w:r>
      <w:r w:rsidRPr="00E245DE">
        <w:rPr>
          <w:rFonts w:eastAsia="Times New Roman" w:cstheme="minorHAnsi"/>
          <w:b/>
          <w:lang w:eastAsia="pl-PL"/>
        </w:rPr>
        <w:t>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68584DCC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BB3942">
        <w:rPr>
          <w:rFonts w:eastAsia="Times New Roman" w:cstheme="minorHAnsi"/>
          <w:lang w:eastAsia="pl-PL"/>
        </w:rPr>
        <w:t>…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1BC5577C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 xml:space="preserve">Umowa na serwisy gwarancyjne zawarta pomiędzy </w:t>
      </w:r>
      <w:r w:rsidR="005142BB">
        <w:rPr>
          <w:rFonts w:ascii="Calibri" w:hAnsi="Calibri" w:cs="Calibri"/>
        </w:rPr>
        <w:t>Wykonawcą</w:t>
      </w:r>
      <w:r w:rsidRPr="00D3631A">
        <w:rPr>
          <w:rFonts w:ascii="Calibri" w:hAnsi="Calibri" w:cs="Calibri"/>
        </w:rPr>
        <w:t xml:space="preserve"> a dostawcą pojazdu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4F726" w14:textId="77777777" w:rsidR="00B305D0" w:rsidRDefault="00B305D0" w:rsidP="00BA7B03">
      <w:pPr>
        <w:spacing w:after="0" w:line="240" w:lineRule="auto"/>
      </w:pPr>
      <w:r>
        <w:separator/>
      </w:r>
    </w:p>
  </w:endnote>
  <w:endnote w:type="continuationSeparator" w:id="0">
    <w:p w14:paraId="47D6941C" w14:textId="77777777" w:rsidR="00B305D0" w:rsidRDefault="00B305D0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217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3FB164" w14:textId="3E6003CB" w:rsidR="00BA7B03" w:rsidRPr="00BA7B03" w:rsidRDefault="00BA7B03">
        <w:pPr>
          <w:pStyle w:val="Stopka"/>
          <w:jc w:val="right"/>
          <w:rPr>
            <w:rFonts w:ascii="Times New Roman" w:hAnsi="Times New Roman" w:cs="Times New Roman"/>
          </w:rPr>
        </w:pPr>
        <w:r w:rsidRPr="00BA7B03">
          <w:rPr>
            <w:rFonts w:ascii="Times New Roman" w:hAnsi="Times New Roman" w:cs="Times New Roman"/>
          </w:rPr>
          <w:fldChar w:fldCharType="begin"/>
        </w:r>
        <w:r w:rsidRPr="00BA7B03">
          <w:rPr>
            <w:rFonts w:ascii="Times New Roman" w:hAnsi="Times New Roman" w:cs="Times New Roman"/>
          </w:rPr>
          <w:instrText>PAGE   \* MERGEFORMAT</w:instrText>
        </w:r>
        <w:r w:rsidRPr="00BA7B03">
          <w:rPr>
            <w:rFonts w:ascii="Times New Roman" w:hAnsi="Times New Roman" w:cs="Times New Roman"/>
          </w:rPr>
          <w:fldChar w:fldCharType="separate"/>
        </w:r>
        <w:r w:rsidRPr="00BA7B03">
          <w:rPr>
            <w:rFonts w:ascii="Times New Roman" w:hAnsi="Times New Roman" w:cs="Times New Roman"/>
          </w:rPr>
          <w:t>2</w:t>
        </w:r>
        <w:r w:rsidRPr="00BA7B03">
          <w:rPr>
            <w:rFonts w:ascii="Times New Roman" w:hAnsi="Times New Roman" w:cs="Times New Roman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634D6" w14:textId="77777777" w:rsidR="00B305D0" w:rsidRDefault="00B305D0" w:rsidP="00BA7B03">
      <w:pPr>
        <w:spacing w:after="0" w:line="240" w:lineRule="auto"/>
      </w:pPr>
      <w:r>
        <w:separator/>
      </w:r>
    </w:p>
  </w:footnote>
  <w:footnote w:type="continuationSeparator" w:id="0">
    <w:p w14:paraId="4FD3A99D" w14:textId="77777777" w:rsidR="00B305D0" w:rsidRDefault="00B305D0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712D" w14:textId="59684CCC" w:rsidR="00EA4A9D" w:rsidRPr="0092714B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92714B">
      <w:rPr>
        <w:rFonts w:ascii="Calibri" w:hAnsi="Calibri" w:cs="Calibri"/>
        <w:b/>
        <w:bCs/>
        <w:iCs/>
        <w:sz w:val="18"/>
        <w:szCs w:val="20"/>
        <w:lang w:eastAsia="x-none"/>
      </w:rPr>
      <w:t xml:space="preserve">Nr </w:t>
    </w:r>
    <w:r w:rsidR="004774DD" w:rsidRPr="0092714B">
      <w:rPr>
        <w:rFonts w:ascii="Calibri" w:hAnsi="Calibri" w:cs="Calibri"/>
        <w:b/>
        <w:bCs/>
        <w:iCs/>
        <w:sz w:val="18"/>
        <w:szCs w:val="20"/>
        <w:lang w:eastAsia="x-none"/>
      </w:rPr>
      <w:t>postępowania</w:t>
    </w:r>
    <w:r w:rsidR="0092714B" w:rsidRPr="0092714B">
      <w:rPr>
        <w:rFonts w:ascii="Calibri" w:hAnsi="Calibri" w:cs="Calibri"/>
        <w:b/>
        <w:bCs/>
        <w:iCs/>
        <w:sz w:val="18"/>
        <w:szCs w:val="20"/>
        <w:lang w:eastAsia="x-none"/>
      </w:rPr>
      <w:t xml:space="preserve"> </w:t>
    </w:r>
    <w:r w:rsidR="00286CD9">
      <w:rPr>
        <w:rFonts w:ascii="Calibri" w:hAnsi="Calibri" w:cs="Calibri"/>
        <w:b/>
        <w:bCs/>
        <w:iCs/>
        <w:sz w:val="18"/>
        <w:szCs w:val="20"/>
        <w:lang w:eastAsia="x-none"/>
      </w:rPr>
      <w:t>35.</w:t>
    </w:r>
    <w:r w:rsidRPr="0092714B">
      <w:rPr>
        <w:rFonts w:ascii="Calibri" w:hAnsi="Calibri" w:cs="Calibri"/>
        <w:b/>
        <w:bCs/>
        <w:iCs/>
        <w:sz w:val="18"/>
        <w:szCs w:val="20"/>
        <w:lang w:eastAsia="x-none"/>
      </w:rPr>
      <w:t>T</w:t>
    </w:r>
    <w:r w:rsidR="00286CD9">
      <w:rPr>
        <w:rFonts w:ascii="Calibri" w:hAnsi="Calibri" w:cs="Calibri"/>
        <w:b/>
        <w:bCs/>
        <w:iCs/>
        <w:sz w:val="18"/>
        <w:szCs w:val="20"/>
        <w:lang w:eastAsia="x-none"/>
      </w:rPr>
      <w:t>.</w:t>
    </w:r>
    <w:r w:rsidRPr="0092714B">
      <w:rPr>
        <w:rFonts w:ascii="Calibri" w:hAnsi="Calibri" w:cs="Calibri"/>
        <w:b/>
        <w:bCs/>
        <w:iCs/>
        <w:sz w:val="18"/>
        <w:szCs w:val="20"/>
        <w:lang w:eastAsia="x-none"/>
      </w:rPr>
      <w:t>202</w:t>
    </w:r>
    <w:r w:rsidR="004774DD" w:rsidRPr="0092714B">
      <w:rPr>
        <w:rFonts w:ascii="Calibri" w:hAnsi="Calibri" w:cs="Calibri"/>
        <w:b/>
        <w:bCs/>
        <w:iCs/>
        <w:sz w:val="18"/>
        <w:szCs w:val="20"/>
        <w:lang w:eastAsia="x-none"/>
      </w:rPr>
      <w:t>2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C3E56"/>
    <w:multiLevelType w:val="hybridMultilevel"/>
    <w:tmpl w:val="0A56F396"/>
    <w:lvl w:ilvl="0" w:tplc="67083ED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011C0"/>
    <w:multiLevelType w:val="hybridMultilevel"/>
    <w:tmpl w:val="45E26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191241"/>
    <w:multiLevelType w:val="hybridMultilevel"/>
    <w:tmpl w:val="1D3E2050"/>
    <w:lvl w:ilvl="0" w:tplc="EB861E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6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8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5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34"/>
  </w:num>
  <w:num w:numId="2" w16cid:durableId="1936480031">
    <w:abstractNumId w:val="21"/>
  </w:num>
  <w:num w:numId="3" w16cid:durableId="1967076727">
    <w:abstractNumId w:val="5"/>
  </w:num>
  <w:num w:numId="4" w16cid:durableId="1914076843">
    <w:abstractNumId w:val="20"/>
  </w:num>
  <w:num w:numId="5" w16cid:durableId="879780635">
    <w:abstractNumId w:val="17"/>
  </w:num>
  <w:num w:numId="6" w16cid:durableId="1294748956">
    <w:abstractNumId w:val="19"/>
  </w:num>
  <w:num w:numId="7" w16cid:durableId="718751609">
    <w:abstractNumId w:val="35"/>
  </w:num>
  <w:num w:numId="8" w16cid:durableId="637496220">
    <w:abstractNumId w:val="15"/>
  </w:num>
  <w:num w:numId="9" w16cid:durableId="1048796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33"/>
  </w:num>
  <w:num w:numId="11" w16cid:durableId="1248199222">
    <w:abstractNumId w:val="33"/>
  </w:num>
  <w:num w:numId="12" w16cid:durableId="152256573">
    <w:abstractNumId w:val="3"/>
  </w:num>
  <w:num w:numId="13" w16cid:durableId="1722092777">
    <w:abstractNumId w:val="16"/>
  </w:num>
  <w:num w:numId="14" w16cid:durableId="1545482260">
    <w:abstractNumId w:val="10"/>
  </w:num>
  <w:num w:numId="15" w16cid:durableId="2013138491">
    <w:abstractNumId w:val="7"/>
  </w:num>
  <w:num w:numId="16" w16cid:durableId="371077120">
    <w:abstractNumId w:val="4"/>
  </w:num>
  <w:num w:numId="17" w16cid:durableId="1911619688">
    <w:abstractNumId w:val="32"/>
  </w:num>
  <w:num w:numId="18" w16cid:durableId="1091196196">
    <w:abstractNumId w:val="14"/>
  </w:num>
  <w:num w:numId="19" w16cid:durableId="1605722037">
    <w:abstractNumId w:val="22"/>
  </w:num>
  <w:num w:numId="20" w16cid:durableId="357119980">
    <w:abstractNumId w:val="12"/>
  </w:num>
  <w:num w:numId="21" w16cid:durableId="1369141412">
    <w:abstractNumId w:val="6"/>
  </w:num>
  <w:num w:numId="22" w16cid:durableId="1030909639">
    <w:abstractNumId w:val="27"/>
  </w:num>
  <w:num w:numId="23" w16cid:durableId="325983664">
    <w:abstractNumId w:val="2"/>
  </w:num>
  <w:num w:numId="24" w16cid:durableId="2059359937">
    <w:abstractNumId w:val="23"/>
  </w:num>
  <w:num w:numId="25" w16cid:durableId="346054499">
    <w:abstractNumId w:val="26"/>
  </w:num>
  <w:num w:numId="26" w16cid:durableId="1316908916">
    <w:abstractNumId w:val="31"/>
  </w:num>
  <w:num w:numId="27" w16cid:durableId="44913213">
    <w:abstractNumId w:val="11"/>
  </w:num>
  <w:num w:numId="28" w16cid:durableId="936058746">
    <w:abstractNumId w:val="28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18"/>
  </w:num>
  <w:num w:numId="32" w16cid:durableId="4271649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25"/>
  </w:num>
  <w:num w:numId="37" w16cid:durableId="954412550">
    <w:abstractNumId w:val="8"/>
  </w:num>
  <w:num w:numId="38" w16cid:durableId="11704900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5627F"/>
    <w:rsid w:val="00085D8A"/>
    <w:rsid w:val="000C371A"/>
    <w:rsid w:val="000C5D17"/>
    <w:rsid w:val="000D33C3"/>
    <w:rsid w:val="000D59D2"/>
    <w:rsid w:val="001037AB"/>
    <w:rsid w:val="001B0879"/>
    <w:rsid w:val="001F77E7"/>
    <w:rsid w:val="001F78A5"/>
    <w:rsid w:val="00201412"/>
    <w:rsid w:val="002049B8"/>
    <w:rsid w:val="00224F59"/>
    <w:rsid w:val="00283778"/>
    <w:rsid w:val="00286CD9"/>
    <w:rsid w:val="002874EA"/>
    <w:rsid w:val="00293A2A"/>
    <w:rsid w:val="002A6D75"/>
    <w:rsid w:val="002C234D"/>
    <w:rsid w:val="002E5940"/>
    <w:rsid w:val="002F4E46"/>
    <w:rsid w:val="003000F3"/>
    <w:rsid w:val="00314129"/>
    <w:rsid w:val="00316859"/>
    <w:rsid w:val="00325E29"/>
    <w:rsid w:val="00331D88"/>
    <w:rsid w:val="0038233A"/>
    <w:rsid w:val="00387896"/>
    <w:rsid w:val="003B0D3E"/>
    <w:rsid w:val="003E61D9"/>
    <w:rsid w:val="00430084"/>
    <w:rsid w:val="004774DD"/>
    <w:rsid w:val="00490CE6"/>
    <w:rsid w:val="004C173B"/>
    <w:rsid w:val="004C6059"/>
    <w:rsid w:val="004D2ADD"/>
    <w:rsid w:val="004F7D3D"/>
    <w:rsid w:val="005142BB"/>
    <w:rsid w:val="00521E2B"/>
    <w:rsid w:val="005524F5"/>
    <w:rsid w:val="00552850"/>
    <w:rsid w:val="0058388F"/>
    <w:rsid w:val="005A5543"/>
    <w:rsid w:val="005B2C32"/>
    <w:rsid w:val="005E4EF1"/>
    <w:rsid w:val="005F7D31"/>
    <w:rsid w:val="00603DD9"/>
    <w:rsid w:val="00605848"/>
    <w:rsid w:val="006123E8"/>
    <w:rsid w:val="006422D0"/>
    <w:rsid w:val="00667A66"/>
    <w:rsid w:val="00675D6E"/>
    <w:rsid w:val="00676BFA"/>
    <w:rsid w:val="0069657B"/>
    <w:rsid w:val="006C5324"/>
    <w:rsid w:val="006F1FE2"/>
    <w:rsid w:val="00752CE6"/>
    <w:rsid w:val="0076290B"/>
    <w:rsid w:val="00784C6B"/>
    <w:rsid w:val="007B4BB2"/>
    <w:rsid w:val="007D5D01"/>
    <w:rsid w:val="00803854"/>
    <w:rsid w:val="008447DB"/>
    <w:rsid w:val="00875D44"/>
    <w:rsid w:val="00895B32"/>
    <w:rsid w:val="008B3A66"/>
    <w:rsid w:val="008D6137"/>
    <w:rsid w:val="0092714B"/>
    <w:rsid w:val="00950DFD"/>
    <w:rsid w:val="00955578"/>
    <w:rsid w:val="00967289"/>
    <w:rsid w:val="00973D5F"/>
    <w:rsid w:val="00983F48"/>
    <w:rsid w:val="00996958"/>
    <w:rsid w:val="009A2D25"/>
    <w:rsid w:val="009D6C2B"/>
    <w:rsid w:val="00A01CDE"/>
    <w:rsid w:val="00A11B69"/>
    <w:rsid w:val="00A30161"/>
    <w:rsid w:val="00A4161F"/>
    <w:rsid w:val="00A43969"/>
    <w:rsid w:val="00A64C8F"/>
    <w:rsid w:val="00AA324A"/>
    <w:rsid w:val="00AA326C"/>
    <w:rsid w:val="00AD034D"/>
    <w:rsid w:val="00AF2901"/>
    <w:rsid w:val="00B013A1"/>
    <w:rsid w:val="00B12BE3"/>
    <w:rsid w:val="00B15474"/>
    <w:rsid w:val="00B305D0"/>
    <w:rsid w:val="00B53056"/>
    <w:rsid w:val="00B7642C"/>
    <w:rsid w:val="00BA7B03"/>
    <w:rsid w:val="00BB3942"/>
    <w:rsid w:val="00BD6405"/>
    <w:rsid w:val="00C40C01"/>
    <w:rsid w:val="00C47852"/>
    <w:rsid w:val="00CD0D00"/>
    <w:rsid w:val="00CD0E8C"/>
    <w:rsid w:val="00D132C0"/>
    <w:rsid w:val="00D22CAF"/>
    <w:rsid w:val="00D32CA1"/>
    <w:rsid w:val="00D3631A"/>
    <w:rsid w:val="00D621F4"/>
    <w:rsid w:val="00D65DD7"/>
    <w:rsid w:val="00D80310"/>
    <w:rsid w:val="00D87DB8"/>
    <w:rsid w:val="00DA097A"/>
    <w:rsid w:val="00E02E0C"/>
    <w:rsid w:val="00E245DE"/>
    <w:rsid w:val="00E65C15"/>
    <w:rsid w:val="00E67BA0"/>
    <w:rsid w:val="00E731E5"/>
    <w:rsid w:val="00E73F8A"/>
    <w:rsid w:val="00EA0F03"/>
    <w:rsid w:val="00EA4A9D"/>
    <w:rsid w:val="00EA6D7A"/>
    <w:rsid w:val="00ED1293"/>
    <w:rsid w:val="00EE1F64"/>
    <w:rsid w:val="00EE4E42"/>
    <w:rsid w:val="00F23F0F"/>
    <w:rsid w:val="00F70935"/>
    <w:rsid w:val="00F90866"/>
    <w:rsid w:val="00FA7DFD"/>
    <w:rsid w:val="00FD1072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99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ta.mocek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cek.buksakowski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2176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42</cp:revision>
  <cp:lastPrinted>2022-08-24T06:16:00Z</cp:lastPrinted>
  <dcterms:created xsi:type="dcterms:W3CDTF">2021-06-16T10:59:00Z</dcterms:created>
  <dcterms:modified xsi:type="dcterms:W3CDTF">2022-12-13T08:12:00Z</dcterms:modified>
</cp:coreProperties>
</file>