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>F</w:t>
      </w:r>
      <w:r>
        <w:rPr>
          <w:rFonts w:ascii="Arial" w:hAnsi="Arial"/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Remont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A.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cena za wyremontowanie 1 m² nawierzchni jezdni dla ubytków o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do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B.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ubytków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o powierzchni do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i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głębokości powyżej 4 cm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unnamed16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8" o:allowincell="t" style="width:425pt;height:28.3pt" type="#_x0000_t75"/>
          <w:control r:id="rId10" w:name="unnamed42" w:shapeid="control_shape_8"/>
        </w:objec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.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brutto za wyremontowanie 1 m² nawierzchni jezdni dla 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ubytków o powierzchni powyżej 20 m</w:t>
      </w:r>
      <w:r>
        <w:rPr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vertAlign w:val="superscript"/>
          <w:em w:val="none"/>
          <w:lang w:val="pl-PL"/>
        </w:rPr>
        <w:t>2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9" o:allowincell="t" style="width:168.65pt;height:19.8pt" type="#_x0000_t75"/>
          <w:control r:id="rId11" w:name="unnamed16" w:shapeid="control_shape_9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0" o:allowincell="t" style="width:425pt;height:28.3pt" type="#_x0000_t75"/>
          <w:control r:id="rId12" w:name="unnamed42" w:shapeid="control_shape_10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skrócenie czasu przystąpienia do prac w trybie awaryjnym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Skrócenie czasu przystąpienia do robót w trybie awaryjnym o: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1" o:allowincell="t" style="width:8.4pt;height:12.7pt" type="#_x0000_t75"/>
          <w:control r:id="rId13" w:name="5 godzin" w:shapeid="control_shape_11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5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.4pt;height:12.7pt" type="#_x0000_t75"/>
          <w:control r:id="rId14" w:name="10 godzin" w:shapeid="control_shape_12"/>
        </w:object>
      </w:r>
      <w:r>
        <w:rPr>
          <w:rFonts w:ascii="Arial" w:hAnsi="Arial"/>
          <w:b w:val="false"/>
          <w:bCs w:val="false"/>
          <w:sz w:val="22"/>
          <w:szCs w:val="22"/>
        </w:rPr>
        <w:t>10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3" o:allowincell="t" style="width:8.4pt;height:12.7pt" type="#_x0000_t75"/>
          <w:control r:id="rId15" w:name="15 godzin" w:shapeid="control_shape_13"/>
        </w:object>
      </w:r>
      <w:r>
        <w:rPr>
          <w:rFonts w:ascii="Arial" w:hAnsi="Arial"/>
          <w:b w:val="false"/>
          <w:bCs w:val="false"/>
          <w:sz w:val="22"/>
          <w:szCs w:val="22"/>
        </w:rPr>
        <w:t>15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4" o:allowincell="t" style="width:8.4pt;height:12.7pt" type="#_x0000_t75"/>
          <w:control r:id="rId16" w:name="20 godzin" w:shapeid="control_shape_14"/>
        </w:object>
      </w:r>
      <w:r>
        <w:rPr>
          <w:rFonts w:ascii="Arial" w:hAnsi="Arial"/>
          <w:b w:val="false"/>
          <w:bCs w:val="false"/>
          <w:sz w:val="22"/>
          <w:szCs w:val="22"/>
        </w:rPr>
        <w:t>20 godzin</w:t>
      </w:r>
    </w:p>
    <w:p>
      <w:pPr>
        <w:pStyle w:val="Tretekstu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należy wybrać jedną z 4 opcji i w miejsce </w:t>
      </w: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5" o:allowincell="t" style="width:11.85pt;height:13.45pt" type="#_x0000_t75"/>
          <w:control r:id="rId17" w:name="wstawic znak x" w:shapeid="control_shape_15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wstawić znak „x”)Niewybranie jednej z czterech opcji lub wybranie kilku oznacza, że wykonawca nie proponuje skrócenia czasu przystąpienia do prac w trybie awaryjnym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Wykonawca zrealizuje zamówienie w następujących termin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od dnia podpisania umowy do dnia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31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grudnia 20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2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2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1 lutego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2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481.85pt;height:19.8pt" type="#_x0000_t75"/>
          <w:control r:id="rId18" w:name="unnamed2" w:shapeid="control_shape_16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7" o:allowincell="t" style="width:283.4pt;height:19.8pt" type="#_x0000_t75"/>
          <w:control r:id="rId19" w:name="unnamed3" w:shapeid="control_shape_1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481.85pt;height:19.8pt" type="#_x0000_t75"/>
          <w:control r:id="rId20" w:name="unnamed4" w:shapeid="control_shape_18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9" o:allowincell="t" style="width:70.8pt;height:16.95pt" type="#_x0000_t75"/>
          <w:control r:id="rId21" w:name="unnamed0" w:shapeid="control_shape_19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20" o:allowincell="t" style="width:90.65pt;height:16.95pt" type="#_x0000_t75"/>
          <w:control r:id="rId22" w:name="unnamed7" w:shapeid="control_shape_20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21" o:allowincell="t" style="width:283.4pt;height:19.8pt" type="#_x0000_t75"/>
          <w:control r:id="rId23" w:name="unnamed31" w:shapeid="control_shape_21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4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2" o:allowincell="t" style="width:213.55pt;height:19.8pt" type="#_x0000_t75"/>
          <w:control r:id="rId25" w:name="unnamed21" w:shapeid="control_shape_22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3" o:allowincell="t" style="width:90.8pt;height:19.8pt" type="#_x0000_t75"/>
          <w:control r:id="rId26" w:name="unnamed32" w:shapeid="control_shape_23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ofertowy,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hyperlink" Target="https://platformazakupowa.pl/pn/legionowo" TargetMode="Externa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3</Pages>
  <Words>764</Words>
  <Characters>4838</Characters>
  <CharactersWithSpaces>5537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2021-12-16T10:52:53Z</dcterms:modified>
  <cp:revision>2</cp:revision>
  <dc:subject/>
  <dc:title/>
</cp:coreProperties>
</file>