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5103"/>
      </w:tblGrid>
      <w:tr w:rsidR="000179E9" w14:paraId="5C1AED83" w14:textId="77777777" w:rsidTr="003C4F97">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5103"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3C4F97">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5103"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3C4F97">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5103"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3C4F97">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5103"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3C4F97">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5103"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3C4F97">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5103"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090C4EEB" w:rsidR="000301C4" w:rsidRDefault="00681FCC" w:rsidP="004648E2">
      <w:pPr>
        <w:spacing w:before="80" w:after="24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w:t>
      </w:r>
      <w:r w:rsidR="007665D3">
        <w:rPr>
          <w:rFonts w:ascii="Calibri" w:hAnsi="Calibri" w:cs="Calibri"/>
          <w:sz w:val="24"/>
          <w:szCs w:val="24"/>
        </w:rPr>
        <w:t xml:space="preserve"> Hydrotechniki</w:t>
      </w:r>
      <w:r w:rsidR="00357C33">
        <w:rPr>
          <w:rFonts w:ascii="Calibri" w:hAnsi="Calibri" w:cs="Calibri"/>
          <w:sz w:val="24"/>
          <w:szCs w:val="24"/>
        </w:rPr>
        <w:t xml:space="preserve">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DC42D5">
        <w:rPr>
          <w:rFonts w:ascii="Calibri" w:hAnsi="Calibri" w:cs="Calibri"/>
          <w:b/>
          <w:sz w:val="24"/>
          <w:szCs w:val="24"/>
        </w:rPr>
        <w:t>i montaż symulatora LAF</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F7016F" w:rsidRPr="00F7016F">
        <w:rPr>
          <w:rFonts w:ascii="Calibri" w:hAnsi="Calibri" w:cs="Calibri"/>
          <w:b/>
          <w:sz w:val="24"/>
          <w:szCs w:val="24"/>
        </w:rPr>
        <w:t>ZP/WIBHiIŚ/</w:t>
      </w:r>
      <w:r w:rsidR="00DC42D5">
        <w:rPr>
          <w:rFonts w:ascii="Calibri" w:hAnsi="Calibri" w:cs="Calibri"/>
          <w:b/>
          <w:sz w:val="24"/>
          <w:szCs w:val="24"/>
        </w:rPr>
        <w:t>08</w:t>
      </w:r>
      <w:r w:rsidR="00F7016F" w:rsidRPr="00F7016F">
        <w:rPr>
          <w:rFonts w:ascii="Calibri" w:hAnsi="Calibri" w:cs="Calibri"/>
          <w:b/>
          <w:sz w:val="24"/>
          <w:szCs w:val="24"/>
        </w:rPr>
        <w:t>/202</w:t>
      </w:r>
      <w:r w:rsidR="00DC42D5">
        <w:rPr>
          <w:rFonts w:ascii="Calibri" w:hAnsi="Calibri" w:cs="Calibri"/>
          <w:b/>
          <w:sz w:val="24"/>
          <w:szCs w:val="24"/>
        </w:rPr>
        <w:t>3</w:t>
      </w:r>
      <w:r w:rsidR="00F7016F" w:rsidRPr="00F7016F">
        <w:rPr>
          <w:rFonts w:ascii="Calibri" w:hAnsi="Calibri" w:cs="Calibri"/>
          <w:b/>
          <w:sz w:val="24"/>
          <w:szCs w:val="24"/>
        </w:rPr>
        <w:t>/N</w:t>
      </w:r>
      <w:r w:rsidR="009D3F32">
        <w:rPr>
          <w:rFonts w:ascii="Calibri" w:hAnsi="Calibri" w:cs="Calibri"/>
          <w:b/>
          <w:sz w:val="24"/>
          <w:szCs w:val="24"/>
        </w:rPr>
        <w:t xml:space="preserve"> </w:t>
      </w:r>
      <w:r w:rsidRPr="00681FCC">
        <w:rPr>
          <w:rFonts w:ascii="Calibri" w:hAnsi="Calibri" w:cs="Calibri"/>
          <w:sz w:val="24"/>
          <w:szCs w:val="24"/>
        </w:rPr>
        <w:t xml:space="preserve">prowadzone w </w:t>
      </w:r>
      <w:r w:rsidR="00F7016F">
        <w:rPr>
          <w:rFonts w:ascii="Calibri" w:hAnsi="Calibri" w:cs="Calibri"/>
          <w:sz w:val="24"/>
          <w:szCs w:val="24"/>
        </w:rPr>
        <w:t>p</w:t>
      </w:r>
      <w:r w:rsidR="00F7016F" w:rsidRPr="00F7016F">
        <w:rPr>
          <w:rFonts w:ascii="Calibri" w:hAnsi="Calibri" w:cs="Calibri"/>
          <w:sz w:val="24"/>
          <w:szCs w:val="24"/>
        </w:rPr>
        <w:t>rocedur</w:t>
      </w:r>
      <w:r w:rsidR="00F7016F">
        <w:rPr>
          <w:rFonts w:ascii="Calibri" w:hAnsi="Calibri" w:cs="Calibri"/>
          <w:sz w:val="24"/>
          <w:szCs w:val="24"/>
        </w:rPr>
        <w:t>ze</w:t>
      </w:r>
      <w:r w:rsidR="00F7016F" w:rsidRPr="00F7016F">
        <w:rPr>
          <w:rFonts w:ascii="Calibri" w:hAnsi="Calibri" w:cs="Calibri"/>
          <w:sz w:val="24"/>
          <w:szCs w:val="24"/>
        </w:rPr>
        <w:t xml:space="preserve"> otwart</w:t>
      </w:r>
      <w:r w:rsidR="00F7016F">
        <w:rPr>
          <w:rFonts w:ascii="Calibri" w:hAnsi="Calibri" w:cs="Calibri"/>
          <w:sz w:val="24"/>
          <w:szCs w:val="24"/>
        </w:rPr>
        <w:t>ej</w:t>
      </w:r>
      <w:r w:rsidR="00F7016F" w:rsidRPr="00F7016F">
        <w:rPr>
          <w:rFonts w:ascii="Calibri" w:hAnsi="Calibri" w:cs="Calibri"/>
          <w:sz w:val="24"/>
          <w:szCs w:val="24"/>
        </w:rPr>
        <w:t xml:space="preserve"> bez</w:t>
      </w:r>
      <w:r w:rsidR="007665D3">
        <w:rPr>
          <w:rFonts w:ascii="Calibri" w:hAnsi="Calibri" w:cs="Calibri"/>
          <w:sz w:val="24"/>
          <w:szCs w:val="24"/>
        </w:rPr>
        <w:t> </w:t>
      </w:r>
      <w:r w:rsidR="00F7016F" w:rsidRPr="00F7016F">
        <w:rPr>
          <w:rFonts w:ascii="Calibri" w:hAnsi="Calibri" w:cs="Calibri"/>
          <w:sz w:val="24"/>
          <w:szCs w:val="24"/>
        </w:rPr>
        <w:t>stosowania przepisów ustawy z dnia 11września 2019 r. Prawo zamówień publicznych (Dz.U. z 202</w:t>
      </w:r>
      <w:r w:rsidR="007665D3">
        <w:rPr>
          <w:rFonts w:ascii="Calibri" w:hAnsi="Calibri" w:cs="Calibri"/>
          <w:sz w:val="24"/>
          <w:szCs w:val="24"/>
        </w:rPr>
        <w:t>2</w:t>
      </w:r>
      <w:r w:rsidR="00F7016F" w:rsidRPr="00F7016F">
        <w:rPr>
          <w:rFonts w:ascii="Calibri" w:hAnsi="Calibri" w:cs="Calibri"/>
          <w:sz w:val="24"/>
          <w:szCs w:val="24"/>
        </w:rPr>
        <w:t xml:space="preserve"> r. poz. 1</w:t>
      </w:r>
      <w:r w:rsidR="007665D3">
        <w:rPr>
          <w:rFonts w:ascii="Calibri" w:hAnsi="Calibri" w:cs="Calibri"/>
          <w:sz w:val="24"/>
          <w:szCs w:val="24"/>
        </w:rPr>
        <w:t>710</w:t>
      </w:r>
      <w:r w:rsidR="00F7016F" w:rsidRPr="00F7016F">
        <w:rPr>
          <w:rFonts w:ascii="Calibri" w:hAnsi="Calibri" w:cs="Calibri"/>
          <w:sz w:val="24"/>
          <w:szCs w:val="24"/>
        </w:rPr>
        <w:t xml:space="preserve"> z </w:t>
      </w:r>
      <w:proofErr w:type="spellStart"/>
      <w:r w:rsidR="00F7016F" w:rsidRPr="00F7016F">
        <w:rPr>
          <w:rFonts w:ascii="Calibri" w:hAnsi="Calibri" w:cs="Calibri"/>
          <w:sz w:val="24"/>
          <w:szCs w:val="24"/>
        </w:rPr>
        <w:t>późn</w:t>
      </w:r>
      <w:proofErr w:type="spellEnd"/>
      <w:r w:rsidR="00F7016F" w:rsidRPr="00F7016F">
        <w:rPr>
          <w:rFonts w:ascii="Calibri" w:hAnsi="Calibri" w:cs="Calibri"/>
          <w:sz w:val="24"/>
          <w:szCs w:val="24"/>
        </w:rPr>
        <w:t xml:space="preserve">. zm.), zwanej dalej </w:t>
      </w:r>
      <w:proofErr w:type="spellStart"/>
      <w:r w:rsidR="00F7016F" w:rsidRPr="00F7016F">
        <w:rPr>
          <w:rFonts w:ascii="Calibri" w:hAnsi="Calibri" w:cs="Calibri"/>
          <w:sz w:val="24"/>
          <w:szCs w:val="24"/>
        </w:rPr>
        <w:t>Pzp</w:t>
      </w:r>
      <w:proofErr w:type="spellEnd"/>
      <w:r w:rsidR="00F7016F" w:rsidRPr="00F7016F">
        <w:rPr>
          <w:rFonts w:ascii="Calibri" w:hAnsi="Calibri" w:cs="Calibri"/>
          <w:sz w:val="24"/>
          <w:szCs w:val="24"/>
        </w:rPr>
        <w:t xml:space="preserve">, na podstawie art. 11 ust. 5 pkt. 1 </w:t>
      </w:r>
      <w:proofErr w:type="spellStart"/>
      <w:r w:rsidR="00F7016F" w:rsidRPr="00F7016F">
        <w:rPr>
          <w:rFonts w:ascii="Calibri" w:hAnsi="Calibri" w:cs="Calibri"/>
          <w:sz w:val="24"/>
          <w:szCs w:val="24"/>
        </w:rPr>
        <w:t>Pzp</w:t>
      </w:r>
      <w:proofErr w:type="spellEnd"/>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w:t>
      </w:r>
      <w:r w:rsidR="00536F11">
        <w:rPr>
          <w:rFonts w:ascii="Calibri" w:hAnsi="Calibri" w:cs="Calibri"/>
          <w:sz w:val="24"/>
          <w:szCs w:val="24"/>
        </w:rPr>
        <w:t xml:space="preserve">w </w:t>
      </w:r>
      <w:r w:rsidR="00F7016F">
        <w:rPr>
          <w:rFonts w:ascii="Calibri" w:hAnsi="Calibri" w:cs="Calibri"/>
          <w:sz w:val="24"/>
          <w:szCs w:val="24"/>
        </w:rPr>
        <w:t>zaproszeniu do składania ofert</w:t>
      </w:r>
      <w:r w:rsidRPr="00681FCC">
        <w:rPr>
          <w:rFonts w:ascii="Calibri" w:hAnsi="Calibri" w:cs="Calibri"/>
          <w:sz w:val="24"/>
          <w:szCs w:val="24"/>
        </w:rPr>
        <w:t xml:space="preserve"> wraz z załącznikami</w:t>
      </w:r>
      <w:r>
        <w:rPr>
          <w:rFonts w:ascii="Calibri" w:hAnsi="Calibri" w:cs="Calibri"/>
          <w:sz w:val="24"/>
          <w:szCs w:val="24"/>
        </w:rPr>
        <w:t>:</w:t>
      </w:r>
    </w:p>
    <w:tbl>
      <w:tblPr>
        <w:tblStyle w:val="Tabela-Siatka"/>
        <w:tblW w:w="0" w:type="auto"/>
        <w:tblInd w:w="5" w:type="dxa"/>
        <w:tblLook w:val="04A0" w:firstRow="1" w:lastRow="0" w:firstColumn="1" w:lastColumn="0" w:noHBand="0" w:noVBand="1"/>
      </w:tblPr>
      <w:tblGrid>
        <w:gridCol w:w="4531"/>
        <w:gridCol w:w="4531"/>
      </w:tblGrid>
      <w:tr w:rsidR="00E2583C" w14:paraId="2DBBEF61" w14:textId="77777777" w:rsidTr="00D41DC2">
        <w:tc>
          <w:tcPr>
            <w:tcW w:w="4531" w:type="dxa"/>
            <w:tcBorders>
              <w:left w:val="nil"/>
            </w:tcBorders>
          </w:tcPr>
          <w:p w14:paraId="79E3B2A5" w14:textId="0A9DC2BE"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Wartość netto (PLN):</w:t>
            </w:r>
          </w:p>
        </w:tc>
        <w:tc>
          <w:tcPr>
            <w:tcW w:w="4531" w:type="dxa"/>
            <w:tcBorders>
              <w:right w:val="nil"/>
            </w:tcBorders>
          </w:tcPr>
          <w:p w14:paraId="2F496532" w14:textId="77777777" w:rsidR="00E2583C" w:rsidRDefault="00E2583C" w:rsidP="00D41DC2">
            <w:pPr>
              <w:spacing w:before="80"/>
              <w:rPr>
                <w:rFonts w:ascii="Calibri" w:hAnsi="Calibri" w:cs="Calibri"/>
                <w:sz w:val="24"/>
                <w:szCs w:val="24"/>
              </w:rPr>
            </w:pPr>
          </w:p>
        </w:tc>
      </w:tr>
      <w:tr w:rsidR="00E2583C" w14:paraId="31C20B46" w14:textId="77777777" w:rsidTr="00D41DC2">
        <w:tc>
          <w:tcPr>
            <w:tcW w:w="4531" w:type="dxa"/>
            <w:tcBorders>
              <w:left w:val="nil"/>
            </w:tcBorders>
          </w:tcPr>
          <w:p w14:paraId="1DDB2944" w14:textId="57EEC1F6"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Słownie wartość netto:</w:t>
            </w:r>
          </w:p>
        </w:tc>
        <w:tc>
          <w:tcPr>
            <w:tcW w:w="4531" w:type="dxa"/>
            <w:tcBorders>
              <w:right w:val="nil"/>
            </w:tcBorders>
          </w:tcPr>
          <w:p w14:paraId="7BCAE50D" w14:textId="77777777" w:rsidR="00E2583C" w:rsidRDefault="00E2583C" w:rsidP="00D41DC2">
            <w:pPr>
              <w:spacing w:before="80"/>
              <w:rPr>
                <w:rFonts w:ascii="Calibri" w:hAnsi="Calibri" w:cs="Calibri"/>
                <w:sz w:val="24"/>
                <w:szCs w:val="24"/>
              </w:rPr>
            </w:pPr>
          </w:p>
        </w:tc>
      </w:tr>
      <w:tr w:rsidR="00E2583C" w14:paraId="52D9D873" w14:textId="77777777" w:rsidTr="00D41DC2">
        <w:tc>
          <w:tcPr>
            <w:tcW w:w="4531" w:type="dxa"/>
            <w:tcBorders>
              <w:left w:val="nil"/>
            </w:tcBorders>
          </w:tcPr>
          <w:p w14:paraId="7C375777" w14:textId="77777777"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Stawka podatku VAT (%)</w:t>
            </w:r>
          </w:p>
        </w:tc>
        <w:tc>
          <w:tcPr>
            <w:tcW w:w="4531" w:type="dxa"/>
            <w:tcBorders>
              <w:right w:val="nil"/>
            </w:tcBorders>
          </w:tcPr>
          <w:p w14:paraId="722364AB" w14:textId="77777777" w:rsidR="00E2583C" w:rsidRDefault="00E2583C" w:rsidP="00D41DC2">
            <w:pPr>
              <w:spacing w:before="80"/>
              <w:rPr>
                <w:rFonts w:ascii="Calibri" w:hAnsi="Calibri" w:cs="Calibri"/>
                <w:sz w:val="24"/>
                <w:szCs w:val="24"/>
              </w:rPr>
            </w:pPr>
          </w:p>
        </w:tc>
      </w:tr>
      <w:tr w:rsidR="00E2583C" w14:paraId="42D95FBF" w14:textId="77777777" w:rsidTr="00D41DC2">
        <w:tc>
          <w:tcPr>
            <w:tcW w:w="4531" w:type="dxa"/>
            <w:tcBorders>
              <w:left w:val="nil"/>
            </w:tcBorders>
          </w:tcPr>
          <w:p w14:paraId="1E370A74" w14:textId="1BB0E4F4"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Kwota podatku VAT (PLN)</w:t>
            </w:r>
            <w:r w:rsidR="007665D3" w:rsidRPr="00EF1AA3">
              <w:rPr>
                <w:rFonts w:ascii="Calibri" w:hAnsi="Calibri" w:cs="Calibri"/>
                <w:sz w:val="24"/>
                <w:szCs w:val="24"/>
              </w:rPr>
              <w:t>:</w:t>
            </w:r>
          </w:p>
        </w:tc>
        <w:tc>
          <w:tcPr>
            <w:tcW w:w="4531" w:type="dxa"/>
            <w:tcBorders>
              <w:right w:val="nil"/>
            </w:tcBorders>
          </w:tcPr>
          <w:p w14:paraId="4098D969" w14:textId="77777777" w:rsidR="00E2583C" w:rsidRDefault="00E2583C" w:rsidP="00D41DC2">
            <w:pPr>
              <w:spacing w:before="80"/>
              <w:rPr>
                <w:rFonts w:ascii="Calibri" w:hAnsi="Calibri" w:cs="Calibri"/>
                <w:sz w:val="24"/>
                <w:szCs w:val="24"/>
              </w:rPr>
            </w:pPr>
          </w:p>
        </w:tc>
      </w:tr>
      <w:tr w:rsidR="00E2583C" w14:paraId="33C49216" w14:textId="77777777" w:rsidTr="00D41DC2">
        <w:tc>
          <w:tcPr>
            <w:tcW w:w="4531" w:type="dxa"/>
            <w:tcBorders>
              <w:left w:val="nil"/>
            </w:tcBorders>
          </w:tcPr>
          <w:p w14:paraId="4D2D4910" w14:textId="24934830"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Słownie kwota podatku VAT:</w:t>
            </w:r>
          </w:p>
        </w:tc>
        <w:tc>
          <w:tcPr>
            <w:tcW w:w="4531" w:type="dxa"/>
            <w:tcBorders>
              <w:right w:val="nil"/>
            </w:tcBorders>
          </w:tcPr>
          <w:p w14:paraId="5D58D3DC" w14:textId="77777777" w:rsidR="00E2583C" w:rsidRDefault="00E2583C" w:rsidP="00D41DC2">
            <w:pPr>
              <w:spacing w:before="80"/>
              <w:rPr>
                <w:rFonts w:ascii="Calibri" w:hAnsi="Calibri" w:cs="Calibri"/>
                <w:sz w:val="24"/>
                <w:szCs w:val="24"/>
              </w:rPr>
            </w:pPr>
          </w:p>
        </w:tc>
      </w:tr>
      <w:tr w:rsidR="00E2583C" w14:paraId="231AB7AF" w14:textId="77777777" w:rsidTr="00D41DC2">
        <w:tc>
          <w:tcPr>
            <w:tcW w:w="4531" w:type="dxa"/>
            <w:tcBorders>
              <w:left w:val="nil"/>
            </w:tcBorders>
          </w:tcPr>
          <w:p w14:paraId="0A519603" w14:textId="15C406C1" w:rsidR="00E2583C" w:rsidRPr="004648E2" w:rsidRDefault="00E2583C" w:rsidP="00D41DC2">
            <w:pPr>
              <w:spacing w:before="80"/>
              <w:jc w:val="right"/>
              <w:rPr>
                <w:rFonts w:ascii="Calibri" w:hAnsi="Calibri" w:cs="Calibri"/>
                <w:b/>
                <w:bCs/>
                <w:sz w:val="24"/>
                <w:szCs w:val="24"/>
              </w:rPr>
            </w:pPr>
            <w:r>
              <w:rPr>
                <w:rFonts w:ascii="Calibri" w:hAnsi="Calibri" w:cs="Calibri"/>
                <w:b/>
                <w:bCs/>
                <w:sz w:val="24"/>
                <w:szCs w:val="24"/>
              </w:rPr>
              <w:t>Cena brutto</w:t>
            </w:r>
            <w:r w:rsidRPr="004648E2">
              <w:rPr>
                <w:rFonts w:ascii="Calibri" w:hAnsi="Calibri" w:cs="Calibri"/>
                <w:b/>
                <w:bCs/>
                <w:sz w:val="24"/>
                <w:szCs w:val="24"/>
              </w:rPr>
              <w:t xml:space="preserve"> </w:t>
            </w:r>
            <w:r>
              <w:rPr>
                <w:rFonts w:ascii="Calibri" w:hAnsi="Calibri" w:cs="Calibri"/>
                <w:b/>
                <w:bCs/>
                <w:sz w:val="24"/>
                <w:szCs w:val="24"/>
              </w:rPr>
              <w:t>(PLN)</w:t>
            </w:r>
            <w:r w:rsidRPr="004648E2">
              <w:rPr>
                <w:rFonts w:ascii="Calibri" w:hAnsi="Calibri" w:cs="Calibri"/>
                <w:b/>
                <w:bCs/>
                <w:sz w:val="24"/>
                <w:szCs w:val="24"/>
              </w:rPr>
              <w:t>:</w:t>
            </w:r>
          </w:p>
        </w:tc>
        <w:tc>
          <w:tcPr>
            <w:tcW w:w="4531" w:type="dxa"/>
            <w:tcBorders>
              <w:right w:val="nil"/>
            </w:tcBorders>
          </w:tcPr>
          <w:p w14:paraId="76F4A995" w14:textId="77777777" w:rsidR="00E2583C" w:rsidRDefault="00E2583C" w:rsidP="00D41DC2">
            <w:pPr>
              <w:spacing w:before="80"/>
              <w:rPr>
                <w:rFonts w:ascii="Calibri" w:hAnsi="Calibri" w:cs="Calibri"/>
                <w:sz w:val="24"/>
                <w:szCs w:val="24"/>
              </w:rPr>
            </w:pPr>
          </w:p>
        </w:tc>
      </w:tr>
      <w:tr w:rsidR="00E2583C" w14:paraId="4943C7B1" w14:textId="77777777" w:rsidTr="00D41DC2">
        <w:tc>
          <w:tcPr>
            <w:tcW w:w="4531" w:type="dxa"/>
            <w:tcBorders>
              <w:left w:val="nil"/>
            </w:tcBorders>
          </w:tcPr>
          <w:p w14:paraId="53058678" w14:textId="62AD36CC" w:rsidR="00E2583C" w:rsidRPr="00EF1AA3" w:rsidRDefault="00E2583C" w:rsidP="00D41DC2">
            <w:pPr>
              <w:spacing w:before="80"/>
              <w:jc w:val="right"/>
              <w:rPr>
                <w:rFonts w:ascii="Calibri" w:hAnsi="Calibri" w:cs="Calibri"/>
                <w:b/>
                <w:bCs/>
                <w:sz w:val="24"/>
                <w:szCs w:val="24"/>
              </w:rPr>
            </w:pPr>
            <w:r w:rsidRPr="00EF1AA3">
              <w:rPr>
                <w:rFonts w:ascii="Calibri" w:hAnsi="Calibri" w:cs="Calibri"/>
                <w:b/>
                <w:bCs/>
                <w:sz w:val="24"/>
                <w:szCs w:val="24"/>
              </w:rPr>
              <w:t>Słownie cena brutto:</w:t>
            </w:r>
          </w:p>
        </w:tc>
        <w:tc>
          <w:tcPr>
            <w:tcW w:w="4531" w:type="dxa"/>
            <w:tcBorders>
              <w:right w:val="nil"/>
            </w:tcBorders>
          </w:tcPr>
          <w:p w14:paraId="160497E4" w14:textId="77777777" w:rsidR="00E2583C" w:rsidRDefault="00E2583C" w:rsidP="00D41DC2">
            <w:pPr>
              <w:spacing w:before="80"/>
              <w:rPr>
                <w:rFonts w:ascii="Calibri" w:hAnsi="Calibri" w:cs="Calibri"/>
                <w:sz w:val="24"/>
                <w:szCs w:val="24"/>
              </w:rPr>
            </w:pPr>
          </w:p>
        </w:tc>
      </w:tr>
    </w:tbl>
    <w:p w14:paraId="078C0334" w14:textId="77777777" w:rsidR="00540198" w:rsidRPr="00D96648" w:rsidRDefault="00540198" w:rsidP="00540198">
      <w:pPr>
        <w:numPr>
          <w:ilvl w:val="0"/>
          <w:numId w:val="4"/>
        </w:numPr>
        <w:tabs>
          <w:tab w:val="left" w:pos="0"/>
        </w:tabs>
        <w:spacing w:before="8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03D60F90"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w:t>
      </w:r>
      <w:r w:rsidR="00000C50">
        <w:rPr>
          <w:rFonts w:ascii="Calibri" w:hAnsi="Calibri" w:cs="Calibri"/>
          <w:b/>
          <w:sz w:val="24"/>
          <w:szCs w:val="24"/>
        </w:rPr>
        <w:t>ciągu</w:t>
      </w:r>
      <w:r w:rsidR="00911918">
        <w:rPr>
          <w:rFonts w:ascii="Calibri" w:hAnsi="Calibri" w:cs="Calibri"/>
          <w:b/>
          <w:sz w:val="24"/>
          <w:szCs w:val="24"/>
        </w:rPr>
        <w:t xml:space="preserve"> </w:t>
      </w:r>
      <w:r w:rsidR="00536F11">
        <w:rPr>
          <w:rFonts w:ascii="Calibri" w:hAnsi="Calibri" w:cs="Calibri"/>
          <w:b/>
          <w:sz w:val="24"/>
          <w:szCs w:val="24"/>
        </w:rPr>
        <w:t>60</w:t>
      </w:r>
      <w:r w:rsidR="00000C50">
        <w:rPr>
          <w:rFonts w:ascii="Calibri" w:hAnsi="Calibri" w:cs="Calibri"/>
          <w:b/>
          <w:sz w:val="24"/>
          <w:szCs w:val="24"/>
        </w:rPr>
        <w:t xml:space="preserve"> </w:t>
      </w:r>
      <w:r w:rsidR="00536F11">
        <w:rPr>
          <w:rFonts w:ascii="Calibri" w:hAnsi="Calibri" w:cs="Calibri"/>
          <w:b/>
          <w:sz w:val="24"/>
          <w:szCs w:val="24"/>
        </w:rPr>
        <w:t>dni</w:t>
      </w:r>
      <w:r w:rsidRPr="000D5877">
        <w:rPr>
          <w:rFonts w:ascii="Calibri" w:hAnsi="Calibri" w:cs="Calibri"/>
          <w:b/>
          <w:sz w:val="24"/>
          <w:szCs w:val="24"/>
        </w:rPr>
        <w:t xml:space="preserve">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59495089"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w:t>
      </w:r>
      <w:r w:rsidR="00F7016F">
        <w:rPr>
          <w:rFonts w:ascii="Calibri" w:hAnsi="Calibri" w:cs="Calibri"/>
          <w:sz w:val="24"/>
          <w:szCs w:val="24"/>
        </w:rPr>
        <w:t xml:space="preserve"> zaproszeniem do składania ofert</w:t>
      </w:r>
      <w:r w:rsidRPr="00D96648">
        <w:rPr>
          <w:rFonts w:ascii="Calibri" w:hAnsi="Calibri" w:cs="Calibri"/>
          <w:sz w:val="24"/>
          <w:szCs w:val="24"/>
        </w:rPr>
        <w:t xml:space="preserve"> (w tym ze wzorem umowy) i nie wnosimy do nie</w:t>
      </w:r>
      <w:r w:rsidR="00A2634F">
        <w:rPr>
          <w:rFonts w:ascii="Calibri" w:hAnsi="Calibri" w:cs="Calibri"/>
          <w:sz w:val="24"/>
          <w:szCs w:val="24"/>
        </w:rPr>
        <w:t>go</w:t>
      </w:r>
      <w:r w:rsidRPr="00D96648">
        <w:rPr>
          <w:rFonts w:ascii="Calibri" w:hAnsi="Calibri" w:cs="Calibri"/>
          <w:sz w:val="24"/>
          <w:szCs w:val="24"/>
        </w:rPr>
        <w:t xml:space="preserve"> zastrzeżeń oraz przyjmujemy warunki w ni</w:t>
      </w:r>
      <w:r w:rsidR="00A2634F">
        <w:rPr>
          <w:rFonts w:ascii="Calibri" w:hAnsi="Calibri" w:cs="Calibri"/>
          <w:sz w:val="24"/>
          <w:szCs w:val="24"/>
        </w:rPr>
        <w:t>m</w:t>
      </w:r>
      <w:r w:rsidRPr="00D96648">
        <w:rPr>
          <w:rFonts w:ascii="Calibri" w:hAnsi="Calibri" w:cs="Calibri"/>
          <w:sz w:val="24"/>
          <w:szCs w:val="24"/>
        </w:rPr>
        <w:t xml:space="preserve"> zawarte.</w:t>
      </w:r>
    </w:p>
    <w:p w14:paraId="61470425" w14:textId="081EDBC2"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 xml:space="preserve">Uważamy się za związanych niniejszą ofertą </w:t>
      </w:r>
      <w:r w:rsidR="00A2634F">
        <w:rPr>
          <w:rFonts w:ascii="Calibri" w:hAnsi="Calibri" w:cs="Calibri"/>
          <w:sz w:val="24"/>
          <w:szCs w:val="24"/>
        </w:rPr>
        <w:t>przez 30 dni od upływu terminu składania ofert</w:t>
      </w:r>
      <w:r w:rsidRPr="00D96648">
        <w:rPr>
          <w:rFonts w:ascii="Calibri" w:hAnsi="Calibri" w:cs="Calibri"/>
          <w:sz w:val="24"/>
          <w:szCs w:val="24"/>
        </w:rPr>
        <w:t>.</w:t>
      </w:r>
    </w:p>
    <w:p w14:paraId="7C76F945" w14:textId="77777777" w:rsidR="00651B3C"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51EAFA02" w14:textId="66A19302" w:rsidR="003C4F97" w:rsidRPr="00D44FF6" w:rsidRDefault="003C4F97" w:rsidP="003C4F97">
      <w:pPr>
        <w:pStyle w:val="Akapitzlist"/>
        <w:numPr>
          <w:ilvl w:val="0"/>
          <w:numId w:val="4"/>
        </w:numPr>
        <w:spacing w:before="80" w:after="120"/>
        <w:ind w:left="363" w:hanging="357"/>
        <w:contextualSpacing w:val="0"/>
        <w:jc w:val="both"/>
        <w:rPr>
          <w:rFonts w:ascii="Calibri" w:hAnsi="Calibri" w:cs="Calibri"/>
          <w:sz w:val="24"/>
          <w:szCs w:val="24"/>
        </w:rPr>
      </w:pPr>
      <w:r w:rsidRPr="003C4F97">
        <w:rPr>
          <w:rFonts w:ascii="Calibri" w:hAnsi="Calibri" w:cs="Calibri"/>
          <w:sz w:val="24"/>
          <w:szCs w:val="24"/>
        </w:rPr>
        <w:t>Oświadcz</w:t>
      </w:r>
      <w:r w:rsidRPr="00D44FF6">
        <w:rPr>
          <w:rFonts w:ascii="Calibri" w:hAnsi="Calibri" w:cs="Calibri"/>
          <w:sz w:val="24"/>
          <w:szCs w:val="24"/>
        </w:rPr>
        <w:t xml:space="preserve">amy, że w okresie ostatnich trzech lat przed upływem terminu składania ofert wykonałem w sposób należyty </w:t>
      </w:r>
      <w:r w:rsidRPr="00D44FF6">
        <w:rPr>
          <w:rFonts w:ascii="Calibri" w:hAnsi="Calibri" w:cs="Calibri"/>
          <w:b/>
          <w:bCs/>
          <w:sz w:val="24"/>
          <w:szCs w:val="24"/>
        </w:rPr>
        <w:t>następujące</w:t>
      </w:r>
      <w:r w:rsidRPr="00D44FF6">
        <w:rPr>
          <w:rFonts w:ascii="Calibri" w:hAnsi="Calibri" w:cs="Calibri"/>
          <w:sz w:val="24"/>
          <w:szCs w:val="24"/>
        </w:rPr>
        <w:t xml:space="preserve"> zamówienia polegające na wykonaniu </w:t>
      </w:r>
      <w:r w:rsidR="00102984" w:rsidRPr="00D44FF6">
        <w:rPr>
          <w:rFonts w:ascii="Calibri" w:hAnsi="Calibri" w:cs="Calibri"/>
          <w:sz w:val="24"/>
          <w:szCs w:val="24"/>
        </w:rPr>
        <w:t>symulatora sali operacyjnej zawierającego system LAF</w:t>
      </w:r>
      <w:r w:rsidRPr="00D44FF6">
        <w:rPr>
          <w:rFonts w:ascii="Calibri" w:hAnsi="Calibri" w:cs="Calibri"/>
          <w:sz w:val="24"/>
          <w:szCs w:val="24"/>
        </w:rPr>
        <w:t xml:space="preserve"> wraz z wyposażeniem:</w:t>
      </w:r>
    </w:p>
    <w:p w14:paraId="7F6E7D86" w14:textId="77777777" w:rsidR="003C4F97" w:rsidRPr="003C4F97" w:rsidRDefault="003C4F97" w:rsidP="003C4F97">
      <w:pPr>
        <w:spacing w:before="80" w:after="120"/>
        <w:ind w:left="6"/>
        <w:jc w:val="both"/>
        <w:rPr>
          <w:rFonts w:ascii="Calibri" w:hAnsi="Calibri" w:cs="Calibri"/>
          <w:sz w:val="24"/>
          <w:szCs w:val="24"/>
        </w:rPr>
      </w:pPr>
    </w:p>
    <w:tbl>
      <w:tblPr>
        <w:tblW w:w="85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36"/>
        <w:gridCol w:w="1560"/>
        <w:gridCol w:w="1699"/>
        <w:gridCol w:w="2143"/>
      </w:tblGrid>
      <w:tr w:rsidR="003C4F97" w:rsidRPr="003C4F97" w14:paraId="50C87CD4" w14:textId="77777777" w:rsidTr="003C4F97">
        <w:trPr>
          <w:cantSplit/>
        </w:trPr>
        <w:tc>
          <w:tcPr>
            <w:tcW w:w="505" w:type="dxa"/>
            <w:shd w:val="clear" w:color="auto" w:fill="auto"/>
            <w:vAlign w:val="center"/>
          </w:tcPr>
          <w:p w14:paraId="4587A6D9" w14:textId="77777777" w:rsidR="003C4F97" w:rsidRPr="003C4F97" w:rsidRDefault="003C4F97" w:rsidP="00E66C88">
            <w:pPr>
              <w:jc w:val="center"/>
              <w:rPr>
                <w:rFonts w:asciiTheme="minorHAnsi" w:eastAsia="Times New Roman" w:hAnsiTheme="minorHAnsi" w:cstheme="minorHAnsi"/>
                <w:b/>
                <w:lang w:eastAsia="pl-PL"/>
              </w:rPr>
            </w:pPr>
            <w:r w:rsidRPr="003C4F97">
              <w:rPr>
                <w:rFonts w:asciiTheme="minorHAnsi" w:eastAsia="Times New Roman" w:hAnsiTheme="minorHAnsi" w:cstheme="minorHAnsi"/>
                <w:b/>
                <w:lang w:eastAsia="pl-PL"/>
              </w:rPr>
              <w:lastRenderedPageBreak/>
              <w:t>lp.</w:t>
            </w:r>
          </w:p>
        </w:tc>
        <w:tc>
          <w:tcPr>
            <w:tcW w:w="2636" w:type="dxa"/>
            <w:shd w:val="clear" w:color="auto" w:fill="auto"/>
            <w:vAlign w:val="center"/>
          </w:tcPr>
          <w:p w14:paraId="0018B2F9" w14:textId="3EAE3DF5" w:rsidR="003C4F97" w:rsidRPr="003C4F97" w:rsidRDefault="003C4F97" w:rsidP="00E66C88">
            <w:pPr>
              <w:jc w:val="center"/>
              <w:rPr>
                <w:rFonts w:asciiTheme="minorHAnsi" w:eastAsia="Times New Roman" w:hAnsiTheme="minorHAnsi" w:cstheme="minorHAnsi"/>
                <w:b/>
                <w:lang w:eastAsia="pl-PL"/>
              </w:rPr>
            </w:pPr>
            <w:r w:rsidRPr="003C4F97">
              <w:rPr>
                <w:rFonts w:asciiTheme="minorHAnsi" w:eastAsia="Times New Roman" w:hAnsiTheme="minorHAnsi" w:cstheme="minorHAnsi"/>
                <w:b/>
                <w:lang w:eastAsia="pl-PL"/>
              </w:rPr>
              <w:t>Przedm</w:t>
            </w:r>
            <w:r>
              <w:rPr>
                <w:rFonts w:asciiTheme="minorHAnsi" w:eastAsia="Times New Roman" w:hAnsiTheme="minorHAnsi" w:cstheme="minorHAnsi"/>
                <w:b/>
                <w:lang w:eastAsia="pl-PL"/>
              </w:rPr>
              <w:t>iot zamówienia</w:t>
            </w:r>
          </w:p>
        </w:tc>
        <w:tc>
          <w:tcPr>
            <w:tcW w:w="1560" w:type="dxa"/>
            <w:shd w:val="clear" w:color="auto" w:fill="auto"/>
            <w:vAlign w:val="center"/>
          </w:tcPr>
          <w:p w14:paraId="4E96A04C" w14:textId="0F6272DB" w:rsidR="003C4F97" w:rsidRPr="003C4F97" w:rsidRDefault="003C4F97" w:rsidP="00E66C88">
            <w:pPr>
              <w:jc w:val="center"/>
              <w:rPr>
                <w:rFonts w:asciiTheme="minorHAnsi" w:eastAsia="Times New Roman" w:hAnsiTheme="minorHAnsi" w:cstheme="minorHAnsi"/>
                <w:b/>
                <w:lang w:eastAsia="pl-PL"/>
              </w:rPr>
            </w:pPr>
            <w:r w:rsidRPr="003C4F97">
              <w:rPr>
                <w:rFonts w:asciiTheme="minorHAnsi" w:eastAsia="Times New Roman" w:hAnsiTheme="minorHAnsi" w:cstheme="minorHAnsi"/>
                <w:b/>
                <w:lang w:eastAsia="pl-PL"/>
              </w:rPr>
              <w:t>Wartość zrealizowan</w:t>
            </w:r>
            <w:r>
              <w:rPr>
                <w:rFonts w:asciiTheme="minorHAnsi" w:eastAsia="Times New Roman" w:hAnsiTheme="minorHAnsi" w:cstheme="minorHAnsi"/>
                <w:b/>
                <w:lang w:eastAsia="pl-PL"/>
              </w:rPr>
              <w:t>ego</w:t>
            </w:r>
            <w:r w:rsidRPr="003C4F97">
              <w:rPr>
                <w:rFonts w:asciiTheme="minorHAnsi" w:eastAsia="Times New Roman" w:hAnsiTheme="minorHAnsi" w:cstheme="minorHAnsi"/>
                <w:b/>
                <w:lang w:eastAsia="pl-PL"/>
              </w:rPr>
              <w:t xml:space="preserve"> </w:t>
            </w:r>
            <w:r>
              <w:rPr>
                <w:rFonts w:asciiTheme="minorHAnsi" w:eastAsia="Times New Roman" w:hAnsiTheme="minorHAnsi" w:cstheme="minorHAnsi"/>
                <w:b/>
                <w:lang w:eastAsia="pl-PL"/>
              </w:rPr>
              <w:t>zamówienia</w:t>
            </w:r>
            <w:r w:rsidRPr="003C4F97">
              <w:rPr>
                <w:rFonts w:asciiTheme="minorHAnsi" w:eastAsia="Times New Roman" w:hAnsiTheme="minorHAnsi" w:cstheme="minorHAnsi"/>
                <w:b/>
                <w:lang w:eastAsia="pl-PL"/>
              </w:rPr>
              <w:t xml:space="preserve"> brutto w PLN</w:t>
            </w:r>
          </w:p>
        </w:tc>
        <w:tc>
          <w:tcPr>
            <w:tcW w:w="1699" w:type="dxa"/>
            <w:shd w:val="clear" w:color="auto" w:fill="auto"/>
            <w:vAlign w:val="center"/>
          </w:tcPr>
          <w:p w14:paraId="0390530A" w14:textId="73F171E1" w:rsidR="003C4F97" w:rsidRPr="003C4F97" w:rsidRDefault="003C4F97" w:rsidP="00E66C88">
            <w:pPr>
              <w:jc w:val="center"/>
              <w:rPr>
                <w:rFonts w:asciiTheme="minorHAnsi" w:eastAsia="Times New Roman" w:hAnsiTheme="minorHAnsi" w:cstheme="minorHAnsi"/>
                <w:b/>
                <w:lang w:eastAsia="pl-PL"/>
              </w:rPr>
            </w:pPr>
            <w:r w:rsidRPr="003C4F97">
              <w:rPr>
                <w:rFonts w:asciiTheme="minorHAnsi" w:eastAsia="Times New Roman" w:hAnsiTheme="minorHAnsi" w:cstheme="minorHAnsi"/>
                <w:b/>
                <w:lang w:eastAsia="pl-PL"/>
              </w:rPr>
              <w:t xml:space="preserve">Termin realizacji </w:t>
            </w:r>
            <w:r>
              <w:rPr>
                <w:rFonts w:asciiTheme="minorHAnsi" w:eastAsia="Times New Roman" w:hAnsiTheme="minorHAnsi" w:cstheme="minorHAnsi"/>
                <w:b/>
                <w:lang w:eastAsia="pl-PL"/>
              </w:rPr>
              <w:t>zamówienia</w:t>
            </w:r>
          </w:p>
        </w:tc>
        <w:tc>
          <w:tcPr>
            <w:tcW w:w="2143" w:type="dxa"/>
            <w:shd w:val="clear" w:color="auto" w:fill="auto"/>
            <w:vAlign w:val="center"/>
          </w:tcPr>
          <w:p w14:paraId="52CE5610" w14:textId="77777777" w:rsidR="003C4F97" w:rsidRPr="003C4F97" w:rsidRDefault="003C4F97" w:rsidP="00E66C88">
            <w:pPr>
              <w:jc w:val="center"/>
              <w:rPr>
                <w:rFonts w:asciiTheme="minorHAnsi" w:eastAsia="Times New Roman" w:hAnsiTheme="minorHAnsi" w:cstheme="minorHAnsi"/>
                <w:b/>
                <w:lang w:eastAsia="pl-PL"/>
              </w:rPr>
            </w:pPr>
            <w:r w:rsidRPr="003C4F97">
              <w:rPr>
                <w:rFonts w:asciiTheme="minorHAnsi" w:eastAsia="Times New Roman" w:hAnsiTheme="minorHAnsi" w:cstheme="minorHAnsi"/>
                <w:b/>
                <w:lang w:eastAsia="pl-PL"/>
              </w:rPr>
              <w:t xml:space="preserve">Zamawiający/Odbiorca </w:t>
            </w:r>
            <w:r w:rsidRPr="003C4F97">
              <w:rPr>
                <w:rFonts w:asciiTheme="minorHAnsi" w:eastAsia="Times New Roman" w:hAnsiTheme="minorHAnsi" w:cstheme="minorHAnsi"/>
                <w:b/>
                <w:lang w:eastAsia="pl-PL"/>
              </w:rPr>
              <w:br/>
              <w:t>(nazwa i adres)</w:t>
            </w:r>
          </w:p>
        </w:tc>
      </w:tr>
      <w:tr w:rsidR="003C4F97" w:rsidRPr="003C4F97" w14:paraId="4237D2AD" w14:textId="77777777" w:rsidTr="003C4F97">
        <w:trPr>
          <w:cantSplit/>
        </w:trPr>
        <w:tc>
          <w:tcPr>
            <w:tcW w:w="505" w:type="dxa"/>
            <w:shd w:val="clear" w:color="auto" w:fill="auto"/>
            <w:vAlign w:val="center"/>
          </w:tcPr>
          <w:p w14:paraId="3669A2C3" w14:textId="77777777" w:rsidR="003C4F97" w:rsidRPr="003C4F97" w:rsidRDefault="003C4F97" w:rsidP="00E66C88">
            <w:pPr>
              <w:jc w:val="center"/>
              <w:rPr>
                <w:rFonts w:asciiTheme="minorHAnsi" w:eastAsia="Times New Roman" w:hAnsiTheme="minorHAnsi" w:cstheme="minorHAnsi"/>
                <w:lang w:eastAsia="pl-PL"/>
              </w:rPr>
            </w:pPr>
          </w:p>
          <w:p w14:paraId="0D95F333" w14:textId="77777777" w:rsidR="003C4F97" w:rsidRPr="003C4F97" w:rsidRDefault="003C4F97" w:rsidP="00E66C88">
            <w:pPr>
              <w:jc w:val="center"/>
              <w:rPr>
                <w:rFonts w:asciiTheme="minorHAnsi" w:eastAsia="Times New Roman" w:hAnsiTheme="minorHAnsi" w:cstheme="minorHAnsi"/>
                <w:lang w:eastAsia="pl-PL"/>
              </w:rPr>
            </w:pPr>
            <w:r w:rsidRPr="003C4F97">
              <w:rPr>
                <w:rFonts w:asciiTheme="minorHAnsi" w:eastAsia="Times New Roman" w:hAnsiTheme="minorHAnsi" w:cstheme="minorHAnsi"/>
                <w:lang w:eastAsia="pl-PL"/>
              </w:rPr>
              <w:t>1.</w:t>
            </w:r>
          </w:p>
          <w:p w14:paraId="4C9FB5A2" w14:textId="77777777" w:rsidR="003C4F97" w:rsidRPr="003C4F97" w:rsidRDefault="003C4F97" w:rsidP="00E66C88">
            <w:pPr>
              <w:jc w:val="center"/>
              <w:rPr>
                <w:rFonts w:asciiTheme="minorHAnsi" w:eastAsia="Times New Roman" w:hAnsiTheme="minorHAnsi" w:cstheme="minorHAnsi"/>
                <w:lang w:eastAsia="pl-PL"/>
              </w:rPr>
            </w:pPr>
          </w:p>
        </w:tc>
        <w:tc>
          <w:tcPr>
            <w:tcW w:w="2636" w:type="dxa"/>
            <w:shd w:val="clear" w:color="auto" w:fill="auto"/>
          </w:tcPr>
          <w:p w14:paraId="2607D3FB" w14:textId="77777777" w:rsidR="003C4F97" w:rsidRPr="003C4F97" w:rsidRDefault="003C4F97" w:rsidP="00E66C88">
            <w:pPr>
              <w:rPr>
                <w:rFonts w:asciiTheme="minorHAnsi" w:eastAsia="Times New Roman" w:hAnsiTheme="minorHAnsi" w:cstheme="minorHAnsi"/>
                <w:lang w:eastAsia="pl-PL"/>
              </w:rPr>
            </w:pPr>
          </w:p>
        </w:tc>
        <w:tc>
          <w:tcPr>
            <w:tcW w:w="1560" w:type="dxa"/>
            <w:shd w:val="clear" w:color="auto" w:fill="auto"/>
          </w:tcPr>
          <w:p w14:paraId="155C0CA4" w14:textId="77777777" w:rsidR="003C4F97" w:rsidRPr="003C4F97" w:rsidRDefault="003C4F97" w:rsidP="00E66C88">
            <w:pPr>
              <w:rPr>
                <w:rFonts w:asciiTheme="minorHAnsi" w:eastAsia="Times New Roman" w:hAnsiTheme="minorHAnsi" w:cstheme="minorHAnsi"/>
                <w:lang w:eastAsia="pl-PL"/>
              </w:rPr>
            </w:pPr>
          </w:p>
        </w:tc>
        <w:tc>
          <w:tcPr>
            <w:tcW w:w="1699" w:type="dxa"/>
            <w:shd w:val="clear" w:color="auto" w:fill="auto"/>
          </w:tcPr>
          <w:p w14:paraId="075DBBDC" w14:textId="77777777" w:rsidR="003C4F97" w:rsidRPr="003C4F97" w:rsidRDefault="003C4F97" w:rsidP="00E66C88">
            <w:pPr>
              <w:rPr>
                <w:rFonts w:asciiTheme="minorHAnsi" w:eastAsia="Times New Roman" w:hAnsiTheme="minorHAnsi" w:cstheme="minorHAnsi"/>
                <w:lang w:eastAsia="pl-PL"/>
              </w:rPr>
            </w:pPr>
          </w:p>
        </w:tc>
        <w:tc>
          <w:tcPr>
            <w:tcW w:w="2143" w:type="dxa"/>
            <w:shd w:val="clear" w:color="auto" w:fill="auto"/>
          </w:tcPr>
          <w:p w14:paraId="31FC96F4" w14:textId="77777777" w:rsidR="003C4F97" w:rsidRPr="003C4F97" w:rsidRDefault="003C4F97" w:rsidP="00E66C88">
            <w:pPr>
              <w:rPr>
                <w:rFonts w:asciiTheme="minorHAnsi" w:eastAsia="Times New Roman" w:hAnsiTheme="minorHAnsi" w:cstheme="minorHAnsi"/>
                <w:lang w:eastAsia="pl-PL"/>
              </w:rPr>
            </w:pPr>
          </w:p>
        </w:tc>
      </w:tr>
      <w:tr w:rsidR="003C4F97" w:rsidRPr="003C4F97" w14:paraId="4B311ADF" w14:textId="77777777" w:rsidTr="003C4F97">
        <w:trPr>
          <w:cantSplit/>
        </w:trPr>
        <w:tc>
          <w:tcPr>
            <w:tcW w:w="505" w:type="dxa"/>
            <w:shd w:val="clear" w:color="auto" w:fill="auto"/>
            <w:vAlign w:val="center"/>
          </w:tcPr>
          <w:p w14:paraId="729A0DFD" w14:textId="77777777" w:rsidR="003C4F97" w:rsidRPr="003C4F97" w:rsidRDefault="003C4F97" w:rsidP="00E66C88">
            <w:pPr>
              <w:jc w:val="center"/>
              <w:rPr>
                <w:rFonts w:asciiTheme="minorHAnsi" w:eastAsia="Times New Roman" w:hAnsiTheme="minorHAnsi" w:cstheme="minorHAnsi"/>
                <w:lang w:eastAsia="pl-PL"/>
              </w:rPr>
            </w:pPr>
          </w:p>
          <w:p w14:paraId="1B178645" w14:textId="77777777" w:rsidR="003C4F97" w:rsidRPr="003C4F97" w:rsidRDefault="003C4F97" w:rsidP="00E66C88">
            <w:pPr>
              <w:jc w:val="center"/>
              <w:rPr>
                <w:rFonts w:asciiTheme="minorHAnsi" w:eastAsia="Times New Roman" w:hAnsiTheme="minorHAnsi" w:cstheme="minorHAnsi"/>
                <w:lang w:eastAsia="pl-PL"/>
              </w:rPr>
            </w:pPr>
            <w:r w:rsidRPr="003C4F97">
              <w:rPr>
                <w:rFonts w:asciiTheme="minorHAnsi" w:eastAsia="Times New Roman" w:hAnsiTheme="minorHAnsi" w:cstheme="minorHAnsi"/>
                <w:lang w:eastAsia="pl-PL"/>
              </w:rPr>
              <w:t>2.</w:t>
            </w:r>
          </w:p>
          <w:p w14:paraId="7086B325" w14:textId="77777777" w:rsidR="003C4F97" w:rsidRPr="003C4F97" w:rsidRDefault="003C4F97" w:rsidP="00E66C88">
            <w:pPr>
              <w:jc w:val="center"/>
              <w:rPr>
                <w:rFonts w:asciiTheme="minorHAnsi" w:eastAsia="Times New Roman" w:hAnsiTheme="minorHAnsi" w:cstheme="minorHAnsi"/>
                <w:lang w:eastAsia="pl-PL"/>
              </w:rPr>
            </w:pPr>
          </w:p>
        </w:tc>
        <w:tc>
          <w:tcPr>
            <w:tcW w:w="2636" w:type="dxa"/>
            <w:shd w:val="clear" w:color="auto" w:fill="auto"/>
          </w:tcPr>
          <w:p w14:paraId="7A93877A" w14:textId="77777777" w:rsidR="003C4F97" w:rsidRPr="003C4F97" w:rsidRDefault="003C4F97" w:rsidP="00E66C88">
            <w:pPr>
              <w:rPr>
                <w:rFonts w:asciiTheme="minorHAnsi" w:eastAsia="Times New Roman" w:hAnsiTheme="minorHAnsi" w:cstheme="minorHAnsi"/>
                <w:lang w:eastAsia="pl-PL"/>
              </w:rPr>
            </w:pPr>
          </w:p>
        </w:tc>
        <w:tc>
          <w:tcPr>
            <w:tcW w:w="1560" w:type="dxa"/>
            <w:shd w:val="clear" w:color="auto" w:fill="auto"/>
          </w:tcPr>
          <w:p w14:paraId="08C14909" w14:textId="77777777" w:rsidR="003C4F97" w:rsidRPr="003C4F97" w:rsidRDefault="003C4F97" w:rsidP="00E66C88">
            <w:pPr>
              <w:rPr>
                <w:rFonts w:asciiTheme="minorHAnsi" w:eastAsia="Times New Roman" w:hAnsiTheme="minorHAnsi" w:cstheme="minorHAnsi"/>
                <w:lang w:eastAsia="pl-PL"/>
              </w:rPr>
            </w:pPr>
          </w:p>
        </w:tc>
        <w:tc>
          <w:tcPr>
            <w:tcW w:w="1699" w:type="dxa"/>
            <w:shd w:val="clear" w:color="auto" w:fill="auto"/>
          </w:tcPr>
          <w:p w14:paraId="7A1B9F87" w14:textId="77777777" w:rsidR="003C4F97" w:rsidRPr="003C4F97" w:rsidRDefault="003C4F97" w:rsidP="00E66C88">
            <w:pPr>
              <w:rPr>
                <w:rFonts w:asciiTheme="minorHAnsi" w:eastAsia="Times New Roman" w:hAnsiTheme="minorHAnsi" w:cstheme="minorHAnsi"/>
                <w:lang w:eastAsia="pl-PL"/>
              </w:rPr>
            </w:pPr>
          </w:p>
        </w:tc>
        <w:tc>
          <w:tcPr>
            <w:tcW w:w="2143" w:type="dxa"/>
            <w:shd w:val="clear" w:color="auto" w:fill="auto"/>
          </w:tcPr>
          <w:p w14:paraId="10C40644" w14:textId="77777777" w:rsidR="003C4F97" w:rsidRPr="003C4F97" w:rsidRDefault="003C4F97" w:rsidP="00E66C88">
            <w:pPr>
              <w:rPr>
                <w:rFonts w:asciiTheme="minorHAnsi" w:eastAsia="Times New Roman" w:hAnsiTheme="minorHAnsi" w:cstheme="minorHAnsi"/>
                <w:lang w:eastAsia="pl-PL"/>
              </w:rPr>
            </w:pPr>
          </w:p>
        </w:tc>
      </w:tr>
    </w:tbl>
    <w:p w14:paraId="336DCE10" w14:textId="337EF2CC" w:rsidR="003C4F97" w:rsidRPr="003C4F97" w:rsidRDefault="003C4F97" w:rsidP="003C4F97">
      <w:pPr>
        <w:spacing w:before="80"/>
        <w:ind w:left="4"/>
        <w:jc w:val="both"/>
        <w:rPr>
          <w:rFonts w:ascii="Calibri" w:hAnsi="Calibri" w:cs="Calibri"/>
          <w:sz w:val="24"/>
          <w:szCs w:val="24"/>
        </w:rPr>
      </w:pPr>
      <w:r>
        <w:rPr>
          <w:rFonts w:ascii="Calibri" w:hAnsi="Calibri" w:cs="Calibri"/>
          <w:sz w:val="24"/>
          <w:szCs w:val="24"/>
        </w:rPr>
        <w:t>Załącznikami do oferty są dowody potwierdzające należyte wykonanie zamówień.</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25"/>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4F21D00B" w:rsidR="00540198" w:rsidRPr="00CB7D43" w:rsidRDefault="00E42367"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Pr>
                <w:rFonts w:ascii="Calibri" w:hAnsi="Calibri" w:cs="Calibri"/>
                <w:color w:val="000000"/>
                <w:sz w:val="24"/>
                <w:szCs w:val="24"/>
              </w:rPr>
              <w:t>I</w:t>
            </w:r>
            <w:r w:rsidR="00540198" w:rsidRPr="00CB7D43">
              <w:rPr>
                <w:rFonts w:ascii="Calibri" w:hAnsi="Calibri" w:cs="Calibri"/>
                <w:color w:val="000000"/>
                <w:sz w:val="24"/>
                <w:szCs w:val="24"/>
              </w:rPr>
              <w:t>nformacja o powstaniu obowiązku podatkowego u</w:t>
            </w:r>
            <w:r w:rsidR="00D96648" w:rsidRPr="00CB7D43">
              <w:rPr>
                <w:rFonts w:ascii="Calibri" w:hAnsi="Calibri" w:cs="Calibri"/>
                <w:color w:val="000000"/>
                <w:sz w:val="24"/>
                <w:szCs w:val="24"/>
              </w:rPr>
              <w:t> </w:t>
            </w:r>
            <w:r w:rsidR="00540198"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43B380FC" w14:textId="639ADCA3" w:rsidR="00D96648" w:rsidRDefault="001C11E2" w:rsidP="00A2634F">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w:t>
      </w:r>
      <w:r w:rsidR="00A2634F">
        <w:rPr>
          <w:rFonts w:ascii="Calibri" w:hAnsi="Calibri" w:cs="Calibri"/>
          <w:sz w:val="24"/>
          <w:szCs w:val="24"/>
        </w:rPr>
        <w:t>zaproszenia do składania ofer</w:t>
      </w:r>
      <w:r w:rsidR="00000C50">
        <w:rPr>
          <w:rFonts w:ascii="Calibri" w:hAnsi="Calibri" w:cs="Calibri"/>
          <w:sz w:val="24"/>
          <w:szCs w:val="24"/>
        </w:rPr>
        <w:t>t</w:t>
      </w:r>
      <w:r w:rsidRPr="001C11E2">
        <w:rPr>
          <w:rFonts w:ascii="Calibri" w:hAnsi="Calibri" w:cs="Calibri"/>
          <w:sz w:val="24"/>
          <w:szCs w:val="24"/>
        </w:rPr>
        <w:t xml:space="preserve">, w miejscu i </w:t>
      </w:r>
      <w:r>
        <w:rPr>
          <w:rFonts w:ascii="Calibri" w:hAnsi="Calibri" w:cs="Calibri"/>
          <w:sz w:val="24"/>
          <w:szCs w:val="24"/>
        </w:rPr>
        <w:t xml:space="preserve">terminie wskazanym </w:t>
      </w:r>
      <w:r>
        <w:rPr>
          <w:rFonts w:ascii="Calibri" w:hAnsi="Calibri" w:cs="Calibri"/>
          <w:sz w:val="24"/>
          <w:szCs w:val="24"/>
        </w:rPr>
        <w:lastRenderedPageBreak/>
        <w:t>przez</w:t>
      </w:r>
      <w:r w:rsidRPr="001C11E2">
        <w:rPr>
          <w:rFonts w:ascii="Calibri" w:hAnsi="Calibri" w:cs="Calibri"/>
          <w:sz w:val="24"/>
          <w:szCs w:val="24"/>
        </w:rPr>
        <w:t xml:space="preserve"> Zamawiającego.</w:t>
      </w:r>
      <w:r w:rsidR="00A2634F" w:rsidRPr="001C11E2">
        <w:rPr>
          <w:rFonts w:ascii="Calibri" w:hAnsi="Calibri" w:cs="Calibri"/>
          <w:sz w:val="24"/>
          <w:szCs w:val="24"/>
        </w:rPr>
        <w:t xml:space="preserve"> </w:t>
      </w:r>
      <w:r w:rsidRPr="001C11E2">
        <w:rPr>
          <w:rFonts w:ascii="Calibri" w:hAnsi="Calibri" w:cs="Calibri"/>
          <w:sz w:val="24"/>
          <w:szCs w:val="24"/>
        </w:rPr>
        <w:t>Oświadczamy, że wypełniliśmy obowiązki informacyjne przewidziane w art. 13 lub art. 14 RODO</w:t>
      </w:r>
      <w:r w:rsidR="00A2634F">
        <w:rPr>
          <w:rStyle w:val="Odwoanieprzypisudolnego"/>
          <w:rFonts w:ascii="Calibri" w:hAnsi="Calibri" w:cs="Calibri"/>
          <w:sz w:val="24"/>
          <w:szCs w:val="24"/>
        </w:rPr>
        <w:footnoteReference w:id="1"/>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r w:rsidR="00A2634F">
        <w:rPr>
          <w:rFonts w:ascii="Calibri" w:hAnsi="Calibri" w:cs="Calibri"/>
          <w:sz w:val="24"/>
          <w:szCs w:val="24"/>
        </w:rPr>
        <w:t>.</w:t>
      </w:r>
      <w:r w:rsidR="00A2634F">
        <w:rPr>
          <w:rStyle w:val="Odwoanieprzypisudolnego"/>
          <w:rFonts w:ascii="Calibri" w:hAnsi="Calibri" w:cs="Calibri"/>
          <w:sz w:val="24"/>
          <w:szCs w:val="24"/>
        </w:rPr>
        <w:footnoteReference w:id="2"/>
      </w:r>
    </w:p>
    <w:p w14:paraId="15101D42" w14:textId="7F0B6560" w:rsidR="007665D3" w:rsidRDefault="007665D3" w:rsidP="007665D3">
      <w:pPr>
        <w:pStyle w:val="Akapitzlist"/>
        <w:numPr>
          <w:ilvl w:val="0"/>
          <w:numId w:val="4"/>
        </w:numPr>
        <w:jc w:val="both"/>
        <w:rPr>
          <w:sz w:val="24"/>
          <w:szCs w:val="24"/>
          <w:lang w:eastAsia="pl-PL"/>
        </w:rPr>
      </w:pPr>
      <w:r w:rsidRPr="007665D3">
        <w:rPr>
          <w:rFonts w:ascii="Calibri" w:hAnsi="Calibri" w:cs="Calibri"/>
          <w:sz w:val="24"/>
          <w:szCs w:val="24"/>
        </w:rPr>
        <w:t>Oświadczam, że nie zachodzą w stosunku do mnie przesłanki wykluczenia z</w:t>
      </w:r>
      <w:r w:rsidR="00DC42D5">
        <w:rPr>
          <w:rFonts w:ascii="Calibri" w:hAnsi="Calibri" w:cs="Calibri"/>
          <w:sz w:val="24"/>
          <w:szCs w:val="24"/>
        </w:rPr>
        <w:t> </w:t>
      </w:r>
      <w:r w:rsidRPr="007665D3">
        <w:rPr>
          <w:rFonts w:ascii="Calibri" w:hAnsi="Calibri" w:cs="Calibri"/>
          <w:sz w:val="24"/>
          <w:szCs w:val="24"/>
        </w:rPr>
        <w:t xml:space="preserve">postępowania na podstawie art. </w:t>
      </w:r>
      <w:r w:rsidRPr="007665D3">
        <w:rPr>
          <w:rFonts w:ascii="Calibri" w:eastAsia="Times New Roman" w:hAnsi="Calibri" w:cs="Calibri"/>
          <w:color w:val="222222"/>
          <w:sz w:val="24"/>
          <w:szCs w:val="24"/>
          <w:lang w:eastAsia="pl-PL"/>
        </w:rPr>
        <w:t xml:space="preserve">7 ust. 1 ustawy </w:t>
      </w:r>
      <w:r w:rsidRPr="007665D3">
        <w:rPr>
          <w:rFonts w:ascii="Calibri" w:hAnsi="Calibri" w:cs="Calibri"/>
          <w:color w:val="222222"/>
          <w:sz w:val="24"/>
          <w:szCs w:val="24"/>
        </w:rPr>
        <w:t>z dnia 13 kwietnia 2022 r.</w:t>
      </w:r>
      <w:r w:rsidRPr="007665D3">
        <w:rPr>
          <w:rFonts w:ascii="Calibri" w:hAnsi="Calibri" w:cs="Calibri"/>
          <w:i/>
          <w:iCs/>
          <w:color w:val="222222"/>
          <w:sz w:val="24"/>
          <w:szCs w:val="24"/>
        </w:rPr>
        <w:t xml:space="preserve"> o szczególnych rozwiązaniach w zakresie przeciwdziałania wspieraniu agresji na Ukrainę oraz służących ochronie bezpieczeństwa narodowego </w:t>
      </w:r>
      <w:r w:rsidRPr="007665D3">
        <w:rPr>
          <w:rFonts w:ascii="Calibri" w:hAnsi="Calibri" w:cs="Calibri"/>
          <w:color w:val="222222"/>
          <w:sz w:val="24"/>
          <w:szCs w:val="24"/>
        </w:rPr>
        <w:t>(Dz. U. poz. 835)</w:t>
      </w:r>
      <w:r w:rsidRPr="007665D3">
        <w:rPr>
          <w:rFonts w:ascii="Calibri" w:hAnsi="Calibri" w:cs="Calibri"/>
          <w:i/>
          <w:iCs/>
          <w:color w:val="222222"/>
          <w:sz w:val="24"/>
          <w:szCs w:val="24"/>
        </w:rPr>
        <w:t>.</w:t>
      </w:r>
      <w:r>
        <w:rPr>
          <w:rStyle w:val="Odwoanieprzypisudolnego"/>
          <w:rFonts w:ascii="Calibri" w:hAnsi="Calibri" w:cs="Calibri"/>
          <w:color w:val="222222"/>
          <w:sz w:val="24"/>
          <w:szCs w:val="24"/>
        </w:rPr>
        <w:footnoteReference w:id="3"/>
      </w:r>
      <w:r w:rsidRPr="007665D3">
        <w:rPr>
          <w:sz w:val="24"/>
          <w:szCs w:val="24"/>
          <w:lang w:eastAsia="pl-PL"/>
        </w:rPr>
        <w:t xml:space="preserve"> </w:t>
      </w:r>
    </w:p>
    <w:p w14:paraId="646246B9" w14:textId="5C4D7DAD" w:rsidR="00EF1AA3" w:rsidRDefault="00EF1AA3" w:rsidP="00EF1AA3">
      <w:pPr>
        <w:ind w:left="708"/>
        <w:jc w:val="both"/>
        <w:rPr>
          <w:rFonts w:asciiTheme="minorHAnsi" w:hAnsiTheme="minorHAnsi" w:cstheme="minorHAnsi"/>
          <w:sz w:val="24"/>
          <w:szCs w:val="24"/>
          <w:lang w:eastAsia="pl-PL"/>
        </w:rPr>
      </w:pPr>
      <w:r w:rsidRPr="00EF1AA3">
        <w:rPr>
          <w:rFonts w:asciiTheme="minorHAnsi" w:hAnsiTheme="minorHAnsi" w:cstheme="minorHAnsi"/>
          <w:sz w:val="24"/>
          <w:szCs w:val="24"/>
          <w:lang w:eastAsia="pl-PL"/>
        </w:rPr>
        <w:t xml:space="preserve">Oświadczam, że </w:t>
      </w:r>
      <w:r>
        <w:rPr>
          <w:rFonts w:asciiTheme="minorHAnsi" w:hAnsiTheme="minorHAnsi" w:cstheme="minorHAnsi"/>
          <w:sz w:val="24"/>
          <w:szCs w:val="24"/>
          <w:lang w:eastAsia="pl-PL"/>
        </w:rPr>
        <w:t xml:space="preserve">nie otwarto w stosunku do mnie </w:t>
      </w:r>
      <w:r w:rsidRPr="00EF1AA3">
        <w:rPr>
          <w:rFonts w:asciiTheme="minorHAnsi" w:hAnsiTheme="minorHAnsi" w:cstheme="minorHAnsi"/>
          <w:sz w:val="24"/>
          <w:szCs w:val="24"/>
          <w:lang w:eastAsia="pl-PL"/>
        </w:rPr>
        <w:t xml:space="preserve"> likwidacj</w:t>
      </w:r>
      <w:r>
        <w:rPr>
          <w:rFonts w:asciiTheme="minorHAnsi" w:hAnsiTheme="minorHAnsi" w:cstheme="minorHAnsi"/>
          <w:sz w:val="24"/>
          <w:szCs w:val="24"/>
          <w:lang w:eastAsia="pl-PL"/>
        </w:rPr>
        <w:t>i</w:t>
      </w:r>
      <w:r w:rsidRPr="00EF1AA3">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ogłoszono upadłoś</w:t>
      </w:r>
      <w:r>
        <w:rPr>
          <w:rFonts w:asciiTheme="minorHAnsi" w:hAnsiTheme="minorHAnsi" w:cstheme="minorHAnsi"/>
          <w:sz w:val="24"/>
          <w:szCs w:val="24"/>
          <w:lang w:eastAsia="pl-PL"/>
        </w:rPr>
        <w:t>ci</w:t>
      </w:r>
      <w:r w:rsidRPr="00EF1AA3">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moimi</w:t>
      </w:r>
      <w:r w:rsidRPr="00EF1AA3">
        <w:rPr>
          <w:rFonts w:asciiTheme="minorHAnsi" w:hAnsiTheme="minorHAnsi" w:cstheme="minorHAnsi"/>
          <w:sz w:val="24"/>
          <w:szCs w:val="24"/>
          <w:lang w:eastAsia="pl-PL"/>
        </w:rPr>
        <w:t xml:space="preserve"> aktywami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 xml:space="preserve">zarządza likwidator lub sąd,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zawarł</w:t>
      </w:r>
      <w:r>
        <w:rPr>
          <w:rFonts w:asciiTheme="minorHAnsi" w:hAnsiTheme="minorHAnsi" w:cstheme="minorHAnsi"/>
          <w:sz w:val="24"/>
          <w:szCs w:val="24"/>
          <w:lang w:eastAsia="pl-PL"/>
        </w:rPr>
        <w:t>em</w:t>
      </w:r>
      <w:r w:rsidRPr="00EF1AA3">
        <w:rPr>
          <w:rFonts w:asciiTheme="minorHAnsi" w:hAnsiTheme="minorHAnsi" w:cstheme="minorHAnsi"/>
          <w:sz w:val="24"/>
          <w:szCs w:val="24"/>
          <w:lang w:eastAsia="pl-PL"/>
        </w:rPr>
        <w:t xml:space="preserve"> układ</w:t>
      </w:r>
      <w:r>
        <w:rPr>
          <w:rFonts w:asciiTheme="minorHAnsi" w:hAnsiTheme="minorHAnsi" w:cstheme="minorHAnsi"/>
          <w:sz w:val="24"/>
          <w:szCs w:val="24"/>
          <w:lang w:eastAsia="pl-PL"/>
        </w:rPr>
        <w:t>u</w:t>
      </w:r>
      <w:r w:rsidRPr="00EF1AA3">
        <w:rPr>
          <w:rFonts w:asciiTheme="minorHAnsi" w:hAnsiTheme="minorHAnsi" w:cstheme="minorHAnsi"/>
          <w:sz w:val="24"/>
          <w:szCs w:val="24"/>
          <w:lang w:eastAsia="pl-PL"/>
        </w:rPr>
        <w:t xml:space="preserve"> z wierzycielami, </w:t>
      </w:r>
      <w:r>
        <w:rPr>
          <w:rFonts w:asciiTheme="minorHAnsi" w:hAnsiTheme="minorHAnsi" w:cstheme="minorHAnsi"/>
          <w:sz w:val="24"/>
          <w:szCs w:val="24"/>
          <w:lang w:eastAsia="pl-PL"/>
        </w:rPr>
        <w:t>moja</w:t>
      </w:r>
      <w:r w:rsidRPr="00EF1AA3">
        <w:rPr>
          <w:rFonts w:asciiTheme="minorHAnsi" w:hAnsiTheme="minorHAnsi" w:cstheme="minorHAnsi"/>
          <w:sz w:val="24"/>
          <w:szCs w:val="24"/>
          <w:lang w:eastAsia="pl-PL"/>
        </w:rPr>
        <w:t xml:space="preserve"> działalność gospodarcza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jest zawieszona</w:t>
      </w:r>
      <w:r>
        <w:rPr>
          <w:rFonts w:asciiTheme="minorHAnsi" w:hAnsiTheme="minorHAnsi" w:cstheme="minorHAnsi"/>
          <w:sz w:val="24"/>
          <w:szCs w:val="24"/>
          <w:lang w:eastAsia="pl-PL"/>
        </w:rPr>
        <w:t xml:space="preserve"> oraz nie </w:t>
      </w:r>
      <w:r w:rsidRPr="00EF1AA3">
        <w:rPr>
          <w:rFonts w:asciiTheme="minorHAnsi" w:hAnsiTheme="minorHAnsi" w:cstheme="minorHAnsi"/>
          <w:sz w:val="24"/>
          <w:szCs w:val="24"/>
          <w:lang w:eastAsia="pl-PL"/>
        </w:rPr>
        <w:t>znajduj</w:t>
      </w:r>
      <w:r>
        <w:rPr>
          <w:rFonts w:asciiTheme="minorHAnsi" w:hAnsiTheme="minorHAnsi" w:cstheme="minorHAnsi"/>
          <w:sz w:val="24"/>
          <w:szCs w:val="24"/>
          <w:lang w:eastAsia="pl-PL"/>
        </w:rPr>
        <w:t>ę</w:t>
      </w:r>
      <w:r w:rsidRPr="00EF1AA3">
        <w:rPr>
          <w:rFonts w:asciiTheme="minorHAnsi" w:hAnsiTheme="minorHAnsi" w:cstheme="minorHAnsi"/>
          <w:sz w:val="24"/>
          <w:szCs w:val="24"/>
          <w:lang w:eastAsia="pl-PL"/>
        </w:rPr>
        <w:t xml:space="preserve"> się w</w:t>
      </w:r>
      <w:r>
        <w:rPr>
          <w:rFonts w:asciiTheme="minorHAnsi" w:hAnsiTheme="minorHAnsi" w:cstheme="minorHAnsi"/>
          <w:sz w:val="24"/>
          <w:szCs w:val="24"/>
          <w:lang w:eastAsia="pl-PL"/>
        </w:rPr>
        <w:t xml:space="preserve"> </w:t>
      </w:r>
      <w:r w:rsidRPr="00EF1AA3">
        <w:rPr>
          <w:rFonts w:asciiTheme="minorHAnsi" w:hAnsiTheme="minorHAnsi" w:cstheme="minorHAnsi"/>
          <w:sz w:val="24"/>
          <w:szCs w:val="24"/>
          <w:lang w:eastAsia="pl-PL"/>
        </w:rPr>
        <w:t>innej tego rodzaju sytuacji wynikającej z podobnej procedury przewidzianej w przepisach miejsca wszczęcia tej procedury</w:t>
      </w:r>
      <w:r>
        <w:rPr>
          <w:rFonts w:asciiTheme="minorHAnsi" w:hAnsiTheme="minorHAnsi" w:cstheme="minorHAnsi"/>
          <w:sz w:val="24"/>
          <w:szCs w:val="24"/>
          <w:lang w:eastAsia="pl-PL"/>
        </w:rPr>
        <w:t>.</w:t>
      </w:r>
    </w:p>
    <w:p w14:paraId="58680C3A" w14:textId="77777777" w:rsidR="001C11E2" w:rsidRPr="001C11E2" w:rsidRDefault="001C11E2" w:rsidP="007665D3">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7"/>
      </w:tblGrid>
      <w:tr w:rsidR="001C11E2" w14:paraId="5425FDA4" w14:textId="77777777" w:rsidTr="001C11E2">
        <w:trPr>
          <w:trHeight w:val="628"/>
        </w:trPr>
        <w:tc>
          <w:tcPr>
            <w:tcW w:w="8507" w:type="dxa"/>
          </w:tcPr>
          <w:p w14:paraId="5AA050A0" w14:textId="68A2AEE3" w:rsidR="001C11E2" w:rsidRDefault="00DB479E" w:rsidP="001C11E2">
            <w:pPr>
              <w:spacing w:before="80"/>
              <w:jc w:val="both"/>
              <w:rPr>
                <w:rFonts w:ascii="Calibri" w:hAnsi="Calibri" w:cs="Calibri"/>
                <w:sz w:val="24"/>
                <w:szCs w:val="24"/>
              </w:rPr>
            </w:pPr>
            <w:r>
              <w:rPr>
                <w:rFonts w:ascii="Calibri" w:hAnsi="Calibri" w:cs="Calibri"/>
                <w:sz w:val="24"/>
                <w:szCs w:val="24"/>
              </w:rPr>
              <w:t xml:space="preserve">1. </w:t>
            </w:r>
            <w:r w:rsidR="00536F11">
              <w:rPr>
                <w:rFonts w:ascii="Calibri" w:hAnsi="Calibri" w:cs="Calibri"/>
                <w:sz w:val="24"/>
                <w:szCs w:val="24"/>
              </w:rPr>
              <w:t>Opis przedmiotu zamówienia</w:t>
            </w:r>
          </w:p>
          <w:p w14:paraId="54301B13" w14:textId="77777777" w:rsidR="00DB479E" w:rsidRDefault="00DB479E" w:rsidP="001C11E2">
            <w:pPr>
              <w:spacing w:before="80"/>
              <w:jc w:val="both"/>
              <w:rPr>
                <w:rFonts w:ascii="Calibri" w:hAnsi="Calibri" w:cs="Calibri"/>
                <w:sz w:val="24"/>
                <w:szCs w:val="24"/>
              </w:rPr>
            </w:pPr>
            <w:r>
              <w:rPr>
                <w:rFonts w:ascii="Calibri" w:hAnsi="Calibri" w:cs="Calibri"/>
                <w:sz w:val="24"/>
                <w:szCs w:val="24"/>
              </w:rPr>
              <w:t xml:space="preserve">2. </w:t>
            </w:r>
            <w:r w:rsidR="003C4F97">
              <w:rPr>
                <w:rFonts w:ascii="Calibri" w:hAnsi="Calibri" w:cs="Calibri"/>
                <w:sz w:val="24"/>
                <w:szCs w:val="24"/>
              </w:rPr>
              <w:t>Dowody potwierdzające należytą realizację zamówień</w:t>
            </w:r>
          </w:p>
          <w:p w14:paraId="2AA9EE41" w14:textId="050F5C8E" w:rsidR="003C4F97" w:rsidRDefault="003C4F97" w:rsidP="001C11E2">
            <w:pPr>
              <w:spacing w:before="80"/>
              <w:jc w:val="both"/>
              <w:rPr>
                <w:rFonts w:ascii="Calibri" w:hAnsi="Calibri" w:cs="Calibri"/>
                <w:sz w:val="24"/>
                <w:szCs w:val="24"/>
              </w:rPr>
            </w:pPr>
            <w:r>
              <w:rPr>
                <w:rFonts w:ascii="Calibri" w:hAnsi="Calibri" w:cs="Calibri"/>
                <w:sz w:val="24"/>
                <w:szCs w:val="24"/>
              </w:rPr>
              <w:t>3. .........................................................................................</w:t>
            </w: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7156952D" w14:textId="61CB3DEF" w:rsidR="00536F11" w:rsidRDefault="001C11E2" w:rsidP="00DF5E0B">
      <w:pPr>
        <w:spacing w:before="80"/>
        <w:ind w:left="357"/>
        <w:jc w:val="center"/>
        <w:rPr>
          <w:rFonts w:ascii="Calibri" w:hAnsi="Calibri" w:cs="Calibri"/>
          <w:b/>
          <w:color w:val="FF0000"/>
          <w:sz w:val="22"/>
          <w:szCs w:val="22"/>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D13E07A" w14:textId="77777777" w:rsidR="00536F11" w:rsidRDefault="00536F11">
      <w:pPr>
        <w:rPr>
          <w:rFonts w:ascii="Calibri" w:hAnsi="Calibri" w:cs="Calibri"/>
          <w:b/>
          <w:color w:val="FF0000"/>
          <w:sz w:val="22"/>
          <w:szCs w:val="22"/>
        </w:rPr>
      </w:pPr>
      <w:r>
        <w:rPr>
          <w:rFonts w:ascii="Calibri" w:hAnsi="Calibri" w:cs="Calibri"/>
          <w:b/>
          <w:color w:val="FF0000"/>
          <w:sz w:val="22"/>
          <w:szCs w:val="22"/>
        </w:rPr>
        <w:br w:type="page"/>
      </w:r>
    </w:p>
    <w:p w14:paraId="7130BD31" w14:textId="77777777" w:rsidR="00536F11" w:rsidRPr="008A415B" w:rsidRDefault="00536F11" w:rsidP="008A415B">
      <w:pPr>
        <w:pBdr>
          <w:top w:val="nil"/>
          <w:left w:val="nil"/>
          <w:bottom w:val="nil"/>
          <w:right w:val="nil"/>
          <w:between w:val="nil"/>
        </w:pBdr>
        <w:ind w:right="-465"/>
        <w:jc w:val="center"/>
        <w:rPr>
          <w:rFonts w:ascii="Calibri" w:hAnsi="Calibri" w:cs="Calibri"/>
          <w:b/>
          <w:bCs/>
        </w:rPr>
      </w:pPr>
      <w:r>
        <w:rPr>
          <w:rFonts w:ascii="Calibri" w:hAnsi="Calibri" w:cs="Calibri"/>
          <w:b/>
          <w:bCs/>
        </w:rPr>
        <w:lastRenderedPageBreak/>
        <w:t>OPIS PRZEDMIOTU ZAMÓWIENIA</w:t>
      </w:r>
    </w:p>
    <w:p w14:paraId="75D706EB" w14:textId="77777777" w:rsidR="00536F11" w:rsidRPr="008A415B" w:rsidRDefault="00536F11" w:rsidP="00FA0682">
      <w:pPr>
        <w:pBdr>
          <w:top w:val="nil"/>
          <w:left w:val="nil"/>
          <w:bottom w:val="nil"/>
          <w:right w:val="nil"/>
          <w:between w:val="nil"/>
        </w:pBdr>
        <w:ind w:right="-465"/>
        <w:rPr>
          <w:rFonts w:ascii="Calibri" w:eastAsia="Times New Roman" w:hAnsi="Calibri" w:cs="Calibri"/>
          <w:highlight w:val="yellow"/>
        </w:rPr>
      </w:pPr>
      <w:r w:rsidRPr="008A415B">
        <w:rPr>
          <w:rFonts w:ascii="Calibri" w:eastAsia="Times New Roman" w:hAnsi="Calibri" w:cs="Calibri"/>
        </w:rPr>
        <w:t>Wytyczne ogólne do symulator systemu LAF do stanowiska badawczego</w:t>
      </w:r>
    </w:p>
    <w:p w14:paraId="55316AF8"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r w:rsidRPr="008A415B">
        <w:rPr>
          <w:rFonts w:ascii="Calibri" w:eastAsia="Times New Roman" w:hAnsi="Calibri" w:cs="Calibri"/>
        </w:rPr>
        <w:t>Przeznaczenie badawcze:</w:t>
      </w:r>
    </w:p>
    <w:p w14:paraId="63E180D6" w14:textId="77777777" w:rsidR="00536F11" w:rsidRPr="008A415B" w:rsidRDefault="00536F11" w:rsidP="00536F11">
      <w:pPr>
        <w:numPr>
          <w:ilvl w:val="0"/>
          <w:numId w:val="8"/>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Prowadzenie badań jakości powietrza (czystości) w stanowisku badawczy, ocena czasu odnowy, analiza JTK dla różnych wariantów układów wewnętrznych.</w:t>
      </w:r>
    </w:p>
    <w:p w14:paraId="5D187C4A" w14:textId="77777777" w:rsidR="00536F11" w:rsidRPr="008A415B" w:rsidRDefault="00536F11" w:rsidP="00536F11">
      <w:pPr>
        <w:numPr>
          <w:ilvl w:val="0"/>
          <w:numId w:val="8"/>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Prowadzenie badań wpływu środowiska (środowisko cieplne, jakość powietrza, hałas i oświetlenie) w stanowisku badawczym na odczucia ludzi wewnątrz i na ryzyko zakażeń. Wizualizacja przepływu powietrza.</w:t>
      </w:r>
    </w:p>
    <w:p w14:paraId="0F6507F7" w14:textId="77777777" w:rsidR="00536F11" w:rsidRPr="008A415B" w:rsidRDefault="00536F11" w:rsidP="00536F11">
      <w:pPr>
        <w:numPr>
          <w:ilvl w:val="0"/>
          <w:numId w:val="8"/>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Prowadzenie pomiarów zużycia energii dla różnych wariantów nastaw parametrów i urządzeń. </w:t>
      </w:r>
    </w:p>
    <w:p w14:paraId="31EF437B" w14:textId="77777777" w:rsidR="00536F11" w:rsidRPr="008A415B" w:rsidRDefault="00536F11" w:rsidP="00536F11">
      <w:pPr>
        <w:numPr>
          <w:ilvl w:val="0"/>
          <w:numId w:val="8"/>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Prowadzenie badań z udziałem ludzi (wymagane okna umożliwiające obserwację warunków wewnętrznych podczas badania, głośniki i mikrofony umożliwiające kontakt z badanymi oraz szczelne otwory rewizyjne).</w:t>
      </w:r>
    </w:p>
    <w:p w14:paraId="42FC9ABA"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p>
    <w:p w14:paraId="6FC8B1A0"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r w:rsidRPr="008A415B">
        <w:rPr>
          <w:rFonts w:ascii="Calibri" w:eastAsia="Times New Roman" w:hAnsi="Calibri" w:cs="Calibri"/>
        </w:rPr>
        <w:t>Symulator powinien obejmować następujące branże:</w:t>
      </w:r>
    </w:p>
    <w:p w14:paraId="01534216"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p>
    <w:p w14:paraId="721AFC50" w14:textId="77777777" w:rsidR="00536F11" w:rsidRPr="008A415B" w:rsidRDefault="00536F11" w:rsidP="00536F11">
      <w:pPr>
        <w:pStyle w:val="Akapitzlist"/>
        <w:numPr>
          <w:ilvl w:val="0"/>
          <w:numId w:val="9"/>
        </w:numPr>
        <w:pBdr>
          <w:top w:val="nil"/>
          <w:left w:val="nil"/>
          <w:bottom w:val="nil"/>
          <w:right w:val="nil"/>
          <w:between w:val="nil"/>
        </w:pBdr>
        <w:ind w:right="-465"/>
        <w:rPr>
          <w:rFonts w:ascii="Calibri" w:eastAsia="Times New Roman" w:hAnsi="Calibri" w:cs="Calibri"/>
          <w:b/>
        </w:rPr>
      </w:pPr>
      <w:r w:rsidRPr="008A415B">
        <w:rPr>
          <w:rFonts w:ascii="Calibri" w:eastAsia="Times New Roman" w:hAnsi="Calibri" w:cs="Calibri"/>
          <w:b/>
        </w:rPr>
        <w:t>Technologię sal operacyjnych</w:t>
      </w:r>
    </w:p>
    <w:p w14:paraId="104E7D5B"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W symulatorze należy przewidzieć lokalizację:</w:t>
      </w:r>
    </w:p>
    <w:p w14:paraId="2E2BC77A" w14:textId="77777777" w:rsidR="00536F11" w:rsidRPr="008A415B" w:rsidRDefault="00536F11" w:rsidP="00536F11">
      <w:pPr>
        <w:pStyle w:val="Akapitzlist"/>
        <w:numPr>
          <w:ilvl w:val="0"/>
          <w:numId w:val="10"/>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stołu operacyjnego w centralnej części komory, pacjenta na stole oraz personelu (łącznie maksymalnie 8 osób) w polu operacyjnym;</w:t>
      </w:r>
    </w:p>
    <w:p w14:paraId="60906EBB" w14:textId="77777777" w:rsidR="00536F11" w:rsidRPr="008A415B" w:rsidRDefault="00536F11" w:rsidP="00536F11">
      <w:pPr>
        <w:pStyle w:val="Akapitzlist"/>
        <w:numPr>
          <w:ilvl w:val="0"/>
          <w:numId w:val="10"/>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kolumny anestezjologicznej z możliwością podwieszenia aparatu do znieczulenia;</w:t>
      </w:r>
    </w:p>
    <w:p w14:paraId="1FF4ECDA" w14:textId="77777777" w:rsidR="00536F11" w:rsidRPr="008A415B" w:rsidRDefault="00536F11" w:rsidP="00536F11">
      <w:pPr>
        <w:pStyle w:val="Akapitzlist"/>
        <w:numPr>
          <w:ilvl w:val="0"/>
          <w:numId w:val="10"/>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kolumny chirurgicznej;</w:t>
      </w:r>
    </w:p>
    <w:p w14:paraId="122F36C6" w14:textId="77777777" w:rsidR="00536F11" w:rsidRPr="008A415B" w:rsidRDefault="00536F11" w:rsidP="00536F11">
      <w:pPr>
        <w:pStyle w:val="Akapitzlist"/>
        <w:numPr>
          <w:ilvl w:val="0"/>
          <w:numId w:val="10"/>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lampy operacyjnej </w:t>
      </w:r>
      <w:proofErr w:type="spellStart"/>
      <w:r w:rsidRPr="008A415B">
        <w:rPr>
          <w:rFonts w:ascii="Calibri" w:eastAsia="Times New Roman" w:hAnsi="Calibri" w:cs="Calibri"/>
        </w:rPr>
        <w:t>dwuczaszowej</w:t>
      </w:r>
      <w:proofErr w:type="spellEnd"/>
      <w:r w:rsidRPr="008A415B">
        <w:rPr>
          <w:rFonts w:ascii="Calibri" w:eastAsia="Times New Roman" w:hAnsi="Calibri" w:cs="Calibri"/>
        </w:rPr>
        <w:t xml:space="preserve"> lub obecnie stosowanej w pomieszczeniu 33;</w:t>
      </w:r>
    </w:p>
    <w:p w14:paraId="3854F9A9" w14:textId="77777777" w:rsidR="00536F11" w:rsidRPr="008A415B" w:rsidRDefault="00536F11" w:rsidP="00536F11">
      <w:pPr>
        <w:pStyle w:val="Akapitzlist"/>
        <w:numPr>
          <w:ilvl w:val="0"/>
          <w:numId w:val="10"/>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gniazd do poboru gazów medycznych i instalacji sprężonego powietrza;</w:t>
      </w:r>
    </w:p>
    <w:p w14:paraId="2EFA96EC" w14:textId="77777777" w:rsidR="00536F11" w:rsidRPr="008A415B" w:rsidRDefault="00536F11" w:rsidP="00536F11">
      <w:pPr>
        <w:pStyle w:val="Akapitzlist"/>
        <w:numPr>
          <w:ilvl w:val="0"/>
          <w:numId w:val="10"/>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śluzy poprzedzające wejście badanych do komory.</w:t>
      </w:r>
    </w:p>
    <w:p w14:paraId="5E7C9CFF"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Planowana jest symulacja m.in zabiegów ortopedycznych czy kardiochirurgicznych.</w:t>
      </w:r>
    </w:p>
    <w:p w14:paraId="6D9FC47E"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Klasa czystości pyłowej i bakteriologicznej: ISO 4</w:t>
      </w:r>
    </w:p>
    <w:p w14:paraId="2541F828"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Klasa czystości mikrobiologicznej: </w:t>
      </w:r>
      <w:proofErr w:type="spellStart"/>
      <w:r w:rsidRPr="008A415B">
        <w:rPr>
          <w:rFonts w:ascii="Calibri" w:eastAsia="Times New Roman" w:hAnsi="Calibri" w:cs="Calibri"/>
        </w:rPr>
        <w:t>Ia</w:t>
      </w:r>
      <w:proofErr w:type="spellEnd"/>
      <w:r w:rsidRPr="008A415B">
        <w:rPr>
          <w:rFonts w:ascii="Calibri" w:eastAsia="Times New Roman" w:hAnsi="Calibri" w:cs="Calibri"/>
        </w:rPr>
        <w:t>/ S1a</w:t>
      </w:r>
    </w:p>
    <w:p w14:paraId="6ED9DD09"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Zakładane parametry powietrza w komorze (stabilne w czasie): </w:t>
      </w:r>
    </w:p>
    <w:p w14:paraId="37019F8D" w14:textId="77777777" w:rsidR="00536F11" w:rsidRPr="008A415B" w:rsidRDefault="00536F11" w:rsidP="00536F11">
      <w:pPr>
        <w:pStyle w:val="Akapitzlist"/>
        <w:numPr>
          <w:ilvl w:val="0"/>
          <w:numId w:val="11"/>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regulowana i kontrolowana temperatura powietrza w zakresie 16</w:t>
      </w:r>
      <w:r w:rsidRPr="008A415B">
        <w:rPr>
          <w:rFonts w:ascii="Calibri" w:eastAsia="Times New Roman" w:hAnsi="Calibri" w:cs="Calibri"/>
          <w:vertAlign w:val="superscript"/>
        </w:rPr>
        <w:t>o</w:t>
      </w:r>
      <w:r w:rsidRPr="008A415B">
        <w:rPr>
          <w:rFonts w:ascii="Calibri" w:eastAsia="Times New Roman" w:hAnsi="Calibri" w:cs="Calibri"/>
        </w:rPr>
        <w:t>C – 26</w:t>
      </w:r>
      <w:r w:rsidRPr="008A415B">
        <w:rPr>
          <w:rFonts w:ascii="Calibri" w:eastAsia="Times New Roman" w:hAnsi="Calibri" w:cs="Calibri"/>
          <w:vertAlign w:val="superscript"/>
        </w:rPr>
        <w:t>o</w:t>
      </w:r>
      <w:r w:rsidRPr="008A415B">
        <w:rPr>
          <w:rFonts w:ascii="Calibri" w:eastAsia="Times New Roman" w:hAnsi="Calibri" w:cs="Calibri"/>
        </w:rPr>
        <w:t>C (z krokiem 0,5</w:t>
      </w:r>
      <w:r w:rsidRPr="008A415B">
        <w:rPr>
          <w:rFonts w:ascii="Calibri" w:eastAsia="Times New Roman" w:hAnsi="Calibri" w:cs="Calibri"/>
          <w:vertAlign w:val="superscript"/>
        </w:rPr>
        <w:t>o</w:t>
      </w:r>
      <w:r w:rsidRPr="008A415B">
        <w:rPr>
          <w:rFonts w:ascii="Calibri" w:eastAsia="Times New Roman" w:hAnsi="Calibri" w:cs="Calibri"/>
        </w:rPr>
        <w:t>C)</w:t>
      </w:r>
    </w:p>
    <w:p w14:paraId="5452B2AC" w14:textId="77777777" w:rsidR="00536F11" w:rsidRPr="008A415B" w:rsidRDefault="00536F11" w:rsidP="00536F11">
      <w:pPr>
        <w:pStyle w:val="Akapitzlist"/>
        <w:numPr>
          <w:ilvl w:val="0"/>
          <w:numId w:val="11"/>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regulowana i kontrolowana wilgotność względna powietrza w zakresie 30% – 60% (z krokiem 5%)</w:t>
      </w:r>
    </w:p>
    <w:p w14:paraId="039D5125" w14:textId="77777777" w:rsidR="00536F11" w:rsidRPr="008A415B" w:rsidRDefault="00536F11" w:rsidP="00536F11">
      <w:pPr>
        <w:pStyle w:val="Akapitzlist"/>
        <w:numPr>
          <w:ilvl w:val="0"/>
          <w:numId w:val="11"/>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regulowana i kontrolowana prędkość powietrza w zakresie 0,01 m/s - 0,6 m/s (z krokiem 0,05 m/s)</w:t>
      </w:r>
    </w:p>
    <w:p w14:paraId="453EB80E" w14:textId="77777777" w:rsidR="00536F11" w:rsidRPr="008A415B" w:rsidRDefault="00536F11" w:rsidP="00536F11">
      <w:pPr>
        <w:pStyle w:val="Akapitzlist"/>
        <w:numPr>
          <w:ilvl w:val="0"/>
          <w:numId w:val="11"/>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regulowane i kontrolowane nadciśnienie powietrza w komorze względem pomieszczenia 33: 1 – 20 Pa (z krokiem 1Pa)</w:t>
      </w:r>
    </w:p>
    <w:p w14:paraId="1227D318"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p>
    <w:p w14:paraId="1CDA09AD" w14:textId="77777777" w:rsidR="00536F11" w:rsidRPr="008A415B" w:rsidRDefault="00536F11" w:rsidP="00536F11">
      <w:pPr>
        <w:pStyle w:val="Akapitzlist"/>
        <w:numPr>
          <w:ilvl w:val="0"/>
          <w:numId w:val="9"/>
        </w:numPr>
        <w:pBdr>
          <w:top w:val="nil"/>
          <w:left w:val="nil"/>
          <w:bottom w:val="nil"/>
          <w:right w:val="nil"/>
          <w:between w:val="nil"/>
        </w:pBdr>
        <w:ind w:right="-465"/>
        <w:rPr>
          <w:rFonts w:ascii="Calibri" w:eastAsia="Times New Roman" w:hAnsi="Calibri" w:cs="Calibri"/>
          <w:b/>
        </w:rPr>
      </w:pPr>
      <w:r w:rsidRPr="008A415B">
        <w:rPr>
          <w:rFonts w:ascii="Calibri" w:eastAsia="Times New Roman" w:hAnsi="Calibri" w:cs="Calibri"/>
          <w:b/>
        </w:rPr>
        <w:t>Branżę budowlaną</w:t>
      </w:r>
    </w:p>
    <w:p w14:paraId="73B1F009"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Przewiduje się wykonanie symulatora wewnątrz istniejącego pomieszczenia kontrolnego w technologii „</w:t>
      </w:r>
      <w:proofErr w:type="spellStart"/>
      <w:r w:rsidRPr="008A415B">
        <w:rPr>
          <w:rFonts w:ascii="Calibri" w:eastAsia="Times New Roman" w:hAnsi="Calibri" w:cs="Calibri"/>
        </w:rPr>
        <w:t>box</w:t>
      </w:r>
      <w:proofErr w:type="spellEnd"/>
      <w:r w:rsidRPr="008A415B">
        <w:rPr>
          <w:rFonts w:ascii="Calibri" w:eastAsia="Times New Roman" w:hAnsi="Calibri" w:cs="Calibri"/>
        </w:rPr>
        <w:t xml:space="preserve"> in </w:t>
      </w:r>
      <w:proofErr w:type="spellStart"/>
      <w:r w:rsidRPr="008A415B">
        <w:rPr>
          <w:rFonts w:ascii="Calibri" w:eastAsia="Times New Roman" w:hAnsi="Calibri" w:cs="Calibri"/>
        </w:rPr>
        <w:t>box</w:t>
      </w:r>
      <w:proofErr w:type="spellEnd"/>
      <w:r w:rsidRPr="008A415B">
        <w:rPr>
          <w:rFonts w:ascii="Calibri" w:eastAsia="Times New Roman" w:hAnsi="Calibri" w:cs="Calibri"/>
        </w:rPr>
        <w:t xml:space="preserve">”. Ściany symulatora powinny być zaprojektowane w standardzie sal operacyjnych i pomieszczeń czystych. Przewidzieć należy montaż ścianek czystych na konstrukcji wsporczej mocowanej do podłogi i istniejących ścian. Nie przewiduje się możliwości chodzenia dookoła ścianek czystych od strony zewnętrznej. Ścianki czyste powinny być w wykonaniu modułowym ze stali kwasoodpornej, łączonych ze sobą w sposób uniemożliwiający powstawanie szczelin i zbieranie się brudu wg technologii dostawcy. Powierzchnie powinny być płaskie i łatwe w utrzymaniu czystości. Wysokość symulatora powinna odpowiadać standardom sal operacyjnych. W suficie symulatora należy przewidzieć umieszczenie nawiewu laminarnego zgodnego z wymogami dla sal operacyjnych wraz z oświetleniem. Pozostała część sufitu zamknięta w wykonaniu szczelnym, panelowym. Sufit mocowany do konstrukcji wsporczej lub podwieszany do stropu. Nad sufitem instalacja HVAC i elektryczna. W okolicy istniejącego okna zostanie wydzielona przestrzeń dla zlokalizowania elementów instalacji HVAC. Należy przewidzieć zamykane wejście do symulatora z przedsionka pomieszczenia kontrolnego. Należy przewidzieć okno w wykonaniu czystym do wzrokowego kontaktu pomiędzy personelem w symulatorze i w pomieszczeniu kontrolnym. Nie przewiduje się innych okien w symulatorze. Pod oknem kontrolnym zlokalizować należy szczelny przepust dla prowadzenia okablowania do przyrządów pomiarowych pomiędzy symulatorem, a pomieszczeniem kontrolnym. Okablowanie z czujników wykorzystywanych do testów będzie wprowadzane w przepust i uszczelniane przed wykonywaniem badań. Podłoga powinna być wyłożona wykładziną do pomieszczeń czystych (np. </w:t>
      </w:r>
      <w:proofErr w:type="spellStart"/>
      <w:r w:rsidRPr="008A415B">
        <w:rPr>
          <w:rFonts w:ascii="Calibri" w:eastAsia="Times New Roman" w:hAnsi="Calibri" w:cs="Calibri"/>
        </w:rPr>
        <w:t>Tarket</w:t>
      </w:r>
      <w:proofErr w:type="spellEnd"/>
      <w:r w:rsidRPr="008A415B">
        <w:rPr>
          <w:rFonts w:ascii="Calibri" w:eastAsia="Times New Roman" w:hAnsi="Calibri" w:cs="Calibri"/>
        </w:rPr>
        <w:t>) z zachowaniem wymagań dotyczących czystości i utrzymania (</w:t>
      </w:r>
      <w:proofErr w:type="spellStart"/>
      <w:r w:rsidRPr="008A415B">
        <w:rPr>
          <w:rFonts w:ascii="Calibri" w:eastAsia="Times New Roman" w:hAnsi="Calibri" w:cs="Calibri"/>
        </w:rPr>
        <w:t>wyoblenia</w:t>
      </w:r>
      <w:proofErr w:type="spellEnd"/>
      <w:r w:rsidRPr="008A415B">
        <w:rPr>
          <w:rFonts w:ascii="Calibri" w:eastAsia="Times New Roman" w:hAnsi="Calibri" w:cs="Calibri"/>
        </w:rPr>
        <w:t xml:space="preserve">, brak kątów prostych itp.). Należy zwrócić szczególną uwagę na zachowanie szczelności symulatora (rozwiązania techniczne i wytyczne dla innych </w:t>
      </w:r>
      <w:proofErr w:type="spellStart"/>
      <w:r w:rsidRPr="008A415B">
        <w:rPr>
          <w:rFonts w:ascii="Calibri" w:eastAsia="Times New Roman" w:hAnsi="Calibri" w:cs="Calibri"/>
        </w:rPr>
        <w:t>braż</w:t>
      </w:r>
      <w:proofErr w:type="spellEnd"/>
      <w:r w:rsidRPr="008A415B">
        <w:rPr>
          <w:rFonts w:ascii="Calibri" w:eastAsia="Times New Roman" w:hAnsi="Calibri" w:cs="Calibri"/>
        </w:rPr>
        <w:t>) ze względu na planowane nadciśnienie ok 20Pa w trakcie prac badawczych w symulatorze.</w:t>
      </w:r>
    </w:p>
    <w:p w14:paraId="0C528056"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p>
    <w:p w14:paraId="5412087B" w14:textId="77777777" w:rsidR="00536F11" w:rsidRPr="008A415B" w:rsidRDefault="00536F11" w:rsidP="00536F11">
      <w:pPr>
        <w:pStyle w:val="Akapitzlist"/>
        <w:numPr>
          <w:ilvl w:val="0"/>
          <w:numId w:val="9"/>
        </w:numPr>
        <w:pBdr>
          <w:top w:val="nil"/>
          <w:left w:val="nil"/>
          <w:bottom w:val="nil"/>
          <w:right w:val="nil"/>
          <w:between w:val="nil"/>
        </w:pBdr>
        <w:ind w:right="-465"/>
        <w:rPr>
          <w:rFonts w:ascii="Calibri" w:eastAsia="Times New Roman" w:hAnsi="Calibri" w:cs="Calibri"/>
          <w:b/>
        </w:rPr>
      </w:pPr>
      <w:r w:rsidRPr="008A415B">
        <w:rPr>
          <w:rFonts w:ascii="Calibri" w:eastAsia="Times New Roman" w:hAnsi="Calibri" w:cs="Calibri"/>
          <w:b/>
        </w:rPr>
        <w:t>Branżę sanitarną</w:t>
      </w:r>
    </w:p>
    <w:p w14:paraId="52DC3B16"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Należy zaprojektować wentylację mechaniczną i klimatyzację do symulatora. Układ powinien być zaprojektowany z zapasem parametrycznym (wydatki, spręże, moce grzewcze, moce chłodnicze itp.) ze względu na możliwości </w:t>
      </w:r>
      <w:r w:rsidRPr="008A415B">
        <w:rPr>
          <w:rFonts w:ascii="Calibri" w:eastAsia="Times New Roman" w:hAnsi="Calibri" w:cs="Calibri"/>
        </w:rPr>
        <w:lastRenderedPageBreak/>
        <w:t xml:space="preserve">przeprowadzania badań w warunkach przekraczających normalne parametry pracy dla sal operacyjnych – możliwość symulowania przegrzewów i przechłodzeń oraz zmian wydajności pracy układu (pełna recyrkulacja, pełna wydajność na 100% świeżego powietrza, zmienne wydajności i udziały poszczególnych strumieni powietrza </w:t>
      </w:r>
      <w:proofErr w:type="spellStart"/>
      <w:r w:rsidRPr="008A415B">
        <w:rPr>
          <w:rFonts w:ascii="Calibri" w:eastAsia="Times New Roman" w:hAnsi="Calibri" w:cs="Calibri"/>
        </w:rPr>
        <w:t>itp</w:t>
      </w:r>
      <w:proofErr w:type="spellEnd"/>
      <w:r w:rsidRPr="008A415B">
        <w:rPr>
          <w:rFonts w:ascii="Calibri" w:eastAsia="Times New Roman" w:hAnsi="Calibri" w:cs="Calibri"/>
        </w:rPr>
        <w:t>). Centrala wentylacyjna może być zaprojektowana jako jeden blok lub może składać się z poszczególnych elementów osobno (blok filtrów, blok nagrzewnicy/chłodnicy, blok wentylatora, blok przepustnicy, itd.) połączonych kanałami prostokątnymi lub okrągłymi tworzących jeden układ. Czerpnie i wyrzutnie planuje się zlokalizować w istniejących oknach zewnętrznych wychodzących na zewnątrz budynku na poziomie wysokiego parteru. Układ powinien zapewniać wielostopniową filtrację powietrza (filtry wstępne, filtry dokładne, filtry absolutne) dla poszczególnych strumieni powietrza (nawiewanego, cyrkulacyjnego, wyrzutowego) wraz z monitoringiem zabrudzenia filtrów. Układ ogrzewania i chłodzenia oparty powinien być na pompie ciepła z wymiennikiem powietrze – powietrze. Pompa ciepła powinna być wyposażona w bezstopniowy układ kompresorowy zapewniający płynną regulację temperatury zarówno dla grzania jak i chłodzenia (stabilność temperatury powietrza nawiewanego w czasie i w przestrzeni pola operacyjnego jest warunkiem kluczowym dla prowadzania badań). Należy przewidzieć możliwość instalacji kanałowej nagrzewnicy elektrycznej do pokrycia strat i ewentualnej symulacji przegrzewu lub stabilizacji temperatury nawiewu poprzez sposób regulacji oparty na regulatorze PWM (</w:t>
      </w:r>
      <w:proofErr w:type="spellStart"/>
      <w:r w:rsidRPr="008A415B">
        <w:rPr>
          <w:rFonts w:ascii="Calibri" w:eastAsia="Times New Roman" w:hAnsi="Calibri" w:cs="Calibri"/>
        </w:rPr>
        <w:t>Pulse</w:t>
      </w:r>
      <w:proofErr w:type="spellEnd"/>
      <w:r w:rsidRPr="008A415B">
        <w:rPr>
          <w:rFonts w:ascii="Calibri" w:eastAsia="Times New Roman" w:hAnsi="Calibri" w:cs="Calibri"/>
        </w:rPr>
        <w:t xml:space="preserve"> </w:t>
      </w:r>
      <w:proofErr w:type="spellStart"/>
      <w:r w:rsidRPr="008A415B">
        <w:rPr>
          <w:rFonts w:ascii="Calibri" w:eastAsia="Times New Roman" w:hAnsi="Calibri" w:cs="Calibri"/>
        </w:rPr>
        <w:t>Width</w:t>
      </w:r>
      <w:proofErr w:type="spellEnd"/>
      <w:r w:rsidRPr="008A415B">
        <w:rPr>
          <w:rFonts w:ascii="Calibri" w:eastAsia="Times New Roman" w:hAnsi="Calibri" w:cs="Calibri"/>
        </w:rPr>
        <w:t xml:space="preserve"> </w:t>
      </w:r>
      <w:proofErr w:type="spellStart"/>
      <w:r w:rsidRPr="008A415B">
        <w:rPr>
          <w:rFonts w:ascii="Calibri" w:eastAsia="Times New Roman" w:hAnsi="Calibri" w:cs="Calibri"/>
        </w:rPr>
        <w:t>Modulation</w:t>
      </w:r>
      <w:proofErr w:type="spellEnd"/>
      <w:r w:rsidRPr="008A415B">
        <w:rPr>
          <w:rFonts w:ascii="Calibri" w:eastAsia="Times New Roman" w:hAnsi="Calibri" w:cs="Calibri"/>
        </w:rPr>
        <w:t>) lub regulacji ciągłej. Pompa ciepła powinna być wyposażona moduł komunikacyjny do zdalnego monitoringu i zmian parametrów pracy przez system LMS (</w:t>
      </w:r>
      <w:proofErr w:type="spellStart"/>
      <w:r w:rsidRPr="008A415B">
        <w:rPr>
          <w:rFonts w:ascii="Calibri" w:eastAsia="Times New Roman" w:hAnsi="Calibri" w:cs="Calibri"/>
        </w:rPr>
        <w:t>Laboratory</w:t>
      </w:r>
      <w:proofErr w:type="spellEnd"/>
      <w:r w:rsidRPr="008A415B">
        <w:rPr>
          <w:rFonts w:ascii="Calibri" w:eastAsia="Times New Roman" w:hAnsi="Calibri" w:cs="Calibri"/>
        </w:rPr>
        <w:t xml:space="preserve"> </w:t>
      </w:r>
      <w:proofErr w:type="spellStart"/>
      <w:r w:rsidRPr="008A415B">
        <w:rPr>
          <w:rFonts w:ascii="Calibri" w:eastAsia="Times New Roman" w:hAnsi="Calibri" w:cs="Calibri"/>
        </w:rPr>
        <w:t>Managemnt</w:t>
      </w:r>
      <w:proofErr w:type="spellEnd"/>
      <w:r w:rsidRPr="008A415B">
        <w:rPr>
          <w:rFonts w:ascii="Calibri" w:eastAsia="Times New Roman" w:hAnsi="Calibri" w:cs="Calibri"/>
        </w:rPr>
        <w:t xml:space="preserve"> System) po protokole </w:t>
      </w:r>
      <w:proofErr w:type="spellStart"/>
      <w:r w:rsidRPr="008A415B">
        <w:rPr>
          <w:rFonts w:ascii="Calibri" w:eastAsia="Times New Roman" w:hAnsi="Calibri" w:cs="Calibri"/>
        </w:rPr>
        <w:t>BacNetIP</w:t>
      </w:r>
      <w:proofErr w:type="spellEnd"/>
      <w:r w:rsidRPr="008A415B">
        <w:rPr>
          <w:rFonts w:ascii="Calibri" w:eastAsia="Times New Roman" w:hAnsi="Calibri" w:cs="Calibri"/>
        </w:rPr>
        <w:t>. Dystrybucja powietrza poprzez kanały wentylacyjne doprowadzona będzie do nawiewu LAF z możliwością cyrkulacji. Należy przewidzieć przepustnice powietrza świeżego, recyrkulacyjnego i wyrzutowego z siłownikami analogowymi do płynnej regulacji i monitoringu. Wentylatory powinny zapewnić dostarczenie odpowiedniej ilości powietrza z określonym sprężem, należy uwzględnić potrzebne zapasy (mocy/sprężu/wydajności) do przeprowadzania przeregulowań układu. Silniki wentylatorów powinny być klasy EC z możliwością płynnej regulacji w zakresie określonych charakterystyk. W symulatorze należy zapewnić nadciśnienie na poziomie 20Pa z możliwością jego regulacji. Proponowany system regulacji nadciśnienia to: stały nawiew (CAV) poprzez LAF z założoną prędkością, ciśnieniem i krotnością wymian oraz zmienny wyciąg (VAV) poprzez kolumny. Straty ciśnienia i wolumeny powietrza na pokrycie nieszczelności należy uwzględnić w obliczeniach układu wentylacji. Układ sterowania i monitoringu LMS (</w:t>
      </w:r>
      <w:proofErr w:type="spellStart"/>
      <w:r w:rsidRPr="008A415B">
        <w:rPr>
          <w:rFonts w:ascii="Calibri" w:eastAsia="Times New Roman" w:hAnsi="Calibri" w:cs="Calibri"/>
        </w:rPr>
        <w:t>Laboratory</w:t>
      </w:r>
      <w:proofErr w:type="spellEnd"/>
      <w:r w:rsidRPr="008A415B">
        <w:rPr>
          <w:rFonts w:ascii="Calibri" w:eastAsia="Times New Roman" w:hAnsi="Calibri" w:cs="Calibri"/>
        </w:rPr>
        <w:t xml:space="preserve"> </w:t>
      </w:r>
      <w:proofErr w:type="spellStart"/>
      <w:r w:rsidRPr="008A415B">
        <w:rPr>
          <w:rFonts w:ascii="Calibri" w:eastAsia="Times New Roman" w:hAnsi="Calibri" w:cs="Calibri"/>
        </w:rPr>
        <w:t>Managemnt</w:t>
      </w:r>
      <w:proofErr w:type="spellEnd"/>
      <w:r w:rsidRPr="008A415B">
        <w:rPr>
          <w:rFonts w:ascii="Calibri" w:eastAsia="Times New Roman" w:hAnsi="Calibri" w:cs="Calibri"/>
        </w:rPr>
        <w:t xml:space="preserve"> System) powinien zapewnić monitorowanie oraz rejestrację wszystkich dostępnych w układzie parametrów fizycznych (temperatury, wilgotności oraz prędkości powietrza, procenty wysterowania wentylatorów, procenty otwarcia przepustnic, stany filtrów, ciśnienia, wydajności, itd.) oraz zapewnić sterowanie w czasie rzeczywistym wszystkimi elementami układu wraz z wykonywaniem obliczeń, </w:t>
      </w:r>
      <w:proofErr w:type="spellStart"/>
      <w:r w:rsidRPr="008A415B">
        <w:rPr>
          <w:rFonts w:ascii="Calibri" w:eastAsia="Times New Roman" w:hAnsi="Calibri" w:cs="Calibri"/>
        </w:rPr>
        <w:t>trendowaniem</w:t>
      </w:r>
      <w:proofErr w:type="spellEnd"/>
      <w:r w:rsidRPr="008A415B">
        <w:rPr>
          <w:rFonts w:ascii="Calibri" w:eastAsia="Times New Roman" w:hAnsi="Calibri" w:cs="Calibri"/>
        </w:rPr>
        <w:t xml:space="preserve"> i archiwizacją danych. Układ LMS będzie osobnym opracowaniem na potrzeby symulatora, jednakże wymaga koordynacji w trakcie opracowania projektu branży sanitarnej. W symulatorze nie przewiduje się instalacji wodno-kanalizacyjnej. Należy zapewnić możliwość instalacji nawilżacza kanałowego (prosty odcinek kanału nawiewnego) do instalacji w przyszłości. Instalację należy wyposażyć w tłumiki aby zapewnić odpowiednie poziomy natężenia hałasu od urządzeń wentylacyjnych.</w:t>
      </w:r>
    </w:p>
    <w:p w14:paraId="65D3A41D"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p>
    <w:p w14:paraId="034BE6AC" w14:textId="77777777" w:rsidR="00536F11" w:rsidRPr="008A415B" w:rsidRDefault="00536F11" w:rsidP="00536F11">
      <w:pPr>
        <w:pStyle w:val="Akapitzlist"/>
        <w:numPr>
          <w:ilvl w:val="0"/>
          <w:numId w:val="9"/>
        </w:numPr>
        <w:pBdr>
          <w:top w:val="nil"/>
          <w:left w:val="nil"/>
          <w:bottom w:val="nil"/>
          <w:right w:val="nil"/>
          <w:between w:val="nil"/>
        </w:pBdr>
        <w:ind w:right="-465"/>
        <w:rPr>
          <w:rFonts w:ascii="Calibri" w:eastAsia="Times New Roman" w:hAnsi="Calibri" w:cs="Calibri"/>
          <w:b/>
        </w:rPr>
      </w:pPr>
      <w:r w:rsidRPr="008A415B">
        <w:rPr>
          <w:rFonts w:ascii="Calibri" w:eastAsia="Times New Roman" w:hAnsi="Calibri" w:cs="Calibri"/>
          <w:b/>
        </w:rPr>
        <w:t>Branżę elektryczną:</w:t>
      </w:r>
    </w:p>
    <w:p w14:paraId="11DD0ACF"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Na potrzeby symulatora należy zaprojektować osobną rozdzielnię elektryczną w wykonaniu natynkowym zlokalizowaną w pomieszczeniu kontrolnym. Rozdzielnia ma zapewnić zasilanie dla całego symulatora i pomieszczenia kontrolnego. Rozdzielnia powinna być zasilana napięciem 3 fazowym. Należy przewidzieć doprowadzenie osobnego WLZ z rozdzielnicy budynkowej znajdującej się na poziomie -1. Odległość od rozdzielni głównej budynkowej do rozdzielnicy symulatora nie powinna przekroczyć 50 metrów.</w:t>
      </w:r>
    </w:p>
    <w:p w14:paraId="67F47520"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Rozdzielnica powinna zostać wyposażona w odpowiednie wyłączniki i zabezpieczenia (również różnicowo-prądowe). Przewiduje się zastosowanie głównego wyłącznika bezpieczeństwa zlokalizowanego w pomieszczeniu kontrolnym. </w:t>
      </w:r>
    </w:p>
    <w:p w14:paraId="283E39DF"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Rozdzielnię należy wyposażyć w analizator sieci z możliwością przekazania informacji do systemu LMS (</w:t>
      </w:r>
      <w:proofErr w:type="spellStart"/>
      <w:r w:rsidRPr="008A415B">
        <w:rPr>
          <w:rFonts w:ascii="Calibri" w:eastAsia="Times New Roman" w:hAnsi="Calibri" w:cs="Calibri"/>
        </w:rPr>
        <w:t>Laboratory</w:t>
      </w:r>
      <w:proofErr w:type="spellEnd"/>
      <w:r w:rsidRPr="008A415B">
        <w:rPr>
          <w:rFonts w:ascii="Calibri" w:eastAsia="Times New Roman" w:hAnsi="Calibri" w:cs="Calibri"/>
        </w:rPr>
        <w:t xml:space="preserve"> Management System) po protokole </w:t>
      </w:r>
      <w:proofErr w:type="spellStart"/>
      <w:r w:rsidRPr="008A415B">
        <w:rPr>
          <w:rFonts w:ascii="Calibri" w:eastAsia="Times New Roman" w:hAnsi="Calibri" w:cs="Calibri"/>
        </w:rPr>
        <w:t>Modbus</w:t>
      </w:r>
      <w:proofErr w:type="spellEnd"/>
      <w:r w:rsidRPr="008A415B">
        <w:rPr>
          <w:rFonts w:ascii="Calibri" w:eastAsia="Times New Roman" w:hAnsi="Calibri" w:cs="Calibri"/>
        </w:rPr>
        <w:t xml:space="preserve"> lub </w:t>
      </w:r>
      <w:proofErr w:type="spellStart"/>
      <w:r w:rsidRPr="008A415B">
        <w:rPr>
          <w:rFonts w:ascii="Calibri" w:eastAsia="Times New Roman" w:hAnsi="Calibri" w:cs="Calibri"/>
        </w:rPr>
        <w:t>BacNetIP</w:t>
      </w:r>
      <w:proofErr w:type="spellEnd"/>
      <w:r w:rsidRPr="008A415B">
        <w:rPr>
          <w:rFonts w:ascii="Calibri" w:eastAsia="Times New Roman" w:hAnsi="Calibri" w:cs="Calibri"/>
        </w:rPr>
        <w:t>.</w:t>
      </w:r>
    </w:p>
    <w:p w14:paraId="763EF367"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r w:rsidRPr="008A415B">
        <w:rPr>
          <w:rFonts w:ascii="Calibri" w:eastAsia="Times New Roman" w:hAnsi="Calibri" w:cs="Calibri"/>
        </w:rPr>
        <w:t xml:space="preserve">Główne odbiory do zasilenia z rozdzielnicy: </w:t>
      </w:r>
    </w:p>
    <w:p w14:paraId="680CBCFD" w14:textId="77777777" w:rsidR="00536F11" w:rsidRPr="008A415B" w:rsidRDefault="00536F11" w:rsidP="00FA0682">
      <w:pPr>
        <w:pBdr>
          <w:top w:val="nil"/>
          <w:left w:val="nil"/>
          <w:bottom w:val="nil"/>
          <w:right w:val="nil"/>
          <w:between w:val="nil"/>
        </w:pBdr>
        <w:ind w:right="-465"/>
        <w:rPr>
          <w:rFonts w:ascii="Calibri" w:eastAsia="Times New Roman" w:hAnsi="Calibri" w:cs="Calibri"/>
        </w:rPr>
      </w:pPr>
    </w:p>
    <w:p w14:paraId="4BBB1871" w14:textId="77777777" w:rsidR="00536F11" w:rsidRPr="008A415B" w:rsidRDefault="00536F11" w:rsidP="00536F11">
      <w:pPr>
        <w:pStyle w:val="Akapitzlist"/>
        <w:numPr>
          <w:ilvl w:val="0"/>
          <w:numId w:val="12"/>
        </w:num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Odbiory oświetleniowe: Oświetlenie podstawowe – rastry 2-4 szt. Oświetlenie operacyjne - lampa operacyjna </w:t>
      </w:r>
      <w:proofErr w:type="spellStart"/>
      <w:r w:rsidRPr="008A415B">
        <w:rPr>
          <w:rFonts w:ascii="Calibri" w:eastAsia="Times New Roman" w:hAnsi="Calibri" w:cs="Calibri"/>
        </w:rPr>
        <w:t>dwuczaszowa</w:t>
      </w:r>
      <w:proofErr w:type="spellEnd"/>
      <w:r w:rsidRPr="008A415B">
        <w:rPr>
          <w:rFonts w:ascii="Calibri" w:eastAsia="Times New Roman" w:hAnsi="Calibri" w:cs="Calibri"/>
        </w:rPr>
        <w:t xml:space="preserve">. Dwie oprawy bateryjne oświetlenia awaryjnego 5 </w:t>
      </w:r>
      <w:proofErr w:type="spellStart"/>
      <w:r w:rsidRPr="008A415B">
        <w:rPr>
          <w:rFonts w:ascii="Calibri" w:eastAsia="Times New Roman" w:hAnsi="Calibri" w:cs="Calibri"/>
        </w:rPr>
        <w:t>lux</w:t>
      </w:r>
      <w:proofErr w:type="spellEnd"/>
      <w:r w:rsidRPr="008A415B">
        <w:rPr>
          <w:rFonts w:ascii="Calibri" w:eastAsia="Times New Roman" w:hAnsi="Calibri" w:cs="Calibri"/>
        </w:rPr>
        <w:t>.</w:t>
      </w:r>
    </w:p>
    <w:p w14:paraId="63A57B6B" w14:textId="77777777" w:rsidR="00536F11" w:rsidRPr="008A415B" w:rsidRDefault="00536F11" w:rsidP="00536F11">
      <w:pPr>
        <w:pStyle w:val="Akapitzlist"/>
        <w:numPr>
          <w:ilvl w:val="0"/>
          <w:numId w:val="12"/>
        </w:numPr>
        <w:pBdr>
          <w:top w:val="nil"/>
          <w:left w:val="nil"/>
          <w:bottom w:val="nil"/>
          <w:right w:val="nil"/>
          <w:between w:val="nil"/>
        </w:pBdr>
        <w:spacing w:line="276" w:lineRule="auto"/>
        <w:ind w:right="-465"/>
        <w:jc w:val="both"/>
        <w:rPr>
          <w:rFonts w:ascii="Calibri" w:eastAsia="Times New Roman" w:hAnsi="Calibri" w:cs="Calibri"/>
        </w:rPr>
      </w:pPr>
      <w:r w:rsidRPr="008A415B">
        <w:rPr>
          <w:rFonts w:ascii="Calibri" w:eastAsia="Times New Roman" w:hAnsi="Calibri" w:cs="Calibri"/>
        </w:rPr>
        <w:t>Odbiory Technologiczne: Zasilanie pompy ciepła - jednostki typu SPLIT – zasilanie 3 fazowe – moc do potwierdzenia. Instalacja HVAC – osobna podrozdzielnia automatyki i sterowania wentylacją – zasilanie 3 fazowe – moc do potwierdzenia. Kolumny anestezjologicznej z możliwością podwieszenia aparatu do znieczulenia – zasilanie 1fazowe. Kolumny chirurgicznej - zasilanie 1 fazowe. System SAP – jeden odpływ 230VAC.</w:t>
      </w:r>
    </w:p>
    <w:p w14:paraId="5E7CA5F0" w14:textId="77777777" w:rsidR="00536F11" w:rsidRPr="008A415B" w:rsidRDefault="00536F11" w:rsidP="00536F11">
      <w:pPr>
        <w:pStyle w:val="Akapitzlist"/>
        <w:numPr>
          <w:ilvl w:val="0"/>
          <w:numId w:val="12"/>
        </w:numPr>
        <w:pBdr>
          <w:top w:val="nil"/>
          <w:left w:val="nil"/>
          <w:bottom w:val="nil"/>
          <w:right w:val="nil"/>
          <w:between w:val="nil"/>
        </w:pBdr>
        <w:spacing w:line="276" w:lineRule="auto"/>
        <w:ind w:right="-465"/>
        <w:jc w:val="both"/>
        <w:rPr>
          <w:rFonts w:ascii="Calibri" w:eastAsia="Times New Roman" w:hAnsi="Calibri" w:cs="Calibri"/>
        </w:rPr>
      </w:pPr>
      <w:r w:rsidRPr="008A415B">
        <w:rPr>
          <w:rFonts w:ascii="Calibri" w:eastAsia="Times New Roman" w:hAnsi="Calibri" w:cs="Calibri"/>
        </w:rPr>
        <w:t xml:space="preserve">Odbiory zasilane z gniazdek: Gniazdka 1f 230VAC technologiczne – zgodnie z projektem symulatora (nie mniej niż 6-8 szt.). Gniazdka 1f 230VAC w pomieszczeniu kontrolnym LMS – 8 szt. gniazdek 230VAC natynkowych. </w:t>
      </w:r>
      <w:r w:rsidRPr="008A415B">
        <w:rPr>
          <w:rFonts w:ascii="Calibri" w:eastAsia="Times New Roman" w:hAnsi="Calibri" w:cs="Calibri"/>
        </w:rPr>
        <w:lastRenderedPageBreak/>
        <w:t xml:space="preserve">Kamera CCTV 2 sztuki – jeden odpływ 230VAC zakończony gniazdem. Kontrola Dostępu (blokada drzwi wejściowych do symulatora  – pseudo śluza) i system </w:t>
      </w:r>
      <w:proofErr w:type="spellStart"/>
      <w:r w:rsidRPr="008A415B">
        <w:rPr>
          <w:rFonts w:ascii="Calibri" w:eastAsia="Times New Roman" w:hAnsi="Calibri" w:cs="Calibri"/>
        </w:rPr>
        <w:t>interkomowy</w:t>
      </w:r>
      <w:proofErr w:type="spellEnd"/>
      <w:r w:rsidRPr="008A415B">
        <w:rPr>
          <w:rFonts w:ascii="Calibri" w:eastAsia="Times New Roman" w:hAnsi="Calibri" w:cs="Calibri"/>
        </w:rPr>
        <w:t xml:space="preserve"> – jeden odpływ 230VAC zakończony gniazdem podwójnym</w:t>
      </w:r>
    </w:p>
    <w:p w14:paraId="6EF6E1DE"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Należy przewidzieć dwukierunkowy system łączności </w:t>
      </w:r>
      <w:proofErr w:type="spellStart"/>
      <w:r w:rsidRPr="008A415B">
        <w:rPr>
          <w:rFonts w:ascii="Calibri" w:eastAsia="Times New Roman" w:hAnsi="Calibri" w:cs="Calibri"/>
        </w:rPr>
        <w:t>interkomowej</w:t>
      </w:r>
      <w:proofErr w:type="spellEnd"/>
      <w:r w:rsidRPr="008A415B">
        <w:rPr>
          <w:rFonts w:ascii="Calibri" w:eastAsia="Times New Roman" w:hAnsi="Calibri" w:cs="Calibri"/>
        </w:rPr>
        <w:t xml:space="preserve"> pomiędzy symulatorem i pomieszczeniem kontrolnym. Należy przewidzieć system blokady drzwi wejściowych do symulatora – pseudo śluza). Należy przewidzieć instalację dwóch kamer internetowych CCTV HD IP w symulatorem. Sieć IT zostanie wykonana we własnym zakresie, należy przewidzieć lokalizację 4 gniazd IT w panelach z gniazdkami elektrycznymi w symulatorze i 2 w pomieszczeniu kontrolnym. Wszystkie ściany i urządzenia powinny zostać uziemione. Prowadzenie kabli w rurkach PCV natynkowo lub korytkach, nie przewiduje się bruzdowania ścian. Przewody prowadzone w ściankach czystych wg technologii producenta. Należy zwrócić szczególną uwagę na zapewnienie szczelności przejść kablowych oraz elementów osprzętu elektrycznego ze względu na panujące w symulatorze nadciśnienie ok 20Pa.</w:t>
      </w:r>
    </w:p>
    <w:p w14:paraId="10440141" w14:textId="77777777" w:rsidR="00536F11" w:rsidRPr="008A415B" w:rsidRDefault="00536F11" w:rsidP="00FA0682">
      <w:pPr>
        <w:pStyle w:val="Akapitzlist"/>
        <w:pBdr>
          <w:top w:val="nil"/>
          <w:left w:val="nil"/>
          <w:bottom w:val="nil"/>
          <w:right w:val="nil"/>
          <w:between w:val="nil"/>
        </w:pBdr>
        <w:ind w:left="1080" w:right="-465"/>
        <w:rPr>
          <w:rFonts w:ascii="Calibri" w:eastAsia="Times New Roman" w:hAnsi="Calibri" w:cs="Calibri"/>
          <w:b/>
        </w:rPr>
      </w:pPr>
    </w:p>
    <w:p w14:paraId="1BF0DAFB" w14:textId="77777777" w:rsidR="00536F11" w:rsidRPr="008A415B" w:rsidRDefault="00536F11" w:rsidP="00536F11">
      <w:pPr>
        <w:pStyle w:val="Akapitzlist"/>
        <w:numPr>
          <w:ilvl w:val="0"/>
          <w:numId w:val="9"/>
        </w:numPr>
        <w:pBdr>
          <w:top w:val="nil"/>
          <w:left w:val="nil"/>
          <w:bottom w:val="nil"/>
          <w:right w:val="nil"/>
          <w:between w:val="nil"/>
        </w:pBdr>
        <w:ind w:right="-465"/>
        <w:rPr>
          <w:rFonts w:ascii="Calibri" w:eastAsia="Times New Roman" w:hAnsi="Calibri" w:cs="Calibri"/>
          <w:b/>
        </w:rPr>
      </w:pPr>
      <w:r w:rsidRPr="008A415B">
        <w:rPr>
          <w:rFonts w:ascii="Calibri" w:eastAsia="Times New Roman" w:hAnsi="Calibri" w:cs="Calibri"/>
          <w:b/>
        </w:rPr>
        <w:t>Bezpieczeństwo</w:t>
      </w:r>
    </w:p>
    <w:p w14:paraId="020D83CA" w14:textId="77777777" w:rsidR="00536F11" w:rsidRPr="008A415B" w:rsidRDefault="00536F11" w:rsidP="00FA0682">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 xml:space="preserve">Nie przewiduje się konieczności uzyskania pozwolenia na budowę, jednakże należy rozważyć aspekty bezpieczeństwa pożarowego, ochrony środowiska i BHP. Istniejące pomieszczenia nie są wyposażone w system SAP. Należy zaplanować umieszczenie detektora dymu wraz z sygnalizacją </w:t>
      </w:r>
      <w:proofErr w:type="spellStart"/>
      <w:r w:rsidRPr="008A415B">
        <w:rPr>
          <w:rFonts w:ascii="Calibri" w:eastAsia="Times New Roman" w:hAnsi="Calibri" w:cs="Calibri"/>
        </w:rPr>
        <w:t>optyczno</w:t>
      </w:r>
      <w:proofErr w:type="spellEnd"/>
      <w:r w:rsidRPr="008A415B">
        <w:rPr>
          <w:rFonts w:ascii="Calibri" w:eastAsia="Times New Roman" w:hAnsi="Calibri" w:cs="Calibri"/>
        </w:rPr>
        <w:t xml:space="preserve"> – akustyczną w symulatorze, kontrolnym i przestrzeni technicznej (również nad sufitem symulatora) z możliwością późniejszego przekazania tej informacji do przyszłego systemu pożarowego. Zadziałanie którejkolwiek z czujek musi wyłączyć instalację HVAC symulatora. Należy również wyposażyć pomieszczenie w znaki informacyjne o drogach ewakuacji i przyciski wyjścia awaryjnego do zwolnienia blokady w drzwiach wejściowych z pomieszczenia sali operacyjnej. Symulator oraz pomieszczenie kontrolne należy wyposażyć w oprawę oświetlenia awaryjnego. Przejścia przez ściany i stropy poza symulator (np. WLZ) należy uszczelnić ogniowo np. masa HILTI.</w:t>
      </w:r>
    </w:p>
    <w:p w14:paraId="5B857D20" w14:textId="77777777" w:rsidR="00536F11" w:rsidRDefault="00536F11" w:rsidP="002C3A4B">
      <w:pPr>
        <w:pBdr>
          <w:top w:val="nil"/>
          <w:left w:val="nil"/>
          <w:bottom w:val="nil"/>
          <w:right w:val="nil"/>
          <w:between w:val="nil"/>
        </w:pBdr>
        <w:ind w:right="-465"/>
        <w:jc w:val="both"/>
        <w:rPr>
          <w:rFonts w:ascii="Calibri" w:eastAsia="Times New Roman" w:hAnsi="Calibri" w:cs="Calibri"/>
        </w:rPr>
      </w:pPr>
      <w:r w:rsidRPr="008A415B">
        <w:rPr>
          <w:rFonts w:ascii="Calibri" w:eastAsia="Times New Roman" w:hAnsi="Calibri" w:cs="Calibri"/>
        </w:rPr>
        <w:t>Pomieszczenie kontrolne należy wyposażyć w ogólnodostępny i widoczny wyłącznik bezpieczeństwa do wyłączenia głównego zasilania rozdzielni na potrzeby symulatora oraz oznakowaną gaśnicę do gaszenia urządzeń elektrycznych. Poziomy oświetlenia, hałasu oraz emisyjności odpowiednie dla sal operacyjnych.</w:t>
      </w:r>
    </w:p>
    <w:p w14:paraId="2B1E1CEE" w14:textId="77777777" w:rsidR="00536F11" w:rsidRDefault="00536F11" w:rsidP="00536F11">
      <w:pPr>
        <w:pStyle w:val="Akapitzlist"/>
        <w:numPr>
          <w:ilvl w:val="0"/>
          <w:numId w:val="9"/>
        </w:numPr>
        <w:pBdr>
          <w:top w:val="nil"/>
          <w:left w:val="nil"/>
          <w:bottom w:val="nil"/>
          <w:right w:val="nil"/>
          <w:between w:val="nil"/>
        </w:pBdr>
        <w:spacing w:before="120" w:line="276" w:lineRule="auto"/>
        <w:ind w:left="1077" w:right="-465"/>
        <w:contextualSpacing w:val="0"/>
        <w:jc w:val="both"/>
        <w:rPr>
          <w:rFonts w:ascii="Calibri" w:eastAsia="Times New Roman" w:hAnsi="Calibri" w:cs="Calibri"/>
        </w:rPr>
      </w:pPr>
      <w:r>
        <w:rPr>
          <w:rFonts w:ascii="Calibri" w:eastAsia="Times New Roman" w:hAnsi="Calibri" w:cs="Calibri"/>
          <w:b/>
          <w:bCs/>
        </w:rPr>
        <w:t>Termin realizacji</w:t>
      </w:r>
    </w:p>
    <w:p w14:paraId="3D489AF2" w14:textId="4BDD4C34" w:rsidR="00536F11" w:rsidRDefault="00536F11" w:rsidP="008A415B">
      <w:pPr>
        <w:pBdr>
          <w:top w:val="nil"/>
          <w:left w:val="nil"/>
          <w:bottom w:val="nil"/>
          <w:right w:val="nil"/>
          <w:between w:val="nil"/>
        </w:pBdr>
        <w:spacing w:before="120"/>
        <w:ind w:right="-465"/>
        <w:jc w:val="both"/>
        <w:rPr>
          <w:rStyle w:val="Teksttreci4Bezpogrubienia"/>
          <w:rFonts w:asciiTheme="minorHAnsi" w:eastAsiaTheme="minorHAnsi" w:hAnsiTheme="minorHAnsi" w:cstheme="minorHAnsi"/>
          <w:sz w:val="22"/>
          <w:szCs w:val="22"/>
        </w:rPr>
      </w:pPr>
      <w:r w:rsidRPr="008A415B">
        <w:rPr>
          <w:rStyle w:val="Teksttreci4Bezpogrubienia"/>
          <w:rFonts w:asciiTheme="minorHAnsi" w:eastAsiaTheme="minorHAnsi" w:hAnsiTheme="minorHAnsi" w:cstheme="minorHAnsi"/>
          <w:sz w:val="22"/>
          <w:szCs w:val="22"/>
        </w:rPr>
        <w:t>Wykonawca zrealizuje zamów</w:t>
      </w:r>
      <w:r>
        <w:rPr>
          <w:rStyle w:val="Teksttreci4Bezpogrubienia"/>
          <w:rFonts w:asciiTheme="minorHAnsi" w:eastAsiaTheme="minorHAnsi" w:hAnsiTheme="minorHAnsi" w:cstheme="minorHAnsi"/>
          <w:sz w:val="22"/>
          <w:szCs w:val="22"/>
        </w:rPr>
        <w:t>ie</w:t>
      </w:r>
      <w:r w:rsidRPr="008A415B">
        <w:rPr>
          <w:rStyle w:val="Teksttreci4Bezpogrubienia"/>
          <w:rFonts w:asciiTheme="minorHAnsi" w:eastAsiaTheme="minorHAnsi" w:hAnsiTheme="minorHAnsi" w:cstheme="minorHAnsi"/>
          <w:sz w:val="22"/>
          <w:szCs w:val="22"/>
        </w:rPr>
        <w:t xml:space="preserve">nie w ciągu </w:t>
      </w:r>
      <w:r w:rsidRPr="003832C6">
        <w:rPr>
          <w:rStyle w:val="Teksttreci4Bezpogrubienia"/>
          <w:rFonts w:asciiTheme="minorHAnsi" w:eastAsiaTheme="minorHAnsi" w:hAnsiTheme="minorHAnsi" w:cstheme="minorHAnsi"/>
          <w:b/>
          <w:bCs/>
          <w:sz w:val="22"/>
          <w:szCs w:val="22"/>
        </w:rPr>
        <w:t>60 dni</w:t>
      </w:r>
      <w:r w:rsidRPr="008A415B">
        <w:rPr>
          <w:rStyle w:val="Teksttreci4Bezpogrubienia"/>
          <w:rFonts w:asciiTheme="minorHAnsi" w:eastAsiaTheme="minorHAnsi" w:hAnsiTheme="minorHAnsi" w:cstheme="minorHAnsi"/>
          <w:sz w:val="22"/>
          <w:szCs w:val="22"/>
        </w:rPr>
        <w:t xml:space="preserve"> od dnia podpisania umowy obejmującym dostawę aparatury, instalację i uruchomienie</w:t>
      </w:r>
      <w:r>
        <w:rPr>
          <w:rStyle w:val="Teksttreci4Bezpogrubienia"/>
          <w:rFonts w:asciiTheme="minorHAnsi" w:eastAsiaTheme="minorHAnsi" w:hAnsiTheme="minorHAnsi" w:cstheme="minorHAnsi"/>
          <w:sz w:val="22"/>
          <w:szCs w:val="22"/>
        </w:rPr>
        <w:t xml:space="preserve">. </w:t>
      </w:r>
      <w:r w:rsidRPr="009137B1">
        <w:rPr>
          <w:rStyle w:val="Teksttreci4Bezpogrubienia"/>
          <w:rFonts w:asciiTheme="minorHAnsi" w:eastAsiaTheme="minorHAnsi" w:hAnsiTheme="minorHAnsi" w:cstheme="minorHAnsi"/>
          <w:sz w:val="22"/>
          <w:szCs w:val="22"/>
        </w:rPr>
        <w:t>Montaż urządzeń może się rozpocząć po zaakceptowaniu przez Zamawiającego projektu symulatora przygotowanego przez Wykonawcę.</w:t>
      </w:r>
      <w:r w:rsidR="00D44FF6" w:rsidRPr="009137B1">
        <w:rPr>
          <w:rStyle w:val="Teksttreci4Bezpogrubienia"/>
          <w:rFonts w:asciiTheme="minorHAnsi" w:eastAsiaTheme="minorHAnsi" w:hAnsiTheme="minorHAnsi" w:cstheme="minorHAnsi"/>
          <w:sz w:val="22"/>
          <w:szCs w:val="22"/>
        </w:rPr>
        <w:t xml:space="preserve"> P</w:t>
      </w:r>
      <w:r w:rsidR="00D44FF6">
        <w:rPr>
          <w:rStyle w:val="Teksttreci4Bezpogrubienia"/>
          <w:rFonts w:asciiTheme="minorHAnsi" w:eastAsiaTheme="minorHAnsi" w:hAnsiTheme="minorHAnsi" w:cstheme="minorHAnsi"/>
          <w:sz w:val="22"/>
          <w:szCs w:val="22"/>
        </w:rPr>
        <w:t>o zakończeniu montażu Wykonawca uruchomi i przetestuje dostarczoną aparaturę w celu potwierdzenia funkcjonalności symulatora oraz utrzymywania wymaganych parametrów sprzętu i instalacji.</w:t>
      </w:r>
    </w:p>
    <w:p w14:paraId="1222D305" w14:textId="37AE17BF" w:rsidR="00D44FF6" w:rsidRDefault="00D44FF6" w:rsidP="00D44FF6">
      <w:pPr>
        <w:pBdr>
          <w:top w:val="nil"/>
          <w:left w:val="nil"/>
          <w:bottom w:val="nil"/>
          <w:right w:val="nil"/>
          <w:between w:val="nil"/>
        </w:pBdr>
        <w:spacing w:before="120"/>
        <w:ind w:right="-465"/>
        <w:jc w:val="both"/>
        <w:rPr>
          <w:rStyle w:val="Teksttreci4Bezpogrubienia"/>
          <w:rFonts w:asciiTheme="minorHAnsi" w:eastAsiaTheme="minorHAnsi" w:hAnsiTheme="minorHAnsi" w:cstheme="minorHAnsi"/>
          <w:sz w:val="22"/>
          <w:szCs w:val="22"/>
        </w:rPr>
      </w:pPr>
      <w:r>
        <w:rPr>
          <w:rFonts w:cstheme="minorHAnsi"/>
          <w:bCs/>
          <w:sz w:val="24"/>
          <w:szCs w:val="24"/>
        </w:rPr>
        <w:t xml:space="preserve"> </w:t>
      </w:r>
    </w:p>
    <w:p w14:paraId="256D1081" w14:textId="77777777" w:rsidR="00536F11" w:rsidRPr="00536F11" w:rsidRDefault="00536F11" w:rsidP="00536F11">
      <w:pPr>
        <w:pStyle w:val="Akapitzlist"/>
        <w:keepNext/>
        <w:numPr>
          <w:ilvl w:val="0"/>
          <w:numId w:val="9"/>
        </w:numPr>
        <w:pBdr>
          <w:top w:val="nil"/>
          <w:left w:val="nil"/>
          <w:bottom w:val="nil"/>
          <w:right w:val="nil"/>
          <w:between w:val="nil"/>
        </w:pBdr>
        <w:spacing w:before="120" w:line="276" w:lineRule="auto"/>
        <w:ind w:left="1077" w:right="-465"/>
        <w:contextualSpacing w:val="0"/>
        <w:jc w:val="both"/>
        <w:rPr>
          <w:rFonts w:asciiTheme="minorHAnsi" w:eastAsia="Times New Roman" w:hAnsiTheme="minorHAnsi" w:cstheme="minorHAnsi"/>
        </w:rPr>
      </w:pPr>
      <w:r w:rsidRPr="00536F11">
        <w:rPr>
          <w:rFonts w:asciiTheme="minorHAnsi" w:eastAsia="Times New Roman" w:hAnsiTheme="minorHAnsi" w:cstheme="minorHAnsi"/>
          <w:b/>
          <w:bCs/>
        </w:rPr>
        <w:t>Gwarancja i serwis</w:t>
      </w:r>
    </w:p>
    <w:p w14:paraId="641EEF7D" w14:textId="77777777" w:rsidR="00536F11" w:rsidRPr="009137B1" w:rsidRDefault="00536F11" w:rsidP="008A415B">
      <w:pPr>
        <w:pBdr>
          <w:top w:val="nil"/>
          <w:left w:val="nil"/>
          <w:bottom w:val="nil"/>
          <w:right w:val="nil"/>
          <w:between w:val="nil"/>
        </w:pBdr>
        <w:spacing w:before="120"/>
        <w:ind w:right="-465"/>
        <w:jc w:val="both"/>
        <w:rPr>
          <w:rFonts w:asciiTheme="minorHAnsi" w:hAnsiTheme="minorHAnsi" w:cstheme="minorHAnsi"/>
          <w:bCs/>
          <w:sz w:val="22"/>
          <w:szCs w:val="22"/>
        </w:rPr>
      </w:pPr>
      <w:r w:rsidRPr="009137B1">
        <w:rPr>
          <w:rFonts w:asciiTheme="minorHAnsi" w:hAnsiTheme="minorHAnsi" w:cstheme="minorHAnsi"/>
          <w:bCs/>
          <w:sz w:val="22"/>
          <w:szCs w:val="22"/>
        </w:rPr>
        <w:t xml:space="preserve">Wykonawca udziela gwarancji na aparaturę będącą przedmiotem zamówienia na okres nie krótszy niż </w:t>
      </w:r>
      <w:r w:rsidRPr="009137B1">
        <w:rPr>
          <w:rFonts w:asciiTheme="minorHAnsi" w:hAnsiTheme="minorHAnsi" w:cstheme="minorHAnsi"/>
          <w:b/>
          <w:sz w:val="22"/>
          <w:szCs w:val="22"/>
        </w:rPr>
        <w:t>24 miesiące</w:t>
      </w:r>
      <w:r w:rsidRPr="009137B1">
        <w:rPr>
          <w:rFonts w:asciiTheme="minorHAnsi" w:hAnsiTheme="minorHAnsi" w:cstheme="minorHAnsi"/>
          <w:bCs/>
          <w:sz w:val="22"/>
          <w:szCs w:val="22"/>
        </w:rPr>
        <w:t>.</w:t>
      </w:r>
    </w:p>
    <w:p w14:paraId="11D68B52" w14:textId="77777777" w:rsidR="00536F11" w:rsidRPr="009137B1" w:rsidRDefault="00536F11" w:rsidP="008A415B">
      <w:pPr>
        <w:pBdr>
          <w:top w:val="nil"/>
          <w:left w:val="nil"/>
          <w:bottom w:val="nil"/>
          <w:right w:val="nil"/>
          <w:between w:val="nil"/>
        </w:pBdr>
        <w:spacing w:before="120"/>
        <w:ind w:right="-465"/>
        <w:jc w:val="both"/>
        <w:rPr>
          <w:rFonts w:asciiTheme="minorHAnsi" w:hAnsiTheme="minorHAnsi" w:cstheme="minorHAnsi"/>
          <w:bCs/>
          <w:sz w:val="22"/>
          <w:szCs w:val="22"/>
        </w:rPr>
      </w:pPr>
      <w:r w:rsidRPr="009137B1">
        <w:rPr>
          <w:rFonts w:asciiTheme="minorHAnsi" w:hAnsiTheme="minorHAnsi" w:cstheme="minorHAnsi"/>
          <w:bCs/>
          <w:sz w:val="22"/>
          <w:szCs w:val="22"/>
        </w:rPr>
        <w:t xml:space="preserve">Serwis zobowiązany jest do skontaktowania się z użytkownikiem nie później niż w ciągu </w:t>
      </w:r>
      <w:r w:rsidRPr="009137B1">
        <w:rPr>
          <w:rFonts w:asciiTheme="minorHAnsi" w:hAnsiTheme="minorHAnsi" w:cstheme="minorHAnsi"/>
          <w:b/>
          <w:color w:val="000000" w:themeColor="text1"/>
          <w:sz w:val="22"/>
          <w:szCs w:val="22"/>
        </w:rPr>
        <w:t xml:space="preserve">48 </w:t>
      </w:r>
      <w:r w:rsidRPr="009137B1">
        <w:rPr>
          <w:rFonts w:asciiTheme="minorHAnsi" w:hAnsiTheme="minorHAnsi" w:cstheme="minorHAnsi"/>
          <w:b/>
          <w:sz w:val="22"/>
          <w:szCs w:val="22"/>
        </w:rPr>
        <w:t>godzin</w:t>
      </w:r>
      <w:r w:rsidRPr="009137B1">
        <w:rPr>
          <w:rFonts w:asciiTheme="minorHAnsi" w:hAnsiTheme="minorHAnsi" w:cstheme="minorHAnsi"/>
          <w:bCs/>
          <w:sz w:val="22"/>
          <w:szCs w:val="22"/>
        </w:rPr>
        <w:t xml:space="preserve"> od czasu zgłoszenia awarii.</w:t>
      </w:r>
    </w:p>
    <w:p w14:paraId="6EAB7465" w14:textId="77777777" w:rsidR="00536F11" w:rsidRPr="009137B1" w:rsidRDefault="00536F11" w:rsidP="008A415B">
      <w:pPr>
        <w:pBdr>
          <w:top w:val="nil"/>
          <w:left w:val="nil"/>
          <w:bottom w:val="nil"/>
          <w:right w:val="nil"/>
          <w:between w:val="nil"/>
        </w:pBdr>
        <w:spacing w:before="120"/>
        <w:ind w:right="-465"/>
        <w:jc w:val="both"/>
        <w:rPr>
          <w:rFonts w:asciiTheme="minorHAnsi" w:hAnsiTheme="minorHAnsi" w:cstheme="minorHAnsi"/>
          <w:bCs/>
          <w:sz w:val="22"/>
          <w:szCs w:val="22"/>
        </w:rPr>
      </w:pPr>
      <w:r w:rsidRPr="009137B1">
        <w:rPr>
          <w:rFonts w:asciiTheme="minorHAnsi" w:hAnsiTheme="minorHAnsi" w:cstheme="minorHAnsi"/>
          <w:bCs/>
          <w:sz w:val="22"/>
          <w:szCs w:val="22"/>
        </w:rPr>
        <w:t xml:space="preserve">Serwis podejmie czynności naprawcze w miejscu użytkowania aparatury, nie później niż w ciągu </w:t>
      </w:r>
      <w:r w:rsidRPr="009137B1">
        <w:rPr>
          <w:rFonts w:asciiTheme="minorHAnsi" w:hAnsiTheme="minorHAnsi" w:cstheme="minorHAnsi"/>
          <w:b/>
          <w:sz w:val="22"/>
          <w:szCs w:val="22"/>
        </w:rPr>
        <w:t>7 dni</w:t>
      </w:r>
      <w:r w:rsidRPr="009137B1">
        <w:rPr>
          <w:rFonts w:asciiTheme="minorHAnsi" w:hAnsiTheme="minorHAnsi" w:cstheme="minorHAnsi"/>
          <w:bCs/>
          <w:sz w:val="22"/>
          <w:szCs w:val="22"/>
        </w:rPr>
        <w:t xml:space="preserve"> od dnia zgłoszenia awarii. W powyższe terminy nie wliczają się soboty, niedziele i dni ustawowo wolne od pracy.</w:t>
      </w:r>
    </w:p>
    <w:p w14:paraId="429D3BF4" w14:textId="77777777" w:rsidR="00536F11" w:rsidRPr="009137B1" w:rsidRDefault="00536F11" w:rsidP="008A415B">
      <w:pPr>
        <w:pBdr>
          <w:top w:val="nil"/>
          <w:left w:val="nil"/>
          <w:bottom w:val="nil"/>
          <w:right w:val="nil"/>
          <w:between w:val="nil"/>
        </w:pBdr>
        <w:spacing w:before="120"/>
        <w:ind w:right="-465"/>
        <w:jc w:val="both"/>
        <w:rPr>
          <w:rFonts w:asciiTheme="minorHAnsi" w:hAnsiTheme="minorHAnsi" w:cstheme="minorHAnsi"/>
          <w:bCs/>
          <w:sz w:val="22"/>
          <w:szCs w:val="22"/>
        </w:rPr>
      </w:pPr>
      <w:r w:rsidRPr="009137B1">
        <w:rPr>
          <w:rFonts w:asciiTheme="minorHAnsi" w:hAnsiTheme="minorHAnsi" w:cstheme="minorHAnsi"/>
          <w:bCs/>
          <w:sz w:val="22"/>
          <w:szCs w:val="22"/>
        </w:rPr>
        <w:t xml:space="preserve">Naprawa aparatury powinna nastąpić nie później niż w ciągu </w:t>
      </w:r>
      <w:r w:rsidRPr="009137B1">
        <w:rPr>
          <w:rFonts w:asciiTheme="minorHAnsi" w:hAnsiTheme="minorHAnsi" w:cstheme="minorHAnsi"/>
          <w:b/>
          <w:sz w:val="22"/>
          <w:szCs w:val="22"/>
        </w:rPr>
        <w:t>14 dni</w:t>
      </w:r>
      <w:r w:rsidRPr="009137B1">
        <w:rPr>
          <w:rFonts w:asciiTheme="minorHAnsi" w:hAnsiTheme="minorHAnsi" w:cstheme="minorHAnsi"/>
          <w:bCs/>
          <w:sz w:val="22"/>
          <w:szCs w:val="22"/>
        </w:rPr>
        <w:t xml:space="preserve"> od daty zgłoszenia awarii.</w:t>
      </w:r>
    </w:p>
    <w:p w14:paraId="2511E3D2" w14:textId="77777777" w:rsidR="00536F11" w:rsidRPr="009137B1" w:rsidRDefault="00536F11" w:rsidP="008A415B">
      <w:pPr>
        <w:pBdr>
          <w:top w:val="nil"/>
          <w:left w:val="nil"/>
          <w:bottom w:val="nil"/>
          <w:right w:val="nil"/>
          <w:between w:val="nil"/>
        </w:pBdr>
        <w:spacing w:before="120"/>
        <w:ind w:right="-465"/>
        <w:jc w:val="both"/>
        <w:rPr>
          <w:rFonts w:asciiTheme="minorHAnsi" w:eastAsia="Times New Roman" w:hAnsiTheme="minorHAnsi" w:cstheme="minorHAnsi"/>
          <w:bCs/>
          <w:sz w:val="22"/>
          <w:szCs w:val="22"/>
        </w:rPr>
      </w:pPr>
      <w:r w:rsidRPr="009137B1">
        <w:rPr>
          <w:rFonts w:asciiTheme="minorHAnsi" w:hAnsiTheme="minorHAnsi" w:cstheme="minorHAnsi"/>
          <w:bCs/>
          <w:sz w:val="22"/>
          <w:szCs w:val="22"/>
        </w:rPr>
        <w:t xml:space="preserve">W ramach gwarancji Wykonawca wykona nieodpłatnie </w:t>
      </w:r>
      <w:r w:rsidRPr="009137B1">
        <w:rPr>
          <w:rFonts w:asciiTheme="minorHAnsi" w:hAnsiTheme="minorHAnsi" w:cstheme="minorHAnsi"/>
          <w:b/>
          <w:sz w:val="22"/>
          <w:szCs w:val="22"/>
        </w:rPr>
        <w:t>2 przeglądy</w:t>
      </w:r>
      <w:r w:rsidRPr="009137B1">
        <w:rPr>
          <w:rFonts w:asciiTheme="minorHAnsi" w:hAnsiTheme="minorHAnsi" w:cstheme="minorHAnsi"/>
          <w:bCs/>
          <w:sz w:val="22"/>
          <w:szCs w:val="22"/>
        </w:rPr>
        <w:t xml:space="preserve"> gwarancyjne aparatury.</w:t>
      </w:r>
    </w:p>
    <w:p w14:paraId="4796085A" w14:textId="77777777" w:rsidR="000179E9" w:rsidRPr="00DF5E0B" w:rsidRDefault="000179E9" w:rsidP="00DF5E0B">
      <w:pPr>
        <w:spacing w:before="80"/>
        <w:ind w:left="357"/>
        <w:jc w:val="center"/>
        <w:rPr>
          <w:rFonts w:ascii="Calibri" w:hAnsi="Calibri" w:cs="Calibri"/>
          <w:sz w:val="24"/>
          <w:szCs w:val="24"/>
        </w:rPr>
      </w:pPr>
    </w:p>
    <w:sectPr w:rsidR="000179E9" w:rsidRPr="00DF5E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0712B30F" w14:textId="279B400D" w:rsidR="00A2634F" w:rsidRPr="00DF5E0B" w:rsidRDefault="00A2634F">
      <w:pPr>
        <w:pStyle w:val="Tekstprzypisudolnego"/>
      </w:pPr>
      <w:r>
        <w:rPr>
          <w:rStyle w:val="Odwoanieprzypisudolnego"/>
        </w:rPr>
        <w:footnoteRef/>
      </w:r>
      <w:r w:rsidRPr="00DF5E0B">
        <w:t xml:space="preserve"> </w:t>
      </w:r>
      <w:r w:rsidRPr="00DF5E0B">
        <w:rPr>
          <w:rFonts w:ascii="Calibri" w:hAnsi="Calibr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F97D6AB" w14:textId="5887079D" w:rsidR="00A2634F" w:rsidRPr="00DF5E0B" w:rsidRDefault="00A2634F" w:rsidP="00DF5E0B">
      <w:r w:rsidRPr="00DF5E0B">
        <w:rPr>
          <w:rStyle w:val="Odwoanieprzypisudolnego"/>
        </w:rPr>
        <w:footnoteRef/>
      </w:r>
      <w:r w:rsidRPr="00DF5E0B">
        <w:t xml:space="preserve"> </w:t>
      </w:r>
      <w:r w:rsidR="00DF5E0B" w:rsidRPr="00DF5E0B">
        <w:rPr>
          <w:rFonts w:ascii="Calibri" w:eastAsia="Calibri" w:hAnsi="Calibri" w:cs="Calibri"/>
          <w:color w:val="000000"/>
          <w:sz w:val="14"/>
          <w:szCs w:val="14"/>
        </w:rPr>
        <w:t xml:space="preserve">w przypadku gdy wykonawca </w:t>
      </w:r>
      <w:r w:rsidR="00DF5E0B" w:rsidRPr="00DF5E0B">
        <w:rPr>
          <w:rFonts w:ascii="Calibri" w:eastAsia="Calibri" w:hAnsi="Calibri" w:cs="Calibri"/>
          <w:sz w:val="14"/>
          <w:szCs w:val="14"/>
        </w:rPr>
        <w:t xml:space="preserve">nie przekazuje danych osobowych innych niż bezpośrednio jego dotyczących lub </w:t>
      </w:r>
      <w:r w:rsidR="00DF5E0B" w:rsidRPr="00DF5E0B">
        <w:rPr>
          <w:rFonts w:ascii="Calibri" w:eastAsia="Calibri" w:hAnsi="Calibri" w:cs="Calibri"/>
          <w:color w:val="000000"/>
          <w:sz w:val="14"/>
          <w:szCs w:val="14"/>
        </w:rPr>
        <w:t xml:space="preserve"> </w:t>
      </w:r>
      <w:r w:rsidR="00DF5E0B" w:rsidRPr="00DF5E0B">
        <w:rPr>
          <w:rFonts w:ascii="Calibri" w:eastAsia="Calibri" w:hAnsi="Calibri" w:cs="Calibri"/>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footnote>
  <w:footnote w:id="3">
    <w:p w14:paraId="263F1717" w14:textId="77777777" w:rsidR="007665D3" w:rsidRPr="000A10B7" w:rsidRDefault="007665D3" w:rsidP="007665D3">
      <w:pPr>
        <w:jc w:val="both"/>
        <w:rPr>
          <w:rFonts w:asciiTheme="minorHAnsi" w:hAnsiTheme="minorHAnsi" w:cstheme="minorHAnsi"/>
          <w:color w:val="222222"/>
          <w:sz w:val="14"/>
          <w:szCs w:val="14"/>
        </w:rPr>
      </w:pPr>
      <w:r w:rsidRPr="000A10B7">
        <w:rPr>
          <w:rStyle w:val="Odwoanieprzypisudolnego"/>
          <w:rFonts w:asciiTheme="minorHAnsi" w:hAnsiTheme="minorHAnsi" w:cstheme="minorHAnsi"/>
          <w:sz w:val="14"/>
          <w:szCs w:val="14"/>
        </w:rPr>
        <w:footnoteRef/>
      </w:r>
      <w:r w:rsidRPr="000A10B7">
        <w:rPr>
          <w:rFonts w:asciiTheme="minorHAnsi" w:hAnsiTheme="minorHAnsi" w:cstheme="minorHAnsi"/>
          <w:sz w:val="14"/>
          <w:szCs w:val="14"/>
        </w:rPr>
        <w:t xml:space="preserve"> </w:t>
      </w:r>
      <w:r w:rsidRPr="000A10B7">
        <w:rPr>
          <w:rFonts w:asciiTheme="minorHAnsi" w:hAnsiTheme="minorHAnsi" w:cstheme="minorHAnsi"/>
          <w:color w:val="222222"/>
          <w:sz w:val="14"/>
          <w:szCs w:val="14"/>
        </w:rPr>
        <w:t xml:space="preserve">Zgodnie z treścią art. 7 ust. 1 ustawy z dnia 13 kwietnia 2022 r. </w:t>
      </w:r>
      <w:r w:rsidRPr="000A10B7">
        <w:rPr>
          <w:rFonts w:asciiTheme="minorHAnsi" w:hAnsiTheme="minorHAnsi" w:cstheme="minorHAnsi"/>
          <w:i/>
          <w:iCs/>
          <w:color w:val="222222"/>
          <w:sz w:val="14"/>
          <w:szCs w:val="14"/>
        </w:rPr>
        <w:t xml:space="preserve">o szczególnych rozwiązaniach w zakresie przeciwdziałania wspieraniu agresji na Ukrainę oraz służących ochronie bezpieczeństwa narodowego,  </w:t>
      </w:r>
      <w:r w:rsidRPr="000A10B7">
        <w:rPr>
          <w:rFonts w:asciiTheme="minorHAnsi" w:hAnsiTheme="minorHAnsi" w:cstheme="minorHAnsi"/>
          <w:color w:val="222222"/>
          <w:sz w:val="14"/>
          <w:szCs w:val="14"/>
        </w:rPr>
        <w:t xml:space="preserve">z </w:t>
      </w:r>
      <w:r w:rsidRPr="000A10B7">
        <w:rPr>
          <w:rFonts w:asciiTheme="minorHAnsi" w:eastAsia="Times New Roman" w:hAnsiTheme="minorHAnsi" w:cstheme="minorHAnsi"/>
          <w:color w:val="222222"/>
          <w:sz w:val="14"/>
          <w:szCs w:val="14"/>
          <w:lang w:eastAsia="pl-PL"/>
        </w:rPr>
        <w:t xml:space="preserve">postępowania o udzielenie zamówienia publicznego lub konkursu prowadzonego na podstawie ustawy </w:t>
      </w:r>
      <w:proofErr w:type="spellStart"/>
      <w:r w:rsidRPr="000A10B7">
        <w:rPr>
          <w:rFonts w:asciiTheme="minorHAnsi" w:eastAsia="Times New Roman" w:hAnsiTheme="minorHAnsi" w:cstheme="minorHAnsi"/>
          <w:color w:val="222222"/>
          <w:sz w:val="14"/>
          <w:szCs w:val="14"/>
          <w:lang w:eastAsia="pl-PL"/>
        </w:rPr>
        <w:t>Pzp</w:t>
      </w:r>
      <w:proofErr w:type="spellEnd"/>
      <w:r w:rsidRPr="000A10B7">
        <w:rPr>
          <w:rFonts w:asciiTheme="minorHAnsi" w:eastAsia="Times New Roman" w:hAnsiTheme="minorHAnsi" w:cstheme="minorHAnsi"/>
          <w:color w:val="222222"/>
          <w:sz w:val="14"/>
          <w:szCs w:val="14"/>
          <w:lang w:eastAsia="pl-PL"/>
        </w:rPr>
        <w:t xml:space="preserve"> wyklucza się:</w:t>
      </w:r>
    </w:p>
    <w:p w14:paraId="5D659AFB" w14:textId="77777777" w:rsidR="007665D3" w:rsidRPr="000A10B7" w:rsidRDefault="007665D3" w:rsidP="007665D3">
      <w:pPr>
        <w:jc w:val="both"/>
        <w:rPr>
          <w:rFonts w:asciiTheme="minorHAnsi" w:eastAsia="Times New Roman" w:hAnsiTheme="minorHAnsi" w:cstheme="minorHAnsi"/>
          <w:color w:val="222222"/>
          <w:sz w:val="14"/>
          <w:szCs w:val="14"/>
          <w:lang w:eastAsia="pl-PL"/>
        </w:rPr>
      </w:pPr>
      <w:r w:rsidRPr="000A10B7">
        <w:rPr>
          <w:rFonts w:asciiTheme="minorHAnsi" w:eastAsia="Times New Roman" w:hAnsiTheme="minorHAnsi" w:cstheme="minorHAnsi"/>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F76FEB" w14:textId="77777777" w:rsidR="007665D3" w:rsidRPr="000A10B7" w:rsidRDefault="007665D3" w:rsidP="007665D3">
      <w:pPr>
        <w:jc w:val="both"/>
        <w:rPr>
          <w:rFonts w:asciiTheme="minorHAnsi" w:hAnsiTheme="minorHAnsi" w:cstheme="minorHAnsi"/>
          <w:color w:val="222222"/>
          <w:sz w:val="14"/>
          <w:szCs w:val="14"/>
        </w:rPr>
      </w:pPr>
      <w:r w:rsidRPr="000A10B7">
        <w:rPr>
          <w:rFonts w:asciiTheme="minorHAnsi" w:hAnsiTheme="minorHAnsi" w:cstheme="minorHAnsi"/>
          <w:color w:val="222222"/>
          <w:sz w:val="14"/>
          <w:szCs w:val="14"/>
        </w:rPr>
        <w:t xml:space="preserve">2) </w:t>
      </w:r>
      <w:r w:rsidRPr="000A10B7">
        <w:rPr>
          <w:rFonts w:asciiTheme="minorHAnsi" w:eastAsia="Times New Roman" w:hAnsiTheme="minorHAnsi" w:cstheme="minorHAnsi"/>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8D50F4" w14:textId="77777777" w:rsidR="007665D3" w:rsidRDefault="007665D3" w:rsidP="007665D3">
      <w:pPr>
        <w:jc w:val="both"/>
        <w:rPr>
          <w:rFonts w:ascii="Arial" w:hAnsi="Arial" w:cs="Arial"/>
          <w:sz w:val="16"/>
          <w:szCs w:val="16"/>
        </w:rPr>
      </w:pPr>
      <w:r w:rsidRPr="000A10B7">
        <w:rPr>
          <w:rFonts w:asciiTheme="minorHAnsi" w:eastAsia="Times New Roman" w:hAnsiTheme="minorHAnsi" w:cstheme="minorHAnsi"/>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2E7" w14:textId="261A33D1" w:rsidR="000179E9" w:rsidRPr="000179E9" w:rsidRDefault="00F7016F">
    <w:pPr>
      <w:pStyle w:val="Nagwek"/>
      <w:rPr>
        <w:rFonts w:asciiTheme="minorHAnsi" w:hAnsiTheme="minorHAnsi" w:cstheme="minorHAnsi"/>
        <w:b/>
        <w:sz w:val="22"/>
        <w:szCs w:val="22"/>
      </w:rPr>
    </w:pPr>
    <w:bookmarkStart w:id="0" w:name="_Hlk132705919"/>
    <w:r w:rsidRPr="00F7016F">
      <w:rPr>
        <w:rFonts w:asciiTheme="minorHAnsi" w:hAnsiTheme="minorHAnsi" w:cstheme="minorHAnsi"/>
        <w:sz w:val="22"/>
        <w:szCs w:val="22"/>
      </w:rPr>
      <w:t>ZP/WIBHiIŚ/</w:t>
    </w:r>
    <w:r w:rsidR="00DC42D5">
      <w:rPr>
        <w:rFonts w:asciiTheme="minorHAnsi" w:hAnsiTheme="minorHAnsi" w:cstheme="minorHAnsi"/>
        <w:sz w:val="22"/>
        <w:szCs w:val="22"/>
      </w:rPr>
      <w:t>08</w:t>
    </w:r>
    <w:r w:rsidRPr="00F7016F">
      <w:rPr>
        <w:rFonts w:asciiTheme="minorHAnsi" w:hAnsiTheme="minorHAnsi" w:cstheme="minorHAnsi"/>
        <w:sz w:val="22"/>
        <w:szCs w:val="22"/>
      </w:rPr>
      <w:t>/202</w:t>
    </w:r>
    <w:r w:rsidR="00DC42D5">
      <w:rPr>
        <w:rFonts w:asciiTheme="minorHAnsi" w:hAnsiTheme="minorHAnsi" w:cstheme="minorHAnsi"/>
        <w:sz w:val="22"/>
        <w:szCs w:val="22"/>
      </w:rPr>
      <w:t>3</w:t>
    </w:r>
    <w:r w:rsidRPr="00F7016F">
      <w:rPr>
        <w:rFonts w:asciiTheme="minorHAnsi" w:hAnsiTheme="minorHAnsi" w:cstheme="minorHAnsi"/>
        <w:sz w:val="22"/>
        <w:szCs w:val="22"/>
      </w:rPr>
      <w:t>/N</w:t>
    </w:r>
    <w:bookmarkEnd w:id="0"/>
    <w:r w:rsidR="000179E9">
      <w:rPr>
        <w:rFonts w:asciiTheme="minorHAnsi" w:hAnsiTheme="minorHAnsi" w:cstheme="minorHAnsi"/>
        <w:sz w:val="22"/>
        <w:szCs w:val="22"/>
      </w:rPr>
      <w:tab/>
    </w:r>
    <w:r w:rsidR="000179E9" w:rsidRPr="000179E9">
      <w:rPr>
        <w:rFonts w:asciiTheme="minorHAnsi" w:hAnsiTheme="minorHAnsi" w:cstheme="minorHAnsi"/>
        <w:b/>
        <w:spacing w:val="30"/>
        <w:sz w:val="28"/>
        <w:szCs w:val="28"/>
      </w:rPr>
      <w:t>OFERTA</w:t>
    </w:r>
    <w:r w:rsidR="000179E9" w:rsidRPr="003F6AE3">
      <w:rPr>
        <w:rFonts w:asciiTheme="minorHAnsi" w:hAnsiTheme="minorHAnsi" w:cstheme="minorHAnsi"/>
        <w:b/>
        <w:sz w:val="28"/>
        <w:szCs w:val="28"/>
      </w:rPr>
      <w:tab/>
    </w:r>
    <w:r w:rsidR="000179E9" w:rsidRPr="003F6AE3">
      <w:rPr>
        <w:rFonts w:asciiTheme="minorHAnsi" w:hAnsiTheme="minorHAnsi" w:cstheme="minorHAnsi"/>
        <w:b/>
        <w:sz w:val="22"/>
        <w:szCs w:val="22"/>
      </w:rPr>
      <w:t>Z</w:t>
    </w:r>
    <w:r w:rsidR="000179E9" w:rsidRPr="000179E9">
      <w:rPr>
        <w:rFonts w:asciiTheme="minorHAnsi" w:hAnsiTheme="minorHAnsi" w:cstheme="minorHAnsi"/>
        <w:b/>
        <w:sz w:val="22"/>
        <w:szCs w:val="22"/>
      </w:rPr>
      <w:t xml:space="preserve">ałącznik nr </w:t>
    </w:r>
    <w:r w:rsidR="00536F11">
      <w:rPr>
        <w:rFonts w:asciiTheme="minorHAnsi" w:hAnsiTheme="minorHAnsi" w:cstheme="minorHAnsi"/>
        <w:b/>
        <w:sz w:val="22"/>
        <w:szCs w:val="22"/>
      </w:rPr>
      <w:t>1</w:t>
    </w:r>
    <w:r w:rsidR="000179E9" w:rsidRPr="000179E9">
      <w:rPr>
        <w:rFonts w:asciiTheme="minorHAnsi" w:hAnsiTheme="minorHAnsi" w:cstheme="minorHAnsi"/>
        <w:b/>
        <w:sz w:val="22"/>
        <w:szCs w:val="22"/>
      </w:rPr>
      <w:t xml:space="preserve"> do </w:t>
    </w:r>
    <w:r>
      <w:rPr>
        <w:rFonts w:asciiTheme="minorHAnsi" w:hAnsiTheme="minorHAnsi" w:cstheme="minorHAnsi"/>
        <w:b/>
        <w:sz w:val="22"/>
        <w:szCs w:val="22"/>
      </w:rPr>
      <w:t>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E32E36"/>
    <w:multiLevelType w:val="multilevel"/>
    <w:tmpl w:val="223C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66AAB"/>
    <w:multiLevelType w:val="hybridMultilevel"/>
    <w:tmpl w:val="D0E6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774404"/>
    <w:multiLevelType w:val="hybridMultilevel"/>
    <w:tmpl w:val="AF9C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3C3362"/>
    <w:multiLevelType w:val="hybridMultilevel"/>
    <w:tmpl w:val="E6A4DF4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241C25"/>
    <w:multiLevelType w:val="hybridMultilevel"/>
    <w:tmpl w:val="4F6C3844"/>
    <w:lvl w:ilvl="0" w:tplc="E20475A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3"/>
  </w:num>
  <w:num w:numId="2" w16cid:durableId="2044011550">
    <w:abstractNumId w:val="3"/>
  </w:num>
  <w:num w:numId="3" w16cid:durableId="1786381945">
    <w:abstractNumId w:val="7"/>
  </w:num>
  <w:num w:numId="4" w16cid:durableId="1517571723">
    <w:abstractNumId w:val="10"/>
  </w:num>
  <w:num w:numId="5" w16cid:durableId="1382055890">
    <w:abstractNumId w:val="0"/>
  </w:num>
  <w:num w:numId="6" w16cid:durableId="1653287936">
    <w:abstractNumId w:val="1"/>
  </w:num>
  <w:num w:numId="7" w16cid:durableId="1684819502">
    <w:abstractNumId w:val="11"/>
  </w:num>
  <w:num w:numId="8" w16cid:durableId="1498229721">
    <w:abstractNumId w:val="4"/>
  </w:num>
  <w:num w:numId="9" w16cid:durableId="1564176953">
    <w:abstractNumId w:val="9"/>
  </w:num>
  <w:num w:numId="10" w16cid:durableId="1401753839">
    <w:abstractNumId w:val="8"/>
  </w:num>
  <w:num w:numId="11" w16cid:durableId="1349062321">
    <w:abstractNumId w:val="5"/>
  </w:num>
  <w:num w:numId="12" w16cid:durableId="1188324902">
    <w:abstractNumId w:val="6"/>
  </w:num>
  <w:num w:numId="13" w16cid:durableId="139999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tzQ0NzYytLQ0NzdX0lEKTi0uzszPAykwrAUA9Czg4SwAAAA="/>
  </w:docVars>
  <w:rsids>
    <w:rsidRoot w:val="000179E9"/>
    <w:rsid w:val="00000C50"/>
    <w:rsid w:val="000179E9"/>
    <w:rsid w:val="000301C4"/>
    <w:rsid w:val="000313F2"/>
    <w:rsid w:val="000A10B7"/>
    <w:rsid w:val="000A724F"/>
    <w:rsid w:val="000B616F"/>
    <w:rsid w:val="000D5877"/>
    <w:rsid w:val="000E326D"/>
    <w:rsid w:val="000E63E6"/>
    <w:rsid w:val="00102984"/>
    <w:rsid w:val="00175510"/>
    <w:rsid w:val="00180D4A"/>
    <w:rsid w:val="001C11E2"/>
    <w:rsid w:val="00212C4A"/>
    <w:rsid w:val="002867E4"/>
    <w:rsid w:val="002A2FE2"/>
    <w:rsid w:val="002F250A"/>
    <w:rsid w:val="00357C33"/>
    <w:rsid w:val="00377A23"/>
    <w:rsid w:val="003A2CF5"/>
    <w:rsid w:val="003C4F97"/>
    <w:rsid w:val="003F6AE3"/>
    <w:rsid w:val="004030F7"/>
    <w:rsid w:val="004648E2"/>
    <w:rsid w:val="004A1ACC"/>
    <w:rsid w:val="004D0464"/>
    <w:rsid w:val="00536F11"/>
    <w:rsid w:val="00540198"/>
    <w:rsid w:val="00646132"/>
    <w:rsid w:val="00651B3C"/>
    <w:rsid w:val="00681FCC"/>
    <w:rsid w:val="006B0FD8"/>
    <w:rsid w:val="006B705A"/>
    <w:rsid w:val="006F1A0B"/>
    <w:rsid w:val="007665D3"/>
    <w:rsid w:val="00895901"/>
    <w:rsid w:val="00911918"/>
    <w:rsid w:val="009137B1"/>
    <w:rsid w:val="00965A9D"/>
    <w:rsid w:val="009A7CB2"/>
    <w:rsid w:val="009D3F32"/>
    <w:rsid w:val="00A2634F"/>
    <w:rsid w:val="00A63D3C"/>
    <w:rsid w:val="00B740E4"/>
    <w:rsid w:val="00CB7D43"/>
    <w:rsid w:val="00CC78ED"/>
    <w:rsid w:val="00D1712F"/>
    <w:rsid w:val="00D33ADF"/>
    <w:rsid w:val="00D44FF6"/>
    <w:rsid w:val="00D60C31"/>
    <w:rsid w:val="00D96648"/>
    <w:rsid w:val="00DB479E"/>
    <w:rsid w:val="00DC42D5"/>
    <w:rsid w:val="00DD2F1A"/>
    <w:rsid w:val="00DD565E"/>
    <w:rsid w:val="00DF5E0B"/>
    <w:rsid w:val="00E2394C"/>
    <w:rsid w:val="00E2583C"/>
    <w:rsid w:val="00E42367"/>
    <w:rsid w:val="00E536C9"/>
    <w:rsid w:val="00EF1AA3"/>
    <w:rsid w:val="00F7016F"/>
    <w:rsid w:val="00F86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2634F"/>
  </w:style>
  <w:style w:type="character" w:customStyle="1" w:styleId="TekstprzypisudolnegoZnak">
    <w:name w:val="Tekst przypisu dolnego Znak"/>
    <w:basedOn w:val="Domylnaczcionkaakapitu"/>
    <w:link w:val="Tekstprzypisudolnego"/>
    <w:uiPriority w:val="99"/>
    <w:semiHidden/>
    <w:rsid w:val="00A2634F"/>
  </w:style>
  <w:style w:type="character" w:styleId="Odwoanieprzypisudolnego">
    <w:name w:val="footnote reference"/>
    <w:basedOn w:val="Domylnaczcionkaakapitu"/>
    <w:uiPriority w:val="99"/>
    <w:semiHidden/>
    <w:unhideWhenUsed/>
    <w:rsid w:val="00A2634F"/>
    <w:rPr>
      <w:vertAlign w:val="superscript"/>
    </w:rPr>
  </w:style>
  <w:style w:type="character" w:styleId="Odwoaniedokomentarza">
    <w:name w:val="annotation reference"/>
    <w:basedOn w:val="Domylnaczcionkaakapitu"/>
    <w:uiPriority w:val="99"/>
    <w:semiHidden/>
    <w:unhideWhenUsed/>
    <w:rsid w:val="00E42367"/>
    <w:rPr>
      <w:sz w:val="16"/>
      <w:szCs w:val="16"/>
    </w:rPr>
  </w:style>
  <w:style w:type="paragraph" w:styleId="Tekstkomentarza">
    <w:name w:val="annotation text"/>
    <w:basedOn w:val="Normalny"/>
    <w:link w:val="TekstkomentarzaZnak"/>
    <w:uiPriority w:val="99"/>
    <w:unhideWhenUsed/>
    <w:rsid w:val="00E42367"/>
  </w:style>
  <w:style w:type="character" w:customStyle="1" w:styleId="TekstkomentarzaZnak">
    <w:name w:val="Tekst komentarza Znak"/>
    <w:basedOn w:val="Domylnaczcionkaakapitu"/>
    <w:link w:val="Tekstkomentarza"/>
    <w:uiPriority w:val="99"/>
    <w:rsid w:val="00E42367"/>
  </w:style>
  <w:style w:type="paragraph" w:styleId="Tematkomentarza">
    <w:name w:val="annotation subject"/>
    <w:basedOn w:val="Tekstkomentarza"/>
    <w:next w:val="Tekstkomentarza"/>
    <w:link w:val="TematkomentarzaZnak"/>
    <w:uiPriority w:val="99"/>
    <w:semiHidden/>
    <w:unhideWhenUsed/>
    <w:rsid w:val="00E42367"/>
    <w:rPr>
      <w:b/>
      <w:bCs/>
    </w:rPr>
  </w:style>
  <w:style w:type="character" w:customStyle="1" w:styleId="TematkomentarzaZnak">
    <w:name w:val="Temat komentarza Znak"/>
    <w:basedOn w:val="TekstkomentarzaZnak"/>
    <w:link w:val="Tematkomentarza"/>
    <w:uiPriority w:val="99"/>
    <w:semiHidden/>
    <w:rsid w:val="00E42367"/>
    <w:rPr>
      <w:b/>
      <w:bCs/>
    </w:rPr>
  </w:style>
  <w:style w:type="character" w:customStyle="1" w:styleId="Teksttreci4Bezpogrubienia">
    <w:name w:val="Tekst treści (4) + Bez pogrubienia"/>
    <w:basedOn w:val="Domylnaczcionkaakapitu"/>
    <w:qFormat/>
    <w:rsid w:val="00536F11"/>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EF1AA3"/>
  </w:style>
  <w:style w:type="character" w:customStyle="1" w:styleId="TekstprzypisukocowegoZnak">
    <w:name w:val="Tekst przypisu końcowego Znak"/>
    <w:basedOn w:val="Domylnaczcionkaakapitu"/>
    <w:link w:val="Tekstprzypisukocowego"/>
    <w:uiPriority w:val="99"/>
    <w:semiHidden/>
    <w:rsid w:val="00EF1AA3"/>
  </w:style>
  <w:style w:type="character" w:styleId="Odwoanieprzypisukocowego">
    <w:name w:val="endnote reference"/>
    <w:basedOn w:val="Domylnaczcionkaakapitu"/>
    <w:uiPriority w:val="99"/>
    <w:semiHidden/>
    <w:unhideWhenUsed/>
    <w:rsid w:val="00EF1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7395">
      <w:bodyDiv w:val="1"/>
      <w:marLeft w:val="0"/>
      <w:marRight w:val="0"/>
      <w:marTop w:val="0"/>
      <w:marBottom w:val="0"/>
      <w:divBdr>
        <w:top w:val="none" w:sz="0" w:space="0" w:color="auto"/>
        <w:left w:val="none" w:sz="0" w:space="0" w:color="auto"/>
        <w:bottom w:val="none" w:sz="0" w:space="0" w:color="auto"/>
        <w:right w:val="none" w:sz="0" w:space="0" w:color="auto"/>
      </w:divBdr>
    </w:div>
    <w:div w:id="21258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0997-30A4-4294-B71A-776852EB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15208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3</cp:revision>
  <cp:lastPrinted>2023-05-08T06:21:00Z</cp:lastPrinted>
  <dcterms:created xsi:type="dcterms:W3CDTF">2023-05-08T12:21:00Z</dcterms:created>
  <dcterms:modified xsi:type="dcterms:W3CDTF">2023-05-08T12:22:00Z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