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7E8B" w14:textId="77777777" w:rsidR="00257418" w:rsidRPr="00257418" w:rsidRDefault="00257418" w:rsidP="00257418">
      <w:pPr>
        <w:spacing w:after="120" w:line="276" w:lineRule="auto"/>
        <w:ind w:left="567"/>
        <w:jc w:val="center"/>
        <w:rPr>
          <w:rFonts w:ascii="Verdana" w:eastAsia="Verdana" w:hAnsi="Verdana" w:cs="Times New Roman"/>
          <w:b/>
          <w:color w:val="000000"/>
          <w:szCs w:val="20"/>
        </w:rPr>
      </w:pPr>
      <w:r>
        <w:rPr>
          <w:rFonts w:ascii="Verdana" w:hAnsi="Verdana"/>
          <w:b/>
          <w:color w:val="000000"/>
          <w:szCs w:val="20"/>
        </w:rPr>
        <w:t>INFORMATION CLAUSE ON THE PROCESSING OF PERSONAL DATA BY ŁUKASIEWICZ – PORT</w:t>
      </w:r>
    </w:p>
    <w:p w14:paraId="3462680C" w14:textId="4D30981B" w:rsidR="00257418" w:rsidRPr="00257418" w:rsidRDefault="00257418" w:rsidP="00257418">
      <w:pPr>
        <w:spacing w:after="120" w:line="276" w:lineRule="auto"/>
        <w:ind w:left="567"/>
        <w:jc w:val="center"/>
        <w:rPr>
          <w:rFonts w:ascii="Verdana" w:eastAsia="Verdana" w:hAnsi="Verdana" w:cs="Times New Roman"/>
          <w:b/>
          <w:color w:val="000000"/>
          <w:szCs w:val="20"/>
        </w:rPr>
      </w:pPr>
      <w:r>
        <w:rPr>
          <w:rFonts w:ascii="Verdana" w:hAnsi="Verdana"/>
          <w:b/>
          <w:color w:val="000000"/>
          <w:szCs w:val="20"/>
        </w:rPr>
        <w:t xml:space="preserve">AS A </w:t>
      </w:r>
      <w:r w:rsidR="00A50701">
        <w:rPr>
          <w:rFonts w:ascii="Verdana" w:hAnsi="Verdana"/>
          <w:b/>
          <w:color w:val="000000"/>
          <w:szCs w:val="20"/>
        </w:rPr>
        <w:t>CONTRACTING PARTY</w:t>
      </w:r>
      <w:r>
        <w:rPr>
          <w:rFonts w:ascii="Verdana" w:hAnsi="Verdana"/>
          <w:b/>
          <w:color w:val="000000"/>
          <w:szCs w:val="20"/>
        </w:rPr>
        <w:t xml:space="preserve"> FOR THE PURPOSES OF PROCEDURES CONDUCTED ON THE BASIS OF THE PROVISIONS OF THE PUBLIC PROCUREMENT LAW ACT</w:t>
      </w:r>
      <w:r w:rsidR="002B53AC">
        <w:rPr>
          <w:rFonts w:ascii="Verdana" w:hAnsi="Verdana"/>
          <w:b/>
          <w:color w:val="000000"/>
          <w:szCs w:val="20"/>
        </w:rPr>
        <w:t xml:space="preserve"> (PPL ACT)</w:t>
      </w:r>
    </w:p>
    <w:p w14:paraId="3E3E6E20" w14:textId="77777777" w:rsidR="00257418" w:rsidRPr="00257418" w:rsidRDefault="00257418" w:rsidP="00257418">
      <w:pPr>
        <w:spacing w:after="120" w:line="276" w:lineRule="auto"/>
        <w:ind w:left="567"/>
        <w:jc w:val="center"/>
        <w:rPr>
          <w:rFonts w:ascii="Verdana" w:eastAsia="Verdana" w:hAnsi="Verdana" w:cs="Times New Roman"/>
          <w:b/>
          <w:color w:val="000000"/>
          <w:szCs w:val="20"/>
        </w:rPr>
      </w:pPr>
    </w:p>
    <w:p w14:paraId="7C138C53" w14:textId="77777777" w:rsidR="00257418" w:rsidRPr="00257418" w:rsidRDefault="00257418" w:rsidP="00257418">
      <w:pPr>
        <w:spacing w:after="120" w:line="276" w:lineRule="auto"/>
        <w:ind w:left="567"/>
        <w:jc w:val="center"/>
        <w:rPr>
          <w:rFonts w:ascii="Verdana" w:eastAsia="Verdana" w:hAnsi="Verdana" w:cs="Times New Roman"/>
          <w:b/>
          <w:color w:val="000000"/>
          <w:szCs w:val="20"/>
        </w:rPr>
      </w:pPr>
      <w:r>
        <w:rPr>
          <w:rFonts w:ascii="Verdana" w:hAnsi="Verdana"/>
          <w:b/>
          <w:color w:val="000000"/>
          <w:szCs w:val="20"/>
        </w:rPr>
        <w:t xml:space="preserve">regarding the CONTRACT entitled </w:t>
      </w:r>
    </w:p>
    <w:p w14:paraId="14FB5007" w14:textId="41262E95" w:rsidR="00257418" w:rsidRPr="00257418" w:rsidRDefault="00257418" w:rsidP="00257418">
      <w:pPr>
        <w:spacing w:after="120" w:line="276" w:lineRule="auto"/>
        <w:ind w:left="567"/>
        <w:contextualSpacing/>
        <w:jc w:val="center"/>
        <w:rPr>
          <w:rFonts w:ascii="Verdana" w:eastAsia="Verdana" w:hAnsi="Verdana" w:cs="Times New Roman"/>
          <w:b/>
          <w:color w:val="000000"/>
          <w:szCs w:val="20"/>
        </w:rPr>
      </w:pPr>
      <w:r>
        <w:rPr>
          <w:rFonts w:ascii="Verdana" w:hAnsi="Verdana"/>
          <w:b/>
          <w:color w:val="000000"/>
          <w:szCs w:val="20"/>
        </w:rPr>
        <w:t>“</w:t>
      </w:r>
      <w:bookmarkStart w:id="0" w:name="_Hlk108602463"/>
      <w:r w:rsidR="002D6D6E" w:rsidRPr="002D6D6E">
        <w:rPr>
          <w:rFonts w:ascii="Verdana" w:hAnsi="Verdana"/>
          <w:b/>
          <w:bCs/>
          <w:color w:val="auto"/>
        </w:rPr>
        <w:t>Supply</w:t>
      </w:r>
      <w:r w:rsidR="00272AD2">
        <w:rPr>
          <w:rFonts w:ascii="Verdana" w:hAnsi="Verdana"/>
          <w:b/>
          <w:bCs/>
          <w:color w:val="auto"/>
        </w:rPr>
        <w:t xml:space="preserve"> of</w:t>
      </w:r>
      <w:r w:rsidR="002D6D6E" w:rsidRPr="002D6D6E">
        <w:rPr>
          <w:rFonts w:ascii="Verdana" w:hAnsi="Verdana"/>
          <w:b/>
          <w:bCs/>
          <w:color w:val="auto"/>
        </w:rPr>
        <w:t xml:space="preserve"> PEZ MBE </w:t>
      </w:r>
      <w:r w:rsidR="000A40F8">
        <w:rPr>
          <w:rFonts w:ascii="Verdana" w:hAnsi="Verdana"/>
          <w:b/>
          <w:bCs/>
          <w:color w:val="auto"/>
        </w:rPr>
        <w:t xml:space="preserve">cell </w:t>
      </w:r>
      <w:r w:rsidR="002D6D6E" w:rsidRPr="002D6D6E">
        <w:rPr>
          <w:rFonts w:ascii="Verdana" w:hAnsi="Verdana"/>
          <w:b/>
          <w:bCs/>
          <w:color w:val="auto"/>
        </w:rPr>
        <w:t>for research group EPI-MAT</w:t>
      </w:r>
      <w:bookmarkEnd w:id="0"/>
      <w:r>
        <w:rPr>
          <w:rFonts w:ascii="Verdana" w:hAnsi="Verdana"/>
          <w:b/>
          <w:color w:val="000000"/>
          <w:szCs w:val="20"/>
        </w:rPr>
        <w:t>”</w:t>
      </w:r>
      <w:r w:rsidR="003834C3">
        <w:rPr>
          <w:rFonts w:ascii="Verdana" w:hAnsi="Verdana"/>
          <w:b/>
          <w:color w:val="000000"/>
          <w:szCs w:val="20"/>
        </w:rPr>
        <w:t>, case no. PO.271.</w:t>
      </w:r>
      <w:r w:rsidR="004E0997">
        <w:rPr>
          <w:rFonts w:ascii="Verdana" w:hAnsi="Verdana"/>
          <w:b/>
          <w:color w:val="000000"/>
          <w:szCs w:val="20"/>
        </w:rPr>
        <w:t>7</w:t>
      </w:r>
      <w:r w:rsidR="002D6D6E">
        <w:rPr>
          <w:rFonts w:ascii="Verdana" w:hAnsi="Verdana"/>
          <w:b/>
          <w:color w:val="000000"/>
          <w:szCs w:val="20"/>
        </w:rPr>
        <w:t>0</w:t>
      </w:r>
      <w:r w:rsidR="003834C3">
        <w:rPr>
          <w:rFonts w:ascii="Verdana" w:hAnsi="Verdana"/>
          <w:b/>
          <w:color w:val="000000"/>
          <w:szCs w:val="20"/>
        </w:rPr>
        <w:t>.202</w:t>
      </w:r>
      <w:r w:rsidR="004E0997">
        <w:rPr>
          <w:rFonts w:ascii="Verdana" w:hAnsi="Verdana"/>
          <w:b/>
          <w:color w:val="000000"/>
          <w:szCs w:val="20"/>
        </w:rPr>
        <w:t>3</w:t>
      </w:r>
    </w:p>
    <w:p w14:paraId="0839EA66" w14:textId="77777777" w:rsidR="00257418" w:rsidRPr="00257418" w:rsidRDefault="00257418" w:rsidP="00257418">
      <w:pPr>
        <w:spacing w:after="120" w:line="276" w:lineRule="auto"/>
        <w:ind w:left="567"/>
        <w:jc w:val="center"/>
        <w:rPr>
          <w:rFonts w:ascii="Verdana" w:eastAsia="Verdana" w:hAnsi="Verdana" w:cs="Times New Roman"/>
          <w:b/>
          <w:color w:val="000000"/>
          <w:sz w:val="22"/>
        </w:rPr>
      </w:pPr>
    </w:p>
    <w:p w14:paraId="30E1F3F7" w14:textId="146B65D1" w:rsidR="00257418" w:rsidRPr="00257418" w:rsidRDefault="00257418" w:rsidP="00257418">
      <w:pPr>
        <w:spacing w:after="120" w:line="276" w:lineRule="auto"/>
        <w:rPr>
          <w:rFonts w:ascii="Verdana" w:eastAsia="Verdana" w:hAnsi="Verdana" w:cs="Times New Roman"/>
          <w:color w:val="000000"/>
          <w:spacing w:val="0"/>
          <w:szCs w:val="20"/>
        </w:rPr>
      </w:pPr>
      <w:r>
        <w:rPr>
          <w:rFonts w:ascii="Verdana" w:hAnsi="Verdana"/>
          <w:color w:val="000000"/>
          <w:szCs w:val="20"/>
        </w:rPr>
        <w:t>Pursuant to Article 13(1) and (2) of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w:t>
      </w:r>
      <w:r>
        <w:rPr>
          <w:rFonts w:ascii="Verdana" w:hAnsi="Verdana"/>
          <w:b/>
          <w:bCs/>
          <w:color w:val="000000"/>
          <w:szCs w:val="20"/>
        </w:rPr>
        <w:t>GDPR</w:t>
      </w:r>
      <w:r>
        <w:rPr>
          <w:rFonts w:ascii="Verdana" w:hAnsi="Verdana"/>
          <w:color w:val="000000"/>
          <w:szCs w:val="20"/>
        </w:rPr>
        <w:t xml:space="preserve">”), and Article 19 of the Public Procurement Law Act, the </w:t>
      </w:r>
      <w:r w:rsidR="00A50701">
        <w:rPr>
          <w:rFonts w:ascii="Verdana" w:hAnsi="Verdana"/>
          <w:color w:val="000000"/>
          <w:szCs w:val="20"/>
        </w:rPr>
        <w:t>Contracting Party</w:t>
      </w:r>
      <w:r>
        <w:rPr>
          <w:rFonts w:ascii="Verdana" w:hAnsi="Verdana"/>
          <w:color w:val="000000"/>
          <w:szCs w:val="20"/>
        </w:rPr>
        <w:t xml:space="preserve"> (the “Controller”) hereby informs that:</w:t>
      </w:r>
    </w:p>
    <w:p w14:paraId="67592B50" w14:textId="224E4E3D" w:rsidR="00257418" w:rsidRPr="00257418" w:rsidRDefault="00257418" w:rsidP="00DA10BD">
      <w:pPr>
        <w:numPr>
          <w:ilvl w:val="0"/>
          <w:numId w:val="11"/>
        </w:numPr>
        <w:spacing w:after="120" w:line="276" w:lineRule="auto"/>
        <w:ind w:left="567" w:hanging="567"/>
        <w:rPr>
          <w:rFonts w:ascii="Verdana" w:eastAsia="Verdana" w:hAnsi="Verdana" w:cs="Times New Roman"/>
          <w:color w:val="000000"/>
          <w:szCs w:val="20"/>
        </w:rPr>
      </w:pPr>
      <w:r>
        <w:rPr>
          <w:rFonts w:ascii="Verdana" w:hAnsi="Verdana"/>
          <w:color w:val="000000"/>
          <w:szCs w:val="20"/>
        </w:rPr>
        <w:t xml:space="preserve">The controller of personal data provided to the </w:t>
      </w:r>
      <w:r w:rsidR="00A50701">
        <w:rPr>
          <w:rFonts w:ascii="Verdana" w:hAnsi="Verdana"/>
          <w:color w:val="000000"/>
          <w:szCs w:val="20"/>
        </w:rPr>
        <w:t>Contracting Party</w:t>
      </w:r>
      <w:r>
        <w:rPr>
          <w:rFonts w:ascii="Verdana" w:hAnsi="Verdana"/>
          <w:color w:val="000000"/>
          <w:szCs w:val="20"/>
        </w:rPr>
        <w:t xml:space="preserve"> as part of this procedure is: </w:t>
      </w:r>
      <w:bookmarkStart w:id="1" w:name="_Hlk54079290"/>
      <w:r>
        <w:rPr>
          <w:rFonts w:ascii="Verdana" w:hAnsi="Verdana"/>
          <w:color w:val="000000"/>
          <w:szCs w:val="20"/>
        </w:rPr>
        <w:t>Łukasiewicz Research Network- PORT Polish Centre for Technology Development with its registered office in Wrocław, ul. Stabłowicka 147, 54-066 Wrocław, National Court Register No. (KRS):</w:t>
      </w:r>
      <w:r>
        <w:rPr>
          <w:rFonts w:ascii="Verdana" w:hAnsi="Verdana"/>
          <w:color w:val="FFFFFF"/>
          <w:szCs w:val="20"/>
        </w:rPr>
        <w:t xml:space="preserve"> </w:t>
      </w:r>
      <w:r>
        <w:rPr>
          <w:rFonts w:ascii="Verdana" w:hAnsi="Verdana"/>
          <w:color w:val="000000"/>
          <w:szCs w:val="20"/>
        </w:rPr>
        <w:t>0000850580; Taxpayer Identification No. (NIP):89</w:t>
      </w:r>
      <w:r w:rsidR="002B53AC">
        <w:rPr>
          <w:rFonts w:ascii="Verdana" w:hAnsi="Verdana"/>
          <w:color w:val="000000"/>
          <w:szCs w:val="20"/>
        </w:rPr>
        <w:t>4</w:t>
      </w:r>
      <w:r>
        <w:rPr>
          <w:rFonts w:ascii="Verdana" w:hAnsi="Verdana"/>
          <w:color w:val="000000"/>
          <w:szCs w:val="20"/>
        </w:rPr>
        <w:t>3140523; biuro@port.lukasiewicz.gov.pl (the “</w:t>
      </w:r>
      <w:r>
        <w:rPr>
          <w:rFonts w:ascii="Verdana" w:hAnsi="Verdana"/>
          <w:b/>
          <w:bCs/>
          <w:color w:val="000000"/>
          <w:szCs w:val="20"/>
        </w:rPr>
        <w:t>Controller</w:t>
      </w:r>
      <w:r>
        <w:rPr>
          <w:rFonts w:ascii="Verdana" w:hAnsi="Verdana"/>
          <w:color w:val="000000"/>
          <w:szCs w:val="20"/>
        </w:rPr>
        <w:t xml:space="preserve">”). </w:t>
      </w:r>
    </w:p>
    <w:p w14:paraId="62DF7B12" w14:textId="4EB300B5" w:rsidR="00A50701" w:rsidRDefault="00257418" w:rsidP="00DA10BD">
      <w:pPr>
        <w:numPr>
          <w:ilvl w:val="0"/>
          <w:numId w:val="11"/>
        </w:numPr>
        <w:spacing w:after="120" w:line="276" w:lineRule="auto"/>
        <w:ind w:left="567" w:hanging="567"/>
        <w:rPr>
          <w:rFonts w:ascii="Verdana" w:hAnsi="Verdana"/>
          <w:color w:val="000000"/>
          <w:szCs w:val="20"/>
        </w:rPr>
      </w:pPr>
      <w:bookmarkStart w:id="2" w:name="_Hlk54079300"/>
      <w:bookmarkEnd w:id="1"/>
      <w:r>
        <w:rPr>
          <w:rFonts w:ascii="Verdana" w:hAnsi="Verdana"/>
          <w:color w:val="000000"/>
          <w:szCs w:val="20"/>
        </w:rPr>
        <w:t>The Controller has appointed a Data Protection Officer (the “</w:t>
      </w:r>
      <w:r>
        <w:rPr>
          <w:rFonts w:ascii="Verdana" w:hAnsi="Verdana"/>
          <w:b/>
          <w:bCs/>
          <w:color w:val="000000"/>
          <w:szCs w:val="20"/>
        </w:rPr>
        <w:t>DPO</w:t>
      </w:r>
      <w:r>
        <w:rPr>
          <w:rFonts w:ascii="Verdana" w:hAnsi="Verdana"/>
          <w:color w:val="000000"/>
          <w:szCs w:val="20"/>
        </w:rPr>
        <w:t>”). Contact the DPO at iod@port.lukasiewicz.gov.pl</w:t>
      </w:r>
      <w:r w:rsidR="00A50701">
        <w:rPr>
          <w:rFonts w:ascii="Verdana" w:hAnsi="Verdana"/>
          <w:color w:val="000000"/>
          <w:szCs w:val="20"/>
        </w:rPr>
        <w:t>.</w:t>
      </w:r>
      <w:r>
        <w:rPr>
          <w:rFonts w:ascii="Verdana" w:hAnsi="Verdana"/>
          <w:color w:val="000000"/>
          <w:szCs w:val="20"/>
        </w:rPr>
        <w:t xml:space="preserve"> You are welcome to communicate </w:t>
      </w:r>
      <w:r w:rsidR="002B53AC">
        <w:rPr>
          <w:rFonts w:ascii="Verdana" w:hAnsi="Verdana"/>
          <w:color w:val="000000"/>
          <w:szCs w:val="20"/>
        </w:rPr>
        <w:t xml:space="preserve">with </w:t>
      </w:r>
      <w:r w:rsidR="00A50701">
        <w:rPr>
          <w:rFonts w:ascii="Verdana" w:hAnsi="Verdana"/>
          <w:color w:val="000000"/>
          <w:szCs w:val="20"/>
        </w:rPr>
        <w:t xml:space="preserve">the DPO on </w:t>
      </w:r>
      <w:r>
        <w:rPr>
          <w:rFonts w:ascii="Verdana" w:hAnsi="Verdana"/>
          <w:color w:val="000000"/>
          <w:szCs w:val="20"/>
        </w:rPr>
        <w:t>all matters concerning the processing of your</w:t>
      </w:r>
      <w:r w:rsidR="002B53AC">
        <w:rPr>
          <w:rFonts w:ascii="Verdana" w:hAnsi="Verdana"/>
          <w:color w:val="000000"/>
          <w:szCs w:val="20"/>
        </w:rPr>
        <w:t xml:space="preserve"> personal</w:t>
      </w:r>
      <w:r>
        <w:rPr>
          <w:rFonts w:ascii="Verdana" w:hAnsi="Verdana"/>
          <w:color w:val="000000"/>
          <w:szCs w:val="20"/>
        </w:rPr>
        <w:t xml:space="preserve"> data.</w:t>
      </w:r>
    </w:p>
    <w:p w14:paraId="1FAEB5A2" w14:textId="77777777" w:rsidR="00A50701" w:rsidRDefault="00A50701">
      <w:pPr>
        <w:spacing w:after="160" w:line="259" w:lineRule="auto"/>
        <w:jc w:val="left"/>
        <w:rPr>
          <w:rFonts w:ascii="Verdana" w:hAnsi="Verdana"/>
          <w:color w:val="000000"/>
          <w:szCs w:val="20"/>
        </w:rPr>
      </w:pPr>
      <w:r>
        <w:rPr>
          <w:rFonts w:ascii="Verdana" w:hAnsi="Verdana"/>
          <w:color w:val="000000"/>
          <w:szCs w:val="20"/>
        </w:rPr>
        <w:br w:type="page"/>
      </w:r>
    </w:p>
    <w:bookmarkEnd w:id="2"/>
    <w:p w14:paraId="0D9EC918" w14:textId="77777777" w:rsidR="00A50701" w:rsidRDefault="00A50701" w:rsidP="00257418">
      <w:pPr>
        <w:numPr>
          <w:ilvl w:val="0"/>
          <w:numId w:val="11"/>
        </w:numPr>
        <w:spacing w:after="120" w:line="276" w:lineRule="auto"/>
        <w:ind w:left="567" w:hanging="567"/>
        <w:jc w:val="left"/>
        <w:rPr>
          <w:rFonts w:ascii="Verdana" w:hAnsi="Verdana"/>
          <w:color w:val="000000"/>
          <w:szCs w:val="20"/>
        </w:rPr>
        <w:sectPr w:rsidR="00A50701" w:rsidSect="00A50701">
          <w:headerReference w:type="even" r:id="rId8"/>
          <w:headerReference w:type="default" r:id="rId9"/>
          <w:footerReference w:type="even" r:id="rId10"/>
          <w:footerReference w:type="default" r:id="rId11"/>
          <w:headerReference w:type="first" r:id="rId12"/>
          <w:footerReference w:type="first" r:id="rId13"/>
          <w:pgSz w:w="11906" w:h="16838" w:code="9"/>
          <w:pgMar w:top="2325" w:right="1021" w:bottom="2155" w:left="2722" w:header="709" w:footer="1247" w:gutter="0"/>
          <w:cols w:space="708"/>
          <w:docGrid w:linePitch="360"/>
        </w:sectPr>
      </w:pPr>
    </w:p>
    <w:p w14:paraId="328147AB" w14:textId="1BE3CF92" w:rsidR="00257418" w:rsidRPr="00257418" w:rsidRDefault="00257418" w:rsidP="00257418">
      <w:pPr>
        <w:numPr>
          <w:ilvl w:val="0"/>
          <w:numId w:val="11"/>
        </w:numPr>
        <w:spacing w:after="120" w:line="276" w:lineRule="auto"/>
        <w:ind w:left="567" w:hanging="567"/>
        <w:jc w:val="left"/>
        <w:rPr>
          <w:rFonts w:ascii="Verdana" w:eastAsia="Verdana" w:hAnsi="Verdana" w:cs="Times New Roman"/>
          <w:color w:val="000000"/>
          <w:szCs w:val="20"/>
        </w:rPr>
      </w:pPr>
      <w:r>
        <w:rPr>
          <w:rFonts w:ascii="Verdana" w:hAnsi="Verdana"/>
          <w:color w:val="000000"/>
          <w:szCs w:val="20"/>
        </w:rPr>
        <w:lastRenderedPageBreak/>
        <w:t>Specific information on the processing of data in your case:</w:t>
      </w:r>
    </w:p>
    <w:tbl>
      <w:tblPr>
        <w:tblStyle w:val="Tabela-Siatka1"/>
        <w:tblW w:w="12750" w:type="dxa"/>
        <w:tblLook w:val="04A0" w:firstRow="1" w:lastRow="0" w:firstColumn="1" w:lastColumn="0" w:noHBand="0" w:noVBand="1"/>
      </w:tblPr>
      <w:tblGrid>
        <w:gridCol w:w="2263"/>
        <w:gridCol w:w="1701"/>
        <w:gridCol w:w="2977"/>
        <w:gridCol w:w="2307"/>
        <w:gridCol w:w="1661"/>
        <w:gridCol w:w="1841"/>
      </w:tblGrid>
      <w:tr w:rsidR="003816AB" w:rsidRPr="00257418" w14:paraId="3AA72B46" w14:textId="77777777" w:rsidTr="003816AB">
        <w:tc>
          <w:tcPr>
            <w:tcW w:w="2263" w:type="dxa"/>
          </w:tcPr>
          <w:p w14:paraId="3D9D9F1A" w14:textId="77777777" w:rsidR="00257418" w:rsidRPr="00257418" w:rsidRDefault="00257418" w:rsidP="00257418">
            <w:pPr>
              <w:spacing w:after="120" w:line="276" w:lineRule="auto"/>
              <w:jc w:val="center"/>
              <w:rPr>
                <w:rFonts w:eastAsia="Verdana" w:cs="Times New Roman"/>
                <w:bCs/>
                <w:color w:val="000000"/>
                <w:spacing w:val="0"/>
              </w:rPr>
            </w:pPr>
            <w:r>
              <w:rPr>
                <w:bCs/>
                <w:color w:val="000000"/>
              </w:rPr>
              <w:t>Who is affected by the processing</w:t>
            </w:r>
          </w:p>
        </w:tc>
        <w:tc>
          <w:tcPr>
            <w:tcW w:w="1701" w:type="dxa"/>
          </w:tcPr>
          <w:p w14:paraId="62ED8DBF" w14:textId="77777777" w:rsidR="00257418" w:rsidRPr="00257418" w:rsidRDefault="00257418" w:rsidP="00257418">
            <w:pPr>
              <w:spacing w:after="120" w:line="276" w:lineRule="auto"/>
              <w:jc w:val="center"/>
              <w:rPr>
                <w:rFonts w:eastAsia="Verdana" w:cs="Times New Roman"/>
                <w:bCs/>
                <w:color w:val="000000"/>
                <w:spacing w:val="0"/>
              </w:rPr>
            </w:pPr>
            <w:r>
              <w:rPr>
                <w:bCs/>
                <w:color w:val="000000"/>
              </w:rPr>
              <w:t>Means of obtaining personal data</w:t>
            </w:r>
          </w:p>
        </w:tc>
        <w:tc>
          <w:tcPr>
            <w:tcW w:w="2977" w:type="dxa"/>
          </w:tcPr>
          <w:p w14:paraId="4E63C867" w14:textId="77777777" w:rsidR="00257418" w:rsidRPr="00257418" w:rsidRDefault="00257418" w:rsidP="00257418">
            <w:pPr>
              <w:spacing w:after="120" w:line="276" w:lineRule="auto"/>
              <w:jc w:val="center"/>
              <w:rPr>
                <w:rFonts w:eastAsia="Verdana" w:cs="Times New Roman"/>
                <w:bCs/>
                <w:color w:val="000000"/>
                <w:spacing w:val="0"/>
              </w:rPr>
            </w:pPr>
            <w:r>
              <w:rPr>
                <w:bCs/>
                <w:color w:val="000000"/>
              </w:rPr>
              <w:t>Legal basis for processing personal data</w:t>
            </w:r>
          </w:p>
        </w:tc>
        <w:tc>
          <w:tcPr>
            <w:tcW w:w="0" w:type="auto"/>
          </w:tcPr>
          <w:p w14:paraId="650C0676" w14:textId="77777777" w:rsidR="00257418" w:rsidRPr="00257418" w:rsidRDefault="00257418" w:rsidP="00257418">
            <w:pPr>
              <w:spacing w:after="120" w:line="276" w:lineRule="auto"/>
              <w:jc w:val="center"/>
              <w:rPr>
                <w:rFonts w:eastAsia="Verdana" w:cs="Times New Roman"/>
                <w:bCs/>
                <w:color w:val="000000"/>
                <w:spacing w:val="0"/>
              </w:rPr>
            </w:pPr>
            <w:r>
              <w:rPr>
                <w:bCs/>
                <w:color w:val="000000"/>
              </w:rPr>
              <w:t>Personal data processed</w:t>
            </w:r>
          </w:p>
        </w:tc>
        <w:tc>
          <w:tcPr>
            <w:tcW w:w="1661" w:type="dxa"/>
          </w:tcPr>
          <w:p w14:paraId="1960BE0D" w14:textId="77777777" w:rsidR="00257418" w:rsidRPr="00257418" w:rsidRDefault="00257418" w:rsidP="00257418">
            <w:pPr>
              <w:spacing w:after="120" w:line="276" w:lineRule="auto"/>
              <w:jc w:val="center"/>
              <w:rPr>
                <w:rFonts w:eastAsia="Verdana" w:cs="Times New Roman"/>
                <w:bCs/>
                <w:color w:val="000000"/>
                <w:spacing w:val="0"/>
              </w:rPr>
            </w:pPr>
            <w:r>
              <w:rPr>
                <w:bCs/>
                <w:color w:val="000000"/>
              </w:rPr>
              <w:t>Purpose of personal data processing</w:t>
            </w:r>
          </w:p>
        </w:tc>
        <w:tc>
          <w:tcPr>
            <w:tcW w:w="0" w:type="auto"/>
          </w:tcPr>
          <w:p w14:paraId="2F67C2C1" w14:textId="77777777" w:rsidR="00257418" w:rsidRPr="00257418" w:rsidRDefault="00257418" w:rsidP="00257418">
            <w:pPr>
              <w:spacing w:after="120" w:line="276" w:lineRule="auto"/>
              <w:jc w:val="center"/>
              <w:rPr>
                <w:rFonts w:eastAsia="Verdana" w:cs="Times New Roman"/>
                <w:bCs/>
                <w:color w:val="000000"/>
                <w:spacing w:val="0"/>
              </w:rPr>
            </w:pPr>
            <w:r>
              <w:rPr>
                <w:bCs/>
                <w:color w:val="000000"/>
              </w:rPr>
              <w:t>Period of personal data processing</w:t>
            </w:r>
          </w:p>
        </w:tc>
      </w:tr>
      <w:tr w:rsidR="003816AB" w:rsidRPr="00257418" w14:paraId="7493E8E3" w14:textId="77777777" w:rsidTr="003816AB">
        <w:tc>
          <w:tcPr>
            <w:tcW w:w="2263" w:type="dxa"/>
          </w:tcPr>
          <w:p w14:paraId="3A33E902" w14:textId="396904CA" w:rsidR="00257418" w:rsidRPr="003816AB" w:rsidRDefault="00257418" w:rsidP="00257418">
            <w:pPr>
              <w:spacing w:after="120" w:line="276" w:lineRule="auto"/>
              <w:jc w:val="left"/>
              <w:rPr>
                <w:rFonts w:eastAsia="Verdana" w:cs="Times New Roman"/>
                <w:color w:val="000000"/>
                <w:spacing w:val="0"/>
                <w:sz w:val="18"/>
                <w:szCs w:val="20"/>
              </w:rPr>
            </w:pPr>
            <w:r w:rsidRPr="003816AB">
              <w:rPr>
                <w:color w:val="000000"/>
                <w:sz w:val="18"/>
                <w:szCs w:val="20"/>
              </w:rPr>
              <w:t>The Contractor (procedure participant), persons representing it, its attorneys and representatives through whom it acts in the procedure, supervisory bodies, etc., and other persons indicated by the Contractor</w:t>
            </w:r>
            <w:r w:rsidR="00143ED6">
              <w:rPr>
                <w:color w:val="000000"/>
                <w:sz w:val="18"/>
                <w:szCs w:val="20"/>
              </w:rPr>
              <w:t xml:space="preserve"> </w:t>
            </w:r>
            <w:r w:rsidR="00143ED6" w:rsidRPr="003816AB">
              <w:rPr>
                <w:color w:val="000000"/>
                <w:sz w:val="18"/>
                <w:szCs w:val="20"/>
              </w:rPr>
              <w:t>(procedure participant)</w:t>
            </w:r>
            <w:r w:rsidRPr="003816AB">
              <w:rPr>
                <w:color w:val="000000"/>
                <w:sz w:val="18"/>
                <w:szCs w:val="20"/>
              </w:rPr>
              <w:t xml:space="preserve"> in the tender and other documentation submitted to the </w:t>
            </w:r>
            <w:r w:rsidR="00A50701" w:rsidRPr="003816AB">
              <w:rPr>
                <w:color w:val="000000"/>
                <w:sz w:val="18"/>
                <w:szCs w:val="20"/>
              </w:rPr>
              <w:t>Contracting Party</w:t>
            </w:r>
            <w:r w:rsidR="003816AB">
              <w:rPr>
                <w:color w:val="000000"/>
                <w:sz w:val="18"/>
                <w:szCs w:val="20"/>
              </w:rPr>
              <w:t>.</w:t>
            </w:r>
          </w:p>
        </w:tc>
        <w:tc>
          <w:tcPr>
            <w:tcW w:w="1701" w:type="dxa"/>
          </w:tcPr>
          <w:p w14:paraId="747EBDA0" w14:textId="72AC2628" w:rsidR="00257418" w:rsidRPr="003816AB" w:rsidRDefault="002B53AC" w:rsidP="00257418">
            <w:pPr>
              <w:spacing w:after="120" w:line="276" w:lineRule="auto"/>
              <w:jc w:val="left"/>
              <w:rPr>
                <w:rFonts w:eastAsia="Verdana" w:cs="Times New Roman"/>
                <w:color w:val="000000"/>
                <w:spacing w:val="0"/>
                <w:sz w:val="18"/>
                <w:szCs w:val="20"/>
              </w:rPr>
            </w:pPr>
            <w:r w:rsidRPr="003816AB">
              <w:rPr>
                <w:color w:val="000000"/>
                <w:sz w:val="18"/>
                <w:szCs w:val="20"/>
              </w:rPr>
              <w:t xml:space="preserve">From </w:t>
            </w:r>
            <w:r w:rsidR="00257418" w:rsidRPr="003816AB">
              <w:rPr>
                <w:color w:val="000000"/>
                <w:sz w:val="18"/>
                <w:szCs w:val="20"/>
              </w:rPr>
              <w:t xml:space="preserve">you (you provide the </w:t>
            </w:r>
            <w:r w:rsidR="00A50701" w:rsidRPr="003816AB">
              <w:rPr>
                <w:color w:val="000000"/>
                <w:sz w:val="18"/>
                <w:szCs w:val="20"/>
              </w:rPr>
              <w:t>Contracting Party</w:t>
            </w:r>
            <w:r w:rsidR="00257418" w:rsidRPr="003816AB">
              <w:rPr>
                <w:color w:val="000000"/>
                <w:sz w:val="18"/>
                <w:szCs w:val="20"/>
              </w:rPr>
              <w:t xml:space="preserve"> with your personal data; we may </w:t>
            </w:r>
            <w:r w:rsidRPr="003816AB">
              <w:rPr>
                <w:color w:val="000000"/>
                <w:sz w:val="18"/>
                <w:szCs w:val="20"/>
              </w:rPr>
              <w:t xml:space="preserve">also </w:t>
            </w:r>
            <w:r w:rsidR="00257418" w:rsidRPr="003816AB">
              <w:rPr>
                <w:color w:val="000000"/>
                <w:sz w:val="18"/>
                <w:szCs w:val="20"/>
              </w:rPr>
              <w:t xml:space="preserve">receive your data from </w:t>
            </w:r>
            <w:r w:rsidRPr="003816AB">
              <w:rPr>
                <w:color w:val="000000"/>
                <w:sz w:val="18"/>
                <w:szCs w:val="20"/>
              </w:rPr>
              <w:t xml:space="preserve">third parties- your employer or your counterparty as </w:t>
            </w:r>
            <w:r w:rsidR="00257418" w:rsidRPr="003816AB">
              <w:rPr>
                <w:color w:val="000000"/>
                <w:sz w:val="18"/>
                <w:szCs w:val="20"/>
              </w:rPr>
              <w:t xml:space="preserve">part of their tender </w:t>
            </w:r>
            <w:r w:rsidRPr="003816AB">
              <w:rPr>
                <w:color w:val="000000"/>
                <w:sz w:val="18"/>
                <w:szCs w:val="20"/>
              </w:rPr>
              <w:t>process</w:t>
            </w:r>
            <w:r w:rsidR="00257418" w:rsidRPr="003816AB">
              <w:rPr>
                <w:color w:val="000000"/>
                <w:sz w:val="18"/>
                <w:szCs w:val="20"/>
              </w:rPr>
              <w:t>)</w:t>
            </w:r>
            <w:r w:rsidR="003816AB">
              <w:rPr>
                <w:color w:val="000000"/>
                <w:sz w:val="18"/>
                <w:szCs w:val="20"/>
              </w:rPr>
              <w:t>.</w:t>
            </w:r>
          </w:p>
        </w:tc>
        <w:tc>
          <w:tcPr>
            <w:tcW w:w="2977" w:type="dxa"/>
          </w:tcPr>
          <w:p w14:paraId="3D3DA367" w14:textId="410D0DAC" w:rsidR="00257418" w:rsidRPr="003816AB" w:rsidRDefault="00257418" w:rsidP="003816AB">
            <w:pPr>
              <w:spacing w:after="0" w:line="276" w:lineRule="auto"/>
              <w:jc w:val="left"/>
              <w:rPr>
                <w:rFonts w:eastAsia="Verdana" w:cs="Times New Roman"/>
                <w:color w:val="000000"/>
                <w:spacing w:val="0"/>
                <w:sz w:val="18"/>
                <w:szCs w:val="20"/>
              </w:rPr>
            </w:pPr>
            <w:r w:rsidRPr="003816AB">
              <w:rPr>
                <w:color w:val="000000"/>
                <w:sz w:val="18"/>
                <w:szCs w:val="20"/>
              </w:rPr>
              <w:t>Article 6(1)(c) of GDPR in conjunction with the provisions of the P</w:t>
            </w:r>
            <w:r w:rsidR="002B53AC" w:rsidRPr="003816AB">
              <w:rPr>
                <w:color w:val="000000"/>
                <w:sz w:val="18"/>
                <w:szCs w:val="20"/>
              </w:rPr>
              <w:t>PL</w:t>
            </w:r>
            <w:r w:rsidRPr="003816AB">
              <w:rPr>
                <w:color w:val="000000"/>
                <w:sz w:val="18"/>
                <w:szCs w:val="20"/>
              </w:rPr>
              <w:t xml:space="preserve"> Act in the case of data on convictions - in conjunction with Article 10 of the GDPR</w:t>
            </w:r>
            <w:r w:rsidR="003816AB">
              <w:rPr>
                <w:color w:val="000000"/>
                <w:sz w:val="18"/>
                <w:szCs w:val="20"/>
              </w:rPr>
              <w:t>.</w:t>
            </w:r>
          </w:p>
          <w:p w14:paraId="00B27F10" w14:textId="3E3B5AB8" w:rsidR="00257418" w:rsidRPr="003816AB" w:rsidRDefault="002B40A4" w:rsidP="00257418">
            <w:pPr>
              <w:spacing w:after="120" w:line="276" w:lineRule="auto"/>
              <w:jc w:val="left"/>
              <w:rPr>
                <w:rFonts w:eastAsia="Verdana" w:cs="Times New Roman"/>
                <w:color w:val="000000"/>
                <w:spacing w:val="0"/>
                <w:sz w:val="18"/>
                <w:szCs w:val="20"/>
              </w:rPr>
            </w:pPr>
            <w:r>
              <w:rPr>
                <w:color w:val="000000"/>
                <w:sz w:val="18"/>
                <w:szCs w:val="20"/>
              </w:rPr>
              <w:t>Additionally</w:t>
            </w:r>
            <w:r w:rsidR="00257418" w:rsidRPr="003816AB">
              <w:rPr>
                <w:color w:val="000000"/>
                <w:sz w:val="18"/>
                <w:szCs w:val="20"/>
              </w:rPr>
              <w:t xml:space="preserve">: Article 6(1)(b) of the GDPR – the data </w:t>
            </w:r>
            <w:r w:rsidR="002E32E3">
              <w:rPr>
                <w:color w:val="000000"/>
                <w:sz w:val="18"/>
                <w:szCs w:val="20"/>
              </w:rPr>
              <w:t>are</w:t>
            </w:r>
            <w:r w:rsidR="002E32E3" w:rsidRPr="003816AB">
              <w:rPr>
                <w:color w:val="000000"/>
                <w:sz w:val="18"/>
                <w:szCs w:val="20"/>
              </w:rPr>
              <w:t xml:space="preserve"> </w:t>
            </w:r>
            <w:r w:rsidR="00257418" w:rsidRPr="003816AB">
              <w:rPr>
                <w:color w:val="000000"/>
                <w:sz w:val="18"/>
                <w:szCs w:val="20"/>
              </w:rPr>
              <w:t xml:space="preserve">required for the execution of your request for consideration of the tender / application by the </w:t>
            </w:r>
            <w:r w:rsidR="00A50701" w:rsidRPr="003816AB">
              <w:rPr>
                <w:color w:val="000000"/>
                <w:sz w:val="18"/>
                <w:szCs w:val="20"/>
              </w:rPr>
              <w:t>Contracting Party</w:t>
            </w:r>
            <w:r w:rsidR="00257418" w:rsidRPr="003816AB">
              <w:rPr>
                <w:color w:val="000000"/>
                <w:sz w:val="18"/>
                <w:szCs w:val="20"/>
              </w:rPr>
              <w:t xml:space="preserve">, and you are seeking to obtain a outcome </w:t>
            </w:r>
            <w:r w:rsidR="00FD044C">
              <w:rPr>
                <w:color w:val="000000"/>
                <w:sz w:val="18"/>
                <w:szCs w:val="20"/>
              </w:rPr>
              <w:t>of the procedure</w:t>
            </w:r>
            <w:r w:rsidR="00FD044C" w:rsidRPr="003816AB">
              <w:rPr>
                <w:color w:val="000000"/>
                <w:sz w:val="18"/>
                <w:szCs w:val="20"/>
              </w:rPr>
              <w:t xml:space="preserve"> </w:t>
            </w:r>
            <w:r w:rsidR="00FD044C">
              <w:rPr>
                <w:color w:val="000000"/>
                <w:sz w:val="18"/>
                <w:szCs w:val="20"/>
              </w:rPr>
              <w:t xml:space="preserve">which is </w:t>
            </w:r>
            <w:r w:rsidR="00FD044C" w:rsidRPr="003816AB">
              <w:rPr>
                <w:color w:val="000000"/>
                <w:sz w:val="18"/>
                <w:szCs w:val="20"/>
              </w:rPr>
              <w:t xml:space="preserve">positive </w:t>
            </w:r>
            <w:r w:rsidR="00257418" w:rsidRPr="003816AB">
              <w:rPr>
                <w:color w:val="000000"/>
                <w:sz w:val="18"/>
                <w:szCs w:val="20"/>
              </w:rPr>
              <w:t>for you. Failure to provide data makes it impossible to fulfil the request.</w:t>
            </w:r>
          </w:p>
        </w:tc>
        <w:tc>
          <w:tcPr>
            <w:tcW w:w="0" w:type="auto"/>
          </w:tcPr>
          <w:p w14:paraId="5AC137B7" w14:textId="6F9AC928" w:rsidR="00257418" w:rsidRPr="003816AB" w:rsidRDefault="002B53AC" w:rsidP="00257418">
            <w:pPr>
              <w:spacing w:after="120" w:line="276" w:lineRule="auto"/>
              <w:jc w:val="left"/>
              <w:rPr>
                <w:rFonts w:eastAsia="Verdana" w:cs="Times New Roman"/>
                <w:color w:val="000000"/>
                <w:spacing w:val="0"/>
                <w:sz w:val="18"/>
                <w:szCs w:val="20"/>
              </w:rPr>
            </w:pPr>
            <w:r w:rsidRPr="003816AB">
              <w:rPr>
                <w:color w:val="000000"/>
                <w:sz w:val="18"/>
                <w:szCs w:val="20"/>
              </w:rPr>
              <w:t xml:space="preserve">Any </w:t>
            </w:r>
            <w:r w:rsidR="00257418" w:rsidRPr="003816AB">
              <w:rPr>
                <w:color w:val="000000"/>
                <w:sz w:val="18"/>
                <w:szCs w:val="20"/>
              </w:rPr>
              <w:t>personal data provide</w:t>
            </w:r>
            <w:r w:rsidR="002E32E3">
              <w:rPr>
                <w:color w:val="000000"/>
                <w:sz w:val="18"/>
                <w:szCs w:val="20"/>
              </w:rPr>
              <w:t>d</w:t>
            </w:r>
            <w:r w:rsidR="00257418" w:rsidRPr="003816AB">
              <w:rPr>
                <w:color w:val="000000"/>
                <w:sz w:val="18"/>
                <w:szCs w:val="20"/>
              </w:rPr>
              <w:t xml:space="preserve"> in the course of this or other public procurement procedure under the P</w:t>
            </w:r>
            <w:r w:rsidR="003816AB" w:rsidRPr="003816AB">
              <w:rPr>
                <w:color w:val="000000"/>
                <w:sz w:val="18"/>
                <w:szCs w:val="20"/>
              </w:rPr>
              <w:t>PL</w:t>
            </w:r>
            <w:r w:rsidR="00257418" w:rsidRPr="003816AB">
              <w:rPr>
                <w:color w:val="000000"/>
                <w:sz w:val="18"/>
                <w:szCs w:val="20"/>
              </w:rPr>
              <w:t xml:space="preserve"> Act. This may include: first name, last name, </w:t>
            </w:r>
            <w:r w:rsidR="00FD044C">
              <w:rPr>
                <w:color w:val="000000"/>
                <w:sz w:val="18"/>
                <w:szCs w:val="20"/>
              </w:rPr>
              <w:t>personal identity number</w:t>
            </w:r>
            <w:r w:rsidR="00257418" w:rsidRPr="003816AB">
              <w:rPr>
                <w:color w:val="000000"/>
                <w:sz w:val="18"/>
                <w:szCs w:val="20"/>
              </w:rPr>
              <w:t>, date and place of birth, information on experience and occupation, qualifications, convictions, residential addresses, contact details</w:t>
            </w:r>
            <w:r w:rsidR="003816AB">
              <w:rPr>
                <w:color w:val="000000"/>
                <w:sz w:val="18"/>
                <w:szCs w:val="20"/>
              </w:rPr>
              <w:t>.</w:t>
            </w:r>
          </w:p>
        </w:tc>
        <w:tc>
          <w:tcPr>
            <w:tcW w:w="1661" w:type="dxa"/>
          </w:tcPr>
          <w:p w14:paraId="41835C72" w14:textId="3D825F7A" w:rsidR="00257418" w:rsidRPr="003816AB" w:rsidRDefault="003816AB" w:rsidP="00257418">
            <w:pPr>
              <w:spacing w:after="120" w:line="276" w:lineRule="auto"/>
              <w:jc w:val="left"/>
              <w:rPr>
                <w:rFonts w:eastAsia="Verdana" w:cs="Times New Roman"/>
                <w:color w:val="000000"/>
                <w:spacing w:val="0"/>
                <w:sz w:val="18"/>
                <w:szCs w:val="20"/>
              </w:rPr>
            </w:pPr>
            <w:r w:rsidRPr="003816AB">
              <w:rPr>
                <w:color w:val="000000"/>
                <w:sz w:val="18"/>
                <w:szCs w:val="20"/>
              </w:rPr>
              <w:t xml:space="preserve">Conducting </w:t>
            </w:r>
            <w:r w:rsidR="00257418" w:rsidRPr="003816AB">
              <w:rPr>
                <w:color w:val="000000"/>
                <w:sz w:val="18"/>
                <w:szCs w:val="20"/>
              </w:rPr>
              <w:t>a public procurement procedure (or other appropriate procedure) based on the provisions of the P</w:t>
            </w:r>
            <w:r w:rsidRPr="003816AB">
              <w:rPr>
                <w:color w:val="000000"/>
                <w:sz w:val="18"/>
                <w:szCs w:val="20"/>
              </w:rPr>
              <w:t xml:space="preserve">PL </w:t>
            </w:r>
            <w:r w:rsidR="00257418" w:rsidRPr="003816AB">
              <w:rPr>
                <w:color w:val="000000"/>
                <w:sz w:val="18"/>
                <w:szCs w:val="20"/>
              </w:rPr>
              <w:t>Act, as specifically indicated in the</w:t>
            </w:r>
            <w:r w:rsidR="002E32E3">
              <w:rPr>
                <w:color w:val="000000"/>
                <w:sz w:val="18"/>
                <w:szCs w:val="20"/>
              </w:rPr>
              <w:t xml:space="preserve"> </w:t>
            </w:r>
            <w:r w:rsidR="00257418" w:rsidRPr="003816AB">
              <w:rPr>
                <w:color w:val="000000"/>
                <w:sz w:val="18"/>
                <w:szCs w:val="20"/>
              </w:rPr>
              <w:t>documentation</w:t>
            </w:r>
            <w:r w:rsidR="00143ED6">
              <w:rPr>
                <w:color w:val="000000"/>
                <w:sz w:val="18"/>
                <w:szCs w:val="20"/>
              </w:rPr>
              <w:t xml:space="preserve"> to which this clause is attached</w:t>
            </w:r>
            <w:r>
              <w:rPr>
                <w:color w:val="000000"/>
                <w:sz w:val="18"/>
                <w:szCs w:val="20"/>
              </w:rPr>
              <w:t>.</w:t>
            </w:r>
          </w:p>
        </w:tc>
        <w:tc>
          <w:tcPr>
            <w:tcW w:w="0" w:type="auto"/>
          </w:tcPr>
          <w:p w14:paraId="677E551B" w14:textId="14BFE76E" w:rsidR="00257418" w:rsidRPr="003816AB" w:rsidRDefault="003816AB" w:rsidP="00257418">
            <w:pPr>
              <w:spacing w:after="120" w:line="276" w:lineRule="auto"/>
              <w:jc w:val="left"/>
              <w:rPr>
                <w:rFonts w:eastAsia="Verdana" w:cs="Times New Roman"/>
                <w:color w:val="000000"/>
                <w:spacing w:val="0"/>
                <w:sz w:val="18"/>
                <w:szCs w:val="20"/>
              </w:rPr>
            </w:pPr>
            <w:r w:rsidRPr="003816AB">
              <w:rPr>
                <w:color w:val="000000"/>
                <w:sz w:val="18"/>
                <w:szCs w:val="20"/>
              </w:rPr>
              <w:t xml:space="preserve">As </w:t>
            </w:r>
            <w:r w:rsidR="00257418" w:rsidRPr="003816AB">
              <w:rPr>
                <w:color w:val="000000"/>
                <w:sz w:val="18"/>
                <w:szCs w:val="20"/>
              </w:rPr>
              <w:t xml:space="preserve">a rule </w:t>
            </w:r>
            <w:r w:rsidRPr="003816AB">
              <w:rPr>
                <w:color w:val="000000"/>
                <w:sz w:val="18"/>
                <w:szCs w:val="20"/>
              </w:rPr>
              <w:t>–</w:t>
            </w:r>
            <w:r w:rsidR="00257418" w:rsidRPr="003816AB">
              <w:rPr>
                <w:color w:val="000000"/>
                <w:sz w:val="18"/>
                <w:szCs w:val="20"/>
              </w:rPr>
              <w:t xml:space="preserve"> </w:t>
            </w:r>
            <w:r w:rsidRPr="003816AB">
              <w:rPr>
                <w:color w:val="000000"/>
                <w:sz w:val="18"/>
                <w:szCs w:val="20"/>
              </w:rPr>
              <w:t xml:space="preserve">up to </w:t>
            </w:r>
            <w:r w:rsidR="00257418" w:rsidRPr="003816AB">
              <w:rPr>
                <w:color w:val="000000"/>
                <w:sz w:val="18"/>
                <w:szCs w:val="20"/>
              </w:rPr>
              <w:t xml:space="preserve">4 (four) years from the date of completion of the contract award procedure, but for no less than the term of the agreement concluded as a result of this procedure (art. 78 of the </w:t>
            </w:r>
            <w:r w:rsidRPr="003816AB">
              <w:rPr>
                <w:color w:val="000000"/>
                <w:sz w:val="18"/>
                <w:szCs w:val="20"/>
              </w:rPr>
              <w:t>PPL</w:t>
            </w:r>
            <w:r w:rsidR="00257418" w:rsidRPr="003816AB">
              <w:rPr>
                <w:color w:val="000000"/>
                <w:sz w:val="18"/>
                <w:szCs w:val="20"/>
              </w:rPr>
              <w:t xml:space="preserve"> Act)</w:t>
            </w:r>
            <w:r>
              <w:rPr>
                <w:color w:val="000000"/>
                <w:sz w:val="18"/>
                <w:szCs w:val="20"/>
              </w:rPr>
              <w:t>.</w:t>
            </w:r>
          </w:p>
        </w:tc>
      </w:tr>
    </w:tbl>
    <w:p w14:paraId="0BFCC8AC" w14:textId="77777777" w:rsidR="003816AB" w:rsidRDefault="003816AB" w:rsidP="00257418">
      <w:pPr>
        <w:spacing w:after="120" w:line="276" w:lineRule="auto"/>
        <w:ind w:left="567"/>
        <w:rPr>
          <w:rFonts w:ascii="Verdana" w:eastAsia="Verdana" w:hAnsi="Verdana" w:cs="Times New Roman"/>
          <w:color w:val="000000"/>
          <w:sz w:val="22"/>
        </w:rPr>
        <w:sectPr w:rsidR="003816AB" w:rsidSect="003816AB">
          <w:pgSz w:w="16838" w:h="11906" w:orient="landscape" w:code="9"/>
          <w:pgMar w:top="2722" w:right="2325" w:bottom="1021" w:left="2155" w:header="709" w:footer="1247" w:gutter="0"/>
          <w:cols w:space="708"/>
          <w:docGrid w:linePitch="360"/>
        </w:sectPr>
      </w:pPr>
    </w:p>
    <w:p w14:paraId="47111B51" w14:textId="5CCF6460" w:rsidR="00257418" w:rsidRPr="00257418" w:rsidRDefault="00257418" w:rsidP="00DA10BD">
      <w:pPr>
        <w:numPr>
          <w:ilvl w:val="0"/>
          <w:numId w:val="11"/>
        </w:numPr>
        <w:spacing w:after="120" w:line="276" w:lineRule="auto"/>
        <w:ind w:left="567" w:hanging="567"/>
        <w:rPr>
          <w:rFonts w:ascii="Verdana" w:eastAsia="Verdana" w:hAnsi="Verdana" w:cs="Times New Roman"/>
          <w:color w:val="000000"/>
          <w:szCs w:val="20"/>
        </w:rPr>
      </w:pPr>
      <w:r>
        <w:rPr>
          <w:rFonts w:ascii="Verdana" w:hAnsi="Verdana"/>
          <w:color w:val="000000"/>
          <w:szCs w:val="20"/>
        </w:rPr>
        <w:lastRenderedPageBreak/>
        <w:t xml:space="preserve">Your personal data may also be processed – after exhausting other legal grounds – for archiving purposes, which is the legitimate interest of a state legal entity performing public tasks assigned by the act from public funds, referred to in Article 6(1)(f) of the GDPR, in which case the further archiving period will </w:t>
      </w:r>
      <w:r w:rsidR="002E32E3">
        <w:rPr>
          <w:rFonts w:ascii="Verdana" w:hAnsi="Verdana"/>
          <w:color w:val="000000"/>
          <w:szCs w:val="20"/>
        </w:rPr>
        <w:t>be no</w:t>
      </w:r>
      <w:r>
        <w:rPr>
          <w:rFonts w:ascii="Verdana" w:hAnsi="Verdana"/>
          <w:color w:val="000000"/>
          <w:szCs w:val="20"/>
        </w:rPr>
        <w:t xml:space="preserve"> longer than a further 10 years. If the funds disbursed by the </w:t>
      </w:r>
      <w:r w:rsidR="00A50701">
        <w:rPr>
          <w:rFonts w:ascii="Verdana" w:hAnsi="Verdana"/>
          <w:color w:val="000000"/>
          <w:szCs w:val="20"/>
        </w:rPr>
        <w:t>Contracting Party</w:t>
      </w:r>
      <w:r>
        <w:rPr>
          <w:rFonts w:ascii="Verdana" w:hAnsi="Verdana"/>
          <w:color w:val="000000"/>
          <w:szCs w:val="20"/>
        </w:rPr>
        <w:t xml:space="preserve"> in this procedure come from </w:t>
      </w:r>
      <w:r w:rsidR="002E32E3">
        <w:rPr>
          <w:rFonts w:ascii="Verdana" w:hAnsi="Verdana"/>
          <w:color w:val="000000"/>
          <w:szCs w:val="20"/>
        </w:rPr>
        <w:t xml:space="preserve">third party </w:t>
      </w:r>
      <w:r>
        <w:rPr>
          <w:rFonts w:ascii="Verdana" w:hAnsi="Verdana"/>
          <w:color w:val="000000"/>
          <w:szCs w:val="20"/>
        </w:rPr>
        <w:t>sources, it is possible that the data processing period will depend on the regulations governing the settlement of such funds with a third party (financing institution).</w:t>
      </w:r>
    </w:p>
    <w:p w14:paraId="7651D960" w14:textId="77777777" w:rsidR="00257418" w:rsidRPr="00257418" w:rsidRDefault="00257418" w:rsidP="00DA10BD">
      <w:pPr>
        <w:numPr>
          <w:ilvl w:val="0"/>
          <w:numId w:val="11"/>
        </w:numPr>
        <w:spacing w:after="120" w:line="276" w:lineRule="auto"/>
        <w:ind w:left="567" w:hanging="567"/>
        <w:rPr>
          <w:rFonts w:ascii="Verdana" w:eastAsia="Verdana" w:hAnsi="Verdana" w:cs="Times New Roman"/>
          <w:color w:val="000000"/>
          <w:szCs w:val="20"/>
        </w:rPr>
      </w:pPr>
      <w:r>
        <w:rPr>
          <w:rFonts w:ascii="Verdana" w:hAnsi="Verdana"/>
          <w:color w:val="000000"/>
          <w:szCs w:val="20"/>
        </w:rPr>
        <w:t>If any legal provisions to any extent provide for a longer processing period, this longer period applies.</w:t>
      </w:r>
    </w:p>
    <w:p w14:paraId="3D0D27BE" w14:textId="19C08A13" w:rsidR="00257418" w:rsidRPr="00257418" w:rsidRDefault="00257418" w:rsidP="00DA10BD">
      <w:pPr>
        <w:numPr>
          <w:ilvl w:val="0"/>
          <w:numId w:val="11"/>
        </w:numPr>
        <w:spacing w:after="120" w:line="276" w:lineRule="auto"/>
        <w:ind w:left="567" w:hanging="567"/>
        <w:rPr>
          <w:rFonts w:ascii="Verdana" w:eastAsia="Verdana" w:hAnsi="Verdana" w:cs="Times New Roman"/>
          <w:color w:val="000000"/>
          <w:szCs w:val="20"/>
        </w:rPr>
      </w:pPr>
      <w:r>
        <w:rPr>
          <w:rFonts w:ascii="Verdana" w:hAnsi="Verdana"/>
          <w:color w:val="000000"/>
          <w:szCs w:val="20"/>
        </w:rPr>
        <w:t xml:space="preserve">The Controller may transfer your data to other </w:t>
      </w:r>
      <w:r w:rsidR="000C1724">
        <w:rPr>
          <w:rFonts w:ascii="Verdana" w:hAnsi="Verdana"/>
          <w:color w:val="000000"/>
          <w:szCs w:val="20"/>
        </w:rPr>
        <w:t xml:space="preserve">entities </w:t>
      </w:r>
      <w:r>
        <w:rPr>
          <w:rFonts w:ascii="Verdana" w:hAnsi="Verdana"/>
          <w:color w:val="000000"/>
          <w:szCs w:val="20"/>
        </w:rPr>
        <w:t xml:space="preserve">in accordance with the law. The recipients of your personal data may include: </w:t>
      </w:r>
    </w:p>
    <w:p w14:paraId="3CBA8535" w14:textId="77777777" w:rsidR="00257418" w:rsidRPr="00257418" w:rsidRDefault="00257418" w:rsidP="00DA10BD">
      <w:pPr>
        <w:numPr>
          <w:ilvl w:val="0"/>
          <w:numId w:val="12"/>
        </w:numPr>
        <w:spacing w:after="120" w:line="276" w:lineRule="auto"/>
        <w:ind w:left="1134" w:hanging="567"/>
        <w:rPr>
          <w:rFonts w:ascii="Verdana" w:eastAsia="Verdana" w:hAnsi="Verdana" w:cs="Times New Roman"/>
          <w:color w:val="000000"/>
          <w:szCs w:val="20"/>
        </w:rPr>
      </w:pPr>
      <w:r>
        <w:rPr>
          <w:rFonts w:ascii="Verdana" w:hAnsi="Verdana"/>
          <w:color w:val="000000"/>
          <w:szCs w:val="20"/>
        </w:rPr>
        <w:t>duly authorised collaborators of the Controller or its service providers, to the extent necessary and reasonable, including e.g. IT service providers, software service providers;</w:t>
      </w:r>
    </w:p>
    <w:p w14:paraId="5A950C48" w14:textId="77777777" w:rsidR="00257418" w:rsidRPr="00257418" w:rsidRDefault="00257418" w:rsidP="00DA10BD">
      <w:pPr>
        <w:numPr>
          <w:ilvl w:val="0"/>
          <w:numId w:val="12"/>
        </w:numPr>
        <w:spacing w:after="120" w:line="276" w:lineRule="auto"/>
        <w:ind w:left="1134" w:hanging="567"/>
        <w:rPr>
          <w:rFonts w:ascii="Verdana" w:eastAsia="Verdana" w:hAnsi="Verdana" w:cs="Times New Roman"/>
          <w:color w:val="000000"/>
          <w:szCs w:val="20"/>
        </w:rPr>
      </w:pPr>
      <w:r>
        <w:rPr>
          <w:rFonts w:ascii="Verdana" w:hAnsi="Verdana"/>
          <w:color w:val="000000"/>
          <w:szCs w:val="20"/>
        </w:rPr>
        <w:t>entities entitled to statutory or contractual control or supervision over the Controller, in particular the Łukasiewicz Centre and the President of the Łukasiewicz Centre;</w:t>
      </w:r>
    </w:p>
    <w:p w14:paraId="230511AE" w14:textId="77777777" w:rsidR="00257418" w:rsidRPr="00257418" w:rsidRDefault="00257418" w:rsidP="00DA10BD">
      <w:pPr>
        <w:numPr>
          <w:ilvl w:val="0"/>
          <w:numId w:val="12"/>
        </w:numPr>
        <w:spacing w:after="120" w:line="276" w:lineRule="auto"/>
        <w:ind w:left="1134" w:hanging="567"/>
        <w:rPr>
          <w:rFonts w:ascii="Verdana" w:eastAsia="Verdana" w:hAnsi="Verdana" w:cs="Times New Roman"/>
          <w:color w:val="000000"/>
          <w:szCs w:val="20"/>
        </w:rPr>
      </w:pPr>
      <w:r>
        <w:rPr>
          <w:rFonts w:ascii="Verdana" w:hAnsi="Verdana"/>
          <w:color w:val="000000"/>
          <w:szCs w:val="20"/>
        </w:rPr>
        <w:t>other entities with statutory powers of supervision and control and other entities authorised by law;</w:t>
      </w:r>
    </w:p>
    <w:p w14:paraId="14840CCA" w14:textId="1E7C78F8" w:rsidR="00257418" w:rsidRPr="00257418" w:rsidRDefault="00257418" w:rsidP="00DA10BD">
      <w:pPr>
        <w:numPr>
          <w:ilvl w:val="0"/>
          <w:numId w:val="12"/>
        </w:numPr>
        <w:spacing w:after="120" w:line="276" w:lineRule="auto"/>
        <w:ind w:left="1134" w:hanging="567"/>
        <w:rPr>
          <w:rFonts w:ascii="Verdana" w:eastAsia="Verdana" w:hAnsi="Verdana" w:cs="Times New Roman"/>
          <w:color w:val="000000"/>
          <w:szCs w:val="20"/>
        </w:rPr>
      </w:pPr>
      <w:r>
        <w:rPr>
          <w:rFonts w:ascii="Verdana" w:hAnsi="Verdana"/>
          <w:color w:val="000000"/>
          <w:szCs w:val="20"/>
        </w:rPr>
        <w:t xml:space="preserve">in the event of a relationship between you and the Controller (including the funding of a public procurement contract from external funds) for the purposes of subsidised scientific projects or commercialisation – a subsidising, intermediary or funding institution, etc., </w:t>
      </w:r>
      <w:r w:rsidR="000C1724">
        <w:rPr>
          <w:rFonts w:ascii="Verdana" w:hAnsi="Verdana"/>
          <w:color w:val="000000"/>
          <w:szCs w:val="20"/>
        </w:rPr>
        <w:t>for example</w:t>
      </w:r>
      <w:r>
        <w:rPr>
          <w:rFonts w:ascii="Verdana" w:hAnsi="Verdana"/>
          <w:color w:val="000000"/>
          <w:szCs w:val="20"/>
        </w:rPr>
        <w:t xml:space="preserve"> NCBiR or NCN;</w:t>
      </w:r>
    </w:p>
    <w:p w14:paraId="28EB6D49" w14:textId="0A7DAF0E" w:rsidR="00257418" w:rsidRPr="00257418" w:rsidRDefault="00257418" w:rsidP="00DA10BD">
      <w:pPr>
        <w:numPr>
          <w:ilvl w:val="0"/>
          <w:numId w:val="11"/>
        </w:numPr>
        <w:spacing w:after="120" w:line="276" w:lineRule="auto"/>
        <w:ind w:left="567" w:hanging="567"/>
        <w:rPr>
          <w:rFonts w:ascii="Verdana" w:eastAsia="Verdana" w:hAnsi="Verdana" w:cs="Times New Roman"/>
          <w:color w:val="000000"/>
          <w:szCs w:val="20"/>
        </w:rPr>
      </w:pPr>
      <w:r>
        <w:rPr>
          <w:rFonts w:ascii="Verdana" w:hAnsi="Verdana"/>
          <w:color w:val="000000"/>
          <w:szCs w:val="20"/>
        </w:rPr>
        <w:t xml:space="preserve">Your personal data will not be transferred to third countries or international organisations. If this were to happen, we will inform you separately. However, this does not apply to the transfer for the purposes of implementing and accounting for grants, subsidies, scientific programmes, etc. funded from the budget of the European Union. The data may be transferred by the Controller to </w:t>
      </w:r>
      <w:r w:rsidR="009E0F53">
        <w:rPr>
          <w:rFonts w:ascii="Verdana" w:hAnsi="Verdana"/>
          <w:color w:val="000000"/>
          <w:szCs w:val="20"/>
        </w:rPr>
        <w:t>European Union</w:t>
      </w:r>
      <w:r>
        <w:rPr>
          <w:rFonts w:ascii="Verdana" w:hAnsi="Verdana"/>
          <w:color w:val="000000"/>
          <w:szCs w:val="20"/>
        </w:rPr>
        <w:t xml:space="preserve"> to the extent necessary for the fulfilment of obligations and proper spending of public funds.</w:t>
      </w:r>
    </w:p>
    <w:p w14:paraId="6ACC636E" w14:textId="12B16FC0" w:rsidR="00257418" w:rsidRPr="00257418" w:rsidRDefault="00257418" w:rsidP="00DA10BD">
      <w:pPr>
        <w:numPr>
          <w:ilvl w:val="0"/>
          <w:numId w:val="11"/>
        </w:numPr>
        <w:spacing w:after="120" w:line="276" w:lineRule="auto"/>
        <w:ind w:left="567" w:hanging="567"/>
        <w:rPr>
          <w:rFonts w:ascii="Verdana" w:eastAsia="Verdana" w:hAnsi="Verdana" w:cs="Times New Roman"/>
          <w:color w:val="000000"/>
          <w:szCs w:val="20"/>
        </w:rPr>
      </w:pPr>
      <w:r>
        <w:rPr>
          <w:rFonts w:ascii="Verdana" w:hAnsi="Verdana"/>
          <w:color w:val="000000"/>
          <w:szCs w:val="20"/>
        </w:rPr>
        <w:t>No automated decisions will be taken in relation to your personal data. There will be no profiling on its basis.</w:t>
      </w:r>
    </w:p>
    <w:p w14:paraId="3E0F71F7" w14:textId="77777777" w:rsidR="00257418" w:rsidRPr="00257418" w:rsidRDefault="00257418" w:rsidP="00DA10BD">
      <w:pPr>
        <w:numPr>
          <w:ilvl w:val="0"/>
          <w:numId w:val="11"/>
        </w:numPr>
        <w:spacing w:after="120" w:line="276" w:lineRule="auto"/>
        <w:ind w:left="567" w:hanging="567"/>
        <w:rPr>
          <w:rFonts w:ascii="Verdana" w:eastAsia="Verdana" w:hAnsi="Verdana" w:cs="Times New Roman"/>
          <w:color w:val="000000"/>
          <w:szCs w:val="20"/>
        </w:rPr>
      </w:pPr>
      <w:r>
        <w:rPr>
          <w:rFonts w:ascii="Verdana" w:hAnsi="Verdana"/>
          <w:color w:val="000000"/>
          <w:szCs w:val="20"/>
        </w:rPr>
        <w:lastRenderedPageBreak/>
        <w:t>To exercise your rights, please contact the Controller by e-mail at the above mentioned contact details of the Data Protection Officer. You have the right to:</w:t>
      </w:r>
    </w:p>
    <w:p w14:paraId="7193E612" w14:textId="4370C4E5" w:rsidR="00257418" w:rsidRPr="00257418" w:rsidRDefault="00257418" w:rsidP="00DA10BD">
      <w:pPr>
        <w:numPr>
          <w:ilvl w:val="0"/>
          <w:numId w:val="13"/>
        </w:numPr>
        <w:spacing w:after="120" w:line="276" w:lineRule="auto"/>
        <w:ind w:left="1134" w:hanging="567"/>
        <w:rPr>
          <w:rFonts w:ascii="Verdana" w:eastAsia="Verdana" w:hAnsi="Verdana" w:cs="Times New Roman"/>
          <w:color w:val="000000"/>
          <w:szCs w:val="20"/>
        </w:rPr>
      </w:pPr>
      <w:r>
        <w:rPr>
          <w:rFonts w:ascii="Verdana" w:hAnsi="Verdana"/>
          <w:color w:val="000000"/>
          <w:szCs w:val="20"/>
        </w:rPr>
        <w:t xml:space="preserve">access </w:t>
      </w:r>
      <w:r w:rsidR="000C1724">
        <w:rPr>
          <w:rFonts w:ascii="Verdana" w:hAnsi="Verdana"/>
          <w:color w:val="000000"/>
          <w:szCs w:val="20"/>
        </w:rPr>
        <w:t xml:space="preserve">your </w:t>
      </w:r>
      <w:r>
        <w:rPr>
          <w:rFonts w:ascii="Verdana" w:hAnsi="Verdana"/>
          <w:color w:val="000000"/>
          <w:szCs w:val="20"/>
        </w:rPr>
        <w:t xml:space="preserve">personal data </w:t>
      </w:r>
      <w:r w:rsidR="000C1724">
        <w:rPr>
          <w:rFonts w:ascii="Verdana" w:hAnsi="Verdana"/>
          <w:color w:val="000000"/>
          <w:szCs w:val="20"/>
        </w:rPr>
        <w:t>held</w:t>
      </w:r>
      <w:r>
        <w:rPr>
          <w:rFonts w:ascii="Verdana" w:hAnsi="Verdana"/>
          <w:color w:val="000000"/>
          <w:szCs w:val="20"/>
        </w:rPr>
        <w:t>;</w:t>
      </w:r>
    </w:p>
    <w:p w14:paraId="51EE3C78" w14:textId="381C04AE" w:rsidR="00257418" w:rsidRPr="00257418" w:rsidRDefault="00257418" w:rsidP="00DA10BD">
      <w:pPr>
        <w:numPr>
          <w:ilvl w:val="0"/>
          <w:numId w:val="13"/>
        </w:numPr>
        <w:spacing w:after="120" w:line="276" w:lineRule="auto"/>
        <w:ind w:left="1134" w:hanging="567"/>
        <w:rPr>
          <w:rFonts w:ascii="Verdana" w:eastAsia="Verdana" w:hAnsi="Verdana" w:cs="Times New Roman"/>
          <w:color w:val="000000"/>
          <w:szCs w:val="20"/>
        </w:rPr>
      </w:pPr>
      <w:r>
        <w:rPr>
          <w:rFonts w:ascii="Verdana" w:hAnsi="Verdana"/>
          <w:color w:val="000000"/>
          <w:szCs w:val="20"/>
        </w:rPr>
        <w:t xml:space="preserve">as a general rule, rectify or supplement the personal data provided. </w:t>
      </w:r>
      <w:r w:rsidR="009E0F53">
        <w:rPr>
          <w:rFonts w:ascii="Verdana" w:hAnsi="Verdana"/>
          <w:color w:val="000000"/>
          <w:szCs w:val="20"/>
        </w:rPr>
        <w:t>E</w:t>
      </w:r>
      <w:r w:rsidR="000C1724">
        <w:rPr>
          <w:rFonts w:ascii="Verdana" w:hAnsi="Verdana"/>
          <w:color w:val="000000"/>
          <w:szCs w:val="20"/>
        </w:rPr>
        <w:t xml:space="preserve">xercising </w:t>
      </w:r>
      <w:r>
        <w:rPr>
          <w:rFonts w:ascii="Verdana" w:hAnsi="Verdana"/>
          <w:color w:val="000000"/>
          <w:szCs w:val="20"/>
        </w:rPr>
        <w:t xml:space="preserve">the right to rectify or supplement </w:t>
      </w:r>
      <w:r w:rsidR="000C1724">
        <w:rPr>
          <w:rFonts w:ascii="Verdana" w:hAnsi="Verdana"/>
          <w:color w:val="000000"/>
          <w:szCs w:val="20"/>
        </w:rPr>
        <w:t xml:space="preserve">your personal </w:t>
      </w:r>
      <w:r>
        <w:rPr>
          <w:rFonts w:ascii="Verdana" w:hAnsi="Verdana"/>
          <w:color w:val="000000"/>
          <w:szCs w:val="20"/>
        </w:rPr>
        <w:t xml:space="preserve">data </w:t>
      </w:r>
      <w:r w:rsidR="009E0F53">
        <w:rPr>
          <w:rFonts w:ascii="Verdana" w:hAnsi="Verdana"/>
          <w:color w:val="000000"/>
          <w:szCs w:val="20"/>
        </w:rPr>
        <w:t>can</w:t>
      </w:r>
      <w:r>
        <w:rPr>
          <w:rFonts w:ascii="Verdana" w:hAnsi="Verdana"/>
          <w:color w:val="000000"/>
          <w:szCs w:val="20"/>
        </w:rPr>
        <w:t xml:space="preserve">not result in </w:t>
      </w:r>
      <w:r w:rsidR="000C1724">
        <w:rPr>
          <w:rFonts w:ascii="Verdana" w:hAnsi="Verdana"/>
          <w:color w:val="000000"/>
          <w:szCs w:val="20"/>
        </w:rPr>
        <w:t xml:space="preserve">a </w:t>
      </w:r>
      <w:r>
        <w:rPr>
          <w:rFonts w:ascii="Verdana" w:hAnsi="Verdana"/>
          <w:color w:val="000000"/>
          <w:szCs w:val="20"/>
        </w:rPr>
        <w:t>chang</w:t>
      </w:r>
      <w:r w:rsidR="000C1724">
        <w:rPr>
          <w:rFonts w:ascii="Verdana" w:hAnsi="Verdana"/>
          <w:color w:val="000000"/>
          <w:szCs w:val="20"/>
        </w:rPr>
        <w:t>e to</w:t>
      </w:r>
      <w:r>
        <w:rPr>
          <w:rFonts w:ascii="Verdana" w:hAnsi="Verdana"/>
          <w:color w:val="000000"/>
          <w:szCs w:val="20"/>
        </w:rPr>
        <w:t xml:space="preserve"> the result of the procurement procedure or in </w:t>
      </w:r>
      <w:r w:rsidR="000C1724">
        <w:rPr>
          <w:rFonts w:ascii="Verdana" w:hAnsi="Verdana"/>
          <w:color w:val="000000"/>
          <w:szCs w:val="20"/>
        </w:rPr>
        <w:t>a chang</w:t>
      </w:r>
      <w:r w:rsidR="009E0F53">
        <w:rPr>
          <w:rFonts w:ascii="Verdana" w:hAnsi="Verdana"/>
          <w:color w:val="000000"/>
          <w:szCs w:val="20"/>
        </w:rPr>
        <w:t>e</w:t>
      </w:r>
      <w:r w:rsidR="000C1724">
        <w:rPr>
          <w:rFonts w:ascii="Verdana" w:hAnsi="Verdana"/>
          <w:color w:val="000000"/>
          <w:szCs w:val="20"/>
        </w:rPr>
        <w:t xml:space="preserve"> to</w:t>
      </w:r>
      <w:r>
        <w:rPr>
          <w:rFonts w:ascii="Verdana" w:hAnsi="Verdana"/>
          <w:color w:val="000000"/>
          <w:szCs w:val="20"/>
        </w:rPr>
        <w:t xml:space="preserve"> the provisions of the public procurement contract to an extent incompatible with the PPL Act (Article 19(2));</w:t>
      </w:r>
    </w:p>
    <w:p w14:paraId="3B92B238" w14:textId="4C917715" w:rsidR="00257418" w:rsidRPr="00257418" w:rsidRDefault="00257418" w:rsidP="00DA10BD">
      <w:pPr>
        <w:numPr>
          <w:ilvl w:val="0"/>
          <w:numId w:val="13"/>
        </w:numPr>
        <w:spacing w:after="120" w:line="276" w:lineRule="auto"/>
        <w:ind w:left="1134" w:hanging="567"/>
        <w:rPr>
          <w:rFonts w:ascii="Verdana" w:eastAsia="Verdana" w:hAnsi="Verdana" w:cs="Times New Roman"/>
          <w:color w:val="000000"/>
          <w:szCs w:val="20"/>
        </w:rPr>
      </w:pPr>
      <w:r>
        <w:rPr>
          <w:rFonts w:ascii="Verdana" w:hAnsi="Verdana"/>
          <w:color w:val="000000"/>
          <w:szCs w:val="20"/>
        </w:rPr>
        <w:t xml:space="preserve">as a general rule, request restrictions on the processing of personal data. </w:t>
      </w:r>
      <w:r w:rsidR="009E0F53">
        <w:rPr>
          <w:rFonts w:ascii="Verdana" w:hAnsi="Verdana"/>
          <w:color w:val="000000"/>
          <w:szCs w:val="20"/>
        </w:rPr>
        <w:t>I</w:t>
      </w:r>
      <w:r>
        <w:rPr>
          <w:rFonts w:ascii="Verdana" w:hAnsi="Verdana"/>
          <w:color w:val="000000"/>
          <w:szCs w:val="20"/>
        </w:rPr>
        <w:t xml:space="preserve">n a procedure for the award of  </w:t>
      </w:r>
      <w:r w:rsidR="009E0F53">
        <w:rPr>
          <w:rFonts w:ascii="Verdana" w:hAnsi="Verdana"/>
          <w:color w:val="000000"/>
          <w:szCs w:val="20"/>
        </w:rPr>
        <w:t xml:space="preserve">a tendered </w:t>
      </w:r>
      <w:r>
        <w:rPr>
          <w:rFonts w:ascii="Verdana" w:hAnsi="Verdana"/>
          <w:color w:val="000000"/>
          <w:szCs w:val="20"/>
        </w:rPr>
        <w:t>contract, the submission of a restriction</w:t>
      </w:r>
      <w:r w:rsidR="005103B3">
        <w:rPr>
          <w:rFonts w:ascii="Verdana" w:hAnsi="Verdana"/>
          <w:color w:val="000000"/>
          <w:szCs w:val="20"/>
        </w:rPr>
        <w:t xml:space="preserve"> request</w:t>
      </w:r>
      <w:r>
        <w:rPr>
          <w:rFonts w:ascii="Verdana" w:hAnsi="Verdana"/>
          <w:color w:val="000000"/>
          <w:szCs w:val="20"/>
        </w:rPr>
        <w:t xml:space="preserve"> does not restrict processing of personal data until </w:t>
      </w:r>
      <w:r w:rsidR="009E0F53">
        <w:rPr>
          <w:rFonts w:ascii="Verdana" w:hAnsi="Verdana"/>
          <w:color w:val="000000"/>
          <w:szCs w:val="20"/>
        </w:rPr>
        <w:t xml:space="preserve">after </w:t>
      </w:r>
      <w:r>
        <w:rPr>
          <w:rFonts w:ascii="Verdana" w:hAnsi="Verdana"/>
          <w:color w:val="000000"/>
          <w:szCs w:val="20"/>
        </w:rPr>
        <w:t>the end of th</w:t>
      </w:r>
      <w:r w:rsidR="005103B3">
        <w:rPr>
          <w:rFonts w:ascii="Verdana" w:hAnsi="Verdana"/>
          <w:color w:val="000000"/>
          <w:szCs w:val="20"/>
        </w:rPr>
        <w:t>e procurement process</w:t>
      </w:r>
      <w:r>
        <w:rPr>
          <w:rFonts w:ascii="Verdana" w:hAnsi="Verdana"/>
          <w:color w:val="000000"/>
          <w:szCs w:val="20"/>
        </w:rPr>
        <w:t xml:space="preserve"> (Article 19(3) of the P</w:t>
      </w:r>
      <w:r w:rsidR="009E0F53">
        <w:rPr>
          <w:rFonts w:ascii="Verdana" w:hAnsi="Verdana"/>
          <w:color w:val="000000"/>
          <w:szCs w:val="20"/>
        </w:rPr>
        <w:t>PL</w:t>
      </w:r>
      <w:r>
        <w:rPr>
          <w:rFonts w:ascii="Verdana" w:hAnsi="Verdana"/>
          <w:color w:val="000000"/>
          <w:szCs w:val="20"/>
        </w:rPr>
        <w:t xml:space="preserve"> Act);</w:t>
      </w:r>
    </w:p>
    <w:p w14:paraId="05CBD408" w14:textId="52647104" w:rsidR="00257418" w:rsidRPr="00257418" w:rsidRDefault="00257418" w:rsidP="00DA10BD">
      <w:pPr>
        <w:numPr>
          <w:ilvl w:val="0"/>
          <w:numId w:val="13"/>
        </w:numPr>
        <w:spacing w:after="120" w:line="276" w:lineRule="auto"/>
        <w:ind w:left="1134" w:hanging="567"/>
        <w:rPr>
          <w:rFonts w:ascii="Verdana" w:eastAsia="Verdana" w:hAnsi="Verdana" w:cs="Times New Roman"/>
          <w:color w:val="000000"/>
          <w:szCs w:val="20"/>
        </w:rPr>
      </w:pPr>
      <w:r>
        <w:rPr>
          <w:rFonts w:ascii="Verdana" w:hAnsi="Verdana"/>
          <w:color w:val="000000"/>
          <w:szCs w:val="20"/>
        </w:rPr>
        <w:t>lodge a complaint to the President of the Office for Personal Data Protection against data processing by the Controller;</w:t>
      </w:r>
    </w:p>
    <w:p w14:paraId="7791E788" w14:textId="3C2D3DFB" w:rsidR="00257418" w:rsidRPr="00257418" w:rsidRDefault="00257418" w:rsidP="00DA10BD">
      <w:pPr>
        <w:numPr>
          <w:ilvl w:val="0"/>
          <w:numId w:val="13"/>
        </w:numPr>
        <w:spacing w:after="120" w:line="276" w:lineRule="auto"/>
        <w:ind w:left="1134" w:hanging="567"/>
        <w:rPr>
          <w:rFonts w:ascii="Verdana" w:eastAsia="Verdana" w:hAnsi="Verdana" w:cs="Times New Roman"/>
          <w:color w:val="000000"/>
          <w:szCs w:val="20"/>
        </w:rPr>
      </w:pPr>
      <w:r>
        <w:rPr>
          <w:rFonts w:ascii="Verdana" w:hAnsi="Verdana"/>
          <w:color w:val="000000"/>
          <w:szCs w:val="20"/>
        </w:rPr>
        <w:t>as a</w:t>
      </w:r>
      <w:r w:rsidR="005103B3">
        <w:rPr>
          <w:rFonts w:ascii="Verdana" w:hAnsi="Verdana"/>
          <w:color w:val="000000"/>
          <w:szCs w:val="20"/>
        </w:rPr>
        <w:t xml:space="preserve"> general</w:t>
      </w:r>
      <w:r>
        <w:rPr>
          <w:rFonts w:ascii="Verdana" w:hAnsi="Verdana"/>
          <w:color w:val="000000"/>
          <w:szCs w:val="20"/>
        </w:rPr>
        <w:t xml:space="preserve"> rule, to erase data (right to be forgotten). </w:t>
      </w:r>
      <w:r w:rsidR="009E0F53">
        <w:rPr>
          <w:rFonts w:ascii="Verdana" w:hAnsi="Verdana"/>
          <w:color w:val="000000"/>
          <w:szCs w:val="20"/>
        </w:rPr>
        <w:t>This right</w:t>
      </w:r>
      <w:r>
        <w:rPr>
          <w:rFonts w:ascii="Verdana" w:hAnsi="Verdana"/>
          <w:color w:val="000000"/>
          <w:szCs w:val="20"/>
        </w:rPr>
        <w:t xml:space="preserve"> to the extent </w:t>
      </w:r>
      <w:r w:rsidR="005103B3">
        <w:rPr>
          <w:rFonts w:ascii="Verdana" w:hAnsi="Verdana"/>
          <w:color w:val="000000"/>
          <w:szCs w:val="20"/>
        </w:rPr>
        <w:t xml:space="preserve">covered </w:t>
      </w:r>
      <w:r>
        <w:rPr>
          <w:rFonts w:ascii="Verdana" w:hAnsi="Verdana"/>
          <w:color w:val="000000"/>
          <w:szCs w:val="20"/>
        </w:rPr>
        <w:t xml:space="preserve">by Article 17(3)(b), (d) or (e) of the GDPR, does not apply as long as the basis for processing your data is Article 6(1)(c) of the GDPR (it is limited in that it is processing for legal purposes - the </w:t>
      </w:r>
      <w:r w:rsidR="00A50701">
        <w:rPr>
          <w:rFonts w:ascii="Verdana" w:hAnsi="Verdana"/>
          <w:color w:val="000000"/>
          <w:szCs w:val="20"/>
        </w:rPr>
        <w:t>Contracting Party</w:t>
      </w:r>
      <w:r>
        <w:rPr>
          <w:rFonts w:ascii="Verdana" w:hAnsi="Verdana"/>
          <w:color w:val="000000"/>
          <w:szCs w:val="20"/>
        </w:rPr>
        <w:t xml:space="preserve"> must process the data lawfully);</w:t>
      </w:r>
    </w:p>
    <w:p w14:paraId="336C4830" w14:textId="1420D92C" w:rsidR="00257418" w:rsidRPr="00257418" w:rsidRDefault="00257418" w:rsidP="00DA10BD">
      <w:pPr>
        <w:numPr>
          <w:ilvl w:val="0"/>
          <w:numId w:val="13"/>
        </w:numPr>
        <w:spacing w:after="120" w:line="276" w:lineRule="auto"/>
        <w:ind w:left="1134" w:hanging="567"/>
        <w:rPr>
          <w:rFonts w:ascii="Verdana" w:eastAsia="Verdana" w:hAnsi="Verdana" w:cs="Times New Roman"/>
          <w:color w:val="000000"/>
          <w:szCs w:val="20"/>
        </w:rPr>
      </w:pPr>
      <w:r>
        <w:rPr>
          <w:rFonts w:ascii="Verdana" w:hAnsi="Verdana"/>
          <w:color w:val="000000"/>
          <w:szCs w:val="20"/>
        </w:rPr>
        <w:t xml:space="preserve">as a </w:t>
      </w:r>
      <w:r w:rsidR="005103B3">
        <w:rPr>
          <w:rFonts w:ascii="Verdana" w:hAnsi="Verdana"/>
          <w:color w:val="000000"/>
          <w:szCs w:val="20"/>
        </w:rPr>
        <w:t xml:space="preserve">general </w:t>
      </w:r>
      <w:r>
        <w:rPr>
          <w:rFonts w:ascii="Verdana" w:hAnsi="Verdana"/>
          <w:color w:val="000000"/>
          <w:szCs w:val="20"/>
        </w:rPr>
        <w:t xml:space="preserve">rule, the portability of </w:t>
      </w:r>
      <w:r w:rsidR="005103B3">
        <w:rPr>
          <w:rFonts w:ascii="Verdana" w:hAnsi="Verdana"/>
          <w:color w:val="000000"/>
          <w:szCs w:val="20"/>
        </w:rPr>
        <w:t xml:space="preserve">your </w:t>
      </w:r>
      <w:r>
        <w:rPr>
          <w:rFonts w:ascii="Verdana" w:hAnsi="Verdana"/>
          <w:color w:val="000000"/>
          <w:szCs w:val="20"/>
        </w:rPr>
        <w:t xml:space="preserve">personal data. </w:t>
      </w:r>
      <w:r w:rsidR="009E0F53">
        <w:rPr>
          <w:rFonts w:ascii="Verdana" w:hAnsi="Verdana"/>
          <w:color w:val="000000"/>
          <w:szCs w:val="20"/>
        </w:rPr>
        <w:t>T</w:t>
      </w:r>
      <w:r>
        <w:rPr>
          <w:rFonts w:ascii="Verdana" w:hAnsi="Verdana"/>
          <w:color w:val="000000"/>
          <w:szCs w:val="20"/>
        </w:rPr>
        <w:t>his right does not apply to processing necessary for the performance of a task carried out in the public interest and</w:t>
      </w:r>
      <w:r w:rsidR="00DA10BD">
        <w:rPr>
          <w:rFonts w:ascii="Verdana" w:hAnsi="Verdana"/>
          <w:color w:val="000000"/>
          <w:szCs w:val="20"/>
        </w:rPr>
        <w:t xml:space="preserve"> has a limitation in </w:t>
      </w:r>
      <w:r>
        <w:rPr>
          <w:rFonts w:ascii="Verdana" w:hAnsi="Verdana"/>
          <w:color w:val="000000"/>
          <w:szCs w:val="20"/>
        </w:rPr>
        <w:t xml:space="preserve"> this procedure (Article 20(3) of the GDPR);</w:t>
      </w:r>
    </w:p>
    <w:p w14:paraId="5C1A35F9" w14:textId="77F268E5" w:rsidR="00257418" w:rsidRPr="00257418" w:rsidRDefault="00257418" w:rsidP="00DA10BD">
      <w:pPr>
        <w:numPr>
          <w:ilvl w:val="0"/>
          <w:numId w:val="13"/>
        </w:numPr>
        <w:spacing w:after="120" w:line="276" w:lineRule="auto"/>
        <w:ind w:left="1134" w:hanging="567"/>
        <w:rPr>
          <w:rFonts w:ascii="Verdana" w:eastAsia="Verdana" w:hAnsi="Verdana" w:cs="Times New Roman"/>
          <w:color w:val="000000"/>
          <w:szCs w:val="20"/>
        </w:rPr>
      </w:pPr>
      <w:r>
        <w:rPr>
          <w:rFonts w:ascii="Verdana" w:hAnsi="Verdana"/>
          <w:color w:val="000000"/>
          <w:szCs w:val="20"/>
        </w:rPr>
        <w:t xml:space="preserve">as a </w:t>
      </w:r>
      <w:r w:rsidR="005103B3">
        <w:rPr>
          <w:rFonts w:ascii="Verdana" w:hAnsi="Verdana"/>
          <w:color w:val="000000"/>
          <w:szCs w:val="20"/>
        </w:rPr>
        <w:t xml:space="preserve">general </w:t>
      </w:r>
      <w:r>
        <w:rPr>
          <w:rFonts w:ascii="Verdana" w:hAnsi="Verdana"/>
          <w:color w:val="000000"/>
          <w:szCs w:val="20"/>
        </w:rPr>
        <w:t xml:space="preserve">rule, object to the processing of </w:t>
      </w:r>
      <w:r w:rsidR="005103B3">
        <w:rPr>
          <w:rFonts w:ascii="Verdana" w:hAnsi="Verdana"/>
          <w:color w:val="000000"/>
          <w:szCs w:val="20"/>
        </w:rPr>
        <w:t xml:space="preserve">your </w:t>
      </w:r>
      <w:r>
        <w:rPr>
          <w:rFonts w:ascii="Verdana" w:hAnsi="Verdana"/>
          <w:color w:val="000000"/>
          <w:szCs w:val="20"/>
        </w:rPr>
        <w:t xml:space="preserve">personal data. </w:t>
      </w:r>
      <w:r w:rsidR="009E0F53">
        <w:rPr>
          <w:rFonts w:ascii="Verdana" w:hAnsi="Verdana"/>
          <w:color w:val="000000"/>
          <w:szCs w:val="20"/>
        </w:rPr>
        <w:t>A</w:t>
      </w:r>
      <w:r>
        <w:rPr>
          <w:rFonts w:ascii="Verdana" w:hAnsi="Verdana"/>
          <w:color w:val="000000"/>
          <w:szCs w:val="20"/>
        </w:rPr>
        <w:t xml:space="preserve">s long as the basis for processing of your </w:t>
      </w:r>
      <w:r w:rsidR="005103B3">
        <w:rPr>
          <w:rFonts w:ascii="Verdana" w:hAnsi="Verdana"/>
          <w:color w:val="000000"/>
          <w:szCs w:val="20"/>
        </w:rPr>
        <w:t xml:space="preserve">personal </w:t>
      </w:r>
      <w:r>
        <w:rPr>
          <w:rFonts w:ascii="Verdana" w:hAnsi="Verdana"/>
          <w:color w:val="000000"/>
          <w:szCs w:val="20"/>
        </w:rPr>
        <w:t xml:space="preserve">data is Article 6 (1) (c) (or alternatively: (b)) of the GDPR, </w:t>
      </w:r>
      <w:r w:rsidR="00F01C4A">
        <w:rPr>
          <w:rFonts w:ascii="Verdana" w:hAnsi="Verdana"/>
          <w:color w:val="000000"/>
          <w:szCs w:val="20"/>
        </w:rPr>
        <w:t>this objection is not valid</w:t>
      </w:r>
      <w:r>
        <w:rPr>
          <w:rFonts w:ascii="Verdana" w:hAnsi="Verdana"/>
          <w:color w:val="000000"/>
          <w:szCs w:val="20"/>
        </w:rPr>
        <w:t xml:space="preserve"> (Article 21 (1) of the GDPR);</w:t>
      </w:r>
    </w:p>
    <w:p w14:paraId="749577CE" w14:textId="68CC318E" w:rsidR="00257418" w:rsidRPr="00257418" w:rsidRDefault="00257418" w:rsidP="00DA10BD">
      <w:pPr>
        <w:numPr>
          <w:ilvl w:val="0"/>
          <w:numId w:val="13"/>
        </w:numPr>
        <w:spacing w:after="120" w:line="276" w:lineRule="auto"/>
        <w:ind w:left="1134" w:hanging="567"/>
        <w:rPr>
          <w:rFonts w:ascii="Verdana" w:eastAsia="Verdana" w:hAnsi="Verdana" w:cs="Times New Roman"/>
          <w:color w:val="000000"/>
          <w:szCs w:val="20"/>
        </w:rPr>
      </w:pPr>
      <w:r>
        <w:rPr>
          <w:rFonts w:ascii="Verdana" w:hAnsi="Verdana"/>
          <w:color w:val="000000"/>
          <w:szCs w:val="20"/>
        </w:rPr>
        <w:t xml:space="preserve">revoke your freely given consent to processing at any time – where processing is based on consent. The withdrawal of consent does not affect processing </w:t>
      </w:r>
      <w:r w:rsidR="003010F8">
        <w:rPr>
          <w:rFonts w:ascii="Verdana" w:hAnsi="Verdana"/>
          <w:color w:val="000000"/>
          <w:szCs w:val="20"/>
        </w:rPr>
        <w:t xml:space="preserve">which had taken place prior to the </w:t>
      </w:r>
      <w:r>
        <w:rPr>
          <w:rFonts w:ascii="Verdana" w:hAnsi="Verdana"/>
          <w:color w:val="000000"/>
          <w:szCs w:val="20"/>
        </w:rPr>
        <w:t xml:space="preserve">withdrawal. As a general rule, your data will not be processed on the basis of consent in this </w:t>
      </w:r>
      <w:r w:rsidR="00F01C4A">
        <w:rPr>
          <w:rFonts w:ascii="Verdana" w:hAnsi="Verdana"/>
          <w:color w:val="000000"/>
          <w:szCs w:val="20"/>
        </w:rPr>
        <w:t xml:space="preserve">tender selection </w:t>
      </w:r>
      <w:r>
        <w:rPr>
          <w:rFonts w:ascii="Verdana" w:hAnsi="Verdana"/>
          <w:color w:val="000000"/>
          <w:szCs w:val="20"/>
        </w:rPr>
        <w:t>procedure, so this right does not apply.</w:t>
      </w:r>
    </w:p>
    <w:p w14:paraId="25221EB0" w14:textId="1F8E346A" w:rsidR="00257418" w:rsidRPr="00257418" w:rsidRDefault="00257418" w:rsidP="00E7195A">
      <w:pPr>
        <w:spacing w:after="120" w:line="276" w:lineRule="auto"/>
        <w:ind w:left="567"/>
        <w:rPr>
          <w:rFonts w:ascii="Verdana" w:eastAsia="Verdana" w:hAnsi="Verdana" w:cs="Times New Roman"/>
          <w:color w:val="000000"/>
          <w:spacing w:val="0"/>
          <w:szCs w:val="20"/>
        </w:rPr>
      </w:pPr>
      <w:r>
        <w:rPr>
          <w:rFonts w:ascii="Verdana" w:hAnsi="Verdana"/>
          <w:color w:val="000000"/>
          <w:szCs w:val="20"/>
        </w:rPr>
        <w:t xml:space="preserve">We would like to point out that the provisions of law and the nature of the procedures conducted on the basis of the provisions of the Public Procurement Law Act may result, in specific cases, in further limitations </w:t>
      </w:r>
      <w:r>
        <w:rPr>
          <w:rFonts w:ascii="Verdana" w:hAnsi="Verdana"/>
          <w:color w:val="000000"/>
          <w:szCs w:val="20"/>
        </w:rPr>
        <w:lastRenderedPageBreak/>
        <w:t xml:space="preserve">to your rights. If you have any doubts, please contact the </w:t>
      </w:r>
      <w:r w:rsidR="00A50701">
        <w:rPr>
          <w:rFonts w:ascii="Verdana" w:hAnsi="Verdana"/>
          <w:color w:val="000000"/>
          <w:szCs w:val="20"/>
        </w:rPr>
        <w:t>Contracting Party</w:t>
      </w:r>
      <w:r>
        <w:rPr>
          <w:rFonts w:ascii="Verdana" w:hAnsi="Verdana"/>
          <w:color w:val="000000"/>
          <w:szCs w:val="20"/>
        </w:rPr>
        <w:t>'s Data Protection Officer.</w:t>
      </w:r>
    </w:p>
    <w:p w14:paraId="3281D7B0" w14:textId="197440ED" w:rsidR="006E664B" w:rsidRPr="00257418" w:rsidRDefault="006E664B" w:rsidP="00257418"/>
    <w:sectPr w:rsidR="006E664B" w:rsidRPr="00257418" w:rsidSect="003816AB">
      <w:pgSz w:w="11906" w:h="16838" w:code="9"/>
      <w:pgMar w:top="2325"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F137" w14:textId="77777777" w:rsidR="00A87C5A" w:rsidRDefault="00A87C5A" w:rsidP="006747BD">
      <w:pPr>
        <w:spacing w:after="0" w:line="240" w:lineRule="auto"/>
      </w:pPr>
      <w:r>
        <w:separator/>
      </w:r>
    </w:p>
  </w:endnote>
  <w:endnote w:type="continuationSeparator" w:id="0">
    <w:p w14:paraId="09989457" w14:textId="77777777" w:rsidR="00A87C5A" w:rsidRDefault="00A87C5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20CB" w14:textId="77777777" w:rsidR="00793054" w:rsidRDefault="007930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053797B" w14:textId="3DE7BC84" w:rsidR="00BD4F7C" w:rsidRDefault="00BD4F7C">
            <w:pPr>
              <w:pStyle w:val="Stopka"/>
            </w:pPr>
          </w:p>
          <w:tbl>
            <w:tblPr>
              <w:tblStyle w:val="Tabela-Siatka1"/>
              <w:tblW w:w="83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4"/>
              <w:gridCol w:w="5848"/>
            </w:tblGrid>
            <w:tr w:rsidR="00E63207" w:rsidRPr="00272AD2" w14:paraId="7ACE84A2" w14:textId="77777777" w:rsidTr="00D131A1">
              <w:trPr>
                <w:trHeight w:val="543"/>
              </w:trPr>
              <w:tc>
                <w:tcPr>
                  <w:tcW w:w="2454" w:type="dxa"/>
                  <w:tcBorders>
                    <w:right w:val="single" w:sz="12" w:space="0" w:color="F6F5EF"/>
                  </w:tcBorders>
                </w:tcPr>
                <w:p w14:paraId="354DBDDA" w14:textId="77777777" w:rsidR="00E63207" w:rsidRPr="009C3161" w:rsidRDefault="00E63207" w:rsidP="00E63207">
                  <w:pPr>
                    <w:tabs>
                      <w:tab w:val="center" w:pos="4536"/>
                      <w:tab w:val="right" w:pos="9072"/>
                    </w:tabs>
                    <w:spacing w:after="0" w:line="240" w:lineRule="auto"/>
                    <w:ind w:left="-247" w:firstLine="247"/>
                    <w:jc w:val="left"/>
                    <w:rPr>
                      <w:rFonts w:ascii="Calibri" w:eastAsia="Calibri" w:hAnsi="Calibri" w:cs="Times New Roman"/>
                      <w:color w:val="auto"/>
                      <w:spacing w:val="0"/>
                      <w:sz w:val="24"/>
                      <w:szCs w:val="24"/>
                    </w:rPr>
                  </w:pPr>
                  <w:bookmarkStart w:id="3" w:name="_Hlk135896211"/>
                  <w:r w:rsidRPr="009C3161">
                    <w:rPr>
                      <w:rFonts w:ascii="Calibri" w:eastAsia="Calibri" w:hAnsi="Calibri" w:cs="Times New Roman"/>
                      <w:noProof/>
                      <w:color w:val="auto"/>
                      <w:spacing w:val="0"/>
                      <w:sz w:val="24"/>
                      <w:szCs w:val="24"/>
                    </w:rPr>
                    <w:drawing>
                      <wp:anchor distT="0" distB="0" distL="114300" distR="114300" simplePos="0" relativeHeight="251679744" behindDoc="0" locked="0" layoutInCell="1" allowOverlap="1" wp14:anchorId="5FC32D1E" wp14:editId="5DA6C8D0">
                        <wp:simplePos x="0" y="0"/>
                        <wp:positionH relativeFrom="column">
                          <wp:posOffset>-73025</wp:posOffset>
                        </wp:positionH>
                        <wp:positionV relativeFrom="paragraph">
                          <wp:posOffset>-46355</wp:posOffset>
                        </wp:positionV>
                        <wp:extent cx="1436827" cy="450850"/>
                        <wp:effectExtent l="0" t="0" r="0" b="6350"/>
                        <wp:wrapNone/>
                        <wp:docPr id="3" name="Obraz 3"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36827" cy="450850"/>
                                </a:xfrm>
                                <a:prstGeom prst="rect">
                                  <a:avLst/>
                                </a:prstGeom>
                              </pic:spPr>
                            </pic:pic>
                          </a:graphicData>
                        </a:graphic>
                      </wp:anchor>
                    </w:drawing>
                  </w:r>
                </w:p>
              </w:tc>
              <w:tc>
                <w:tcPr>
                  <w:tcW w:w="5848" w:type="dxa"/>
                  <w:tcBorders>
                    <w:top w:val="nil"/>
                    <w:left w:val="single" w:sz="12" w:space="0" w:color="F6F5EF"/>
                    <w:bottom w:val="nil"/>
                  </w:tcBorders>
                  <w:vAlign w:val="center"/>
                </w:tcPr>
                <w:p w14:paraId="0279195C" w14:textId="77777777" w:rsidR="00E63207" w:rsidRPr="00E63207" w:rsidRDefault="00E63207" w:rsidP="00E63207">
                  <w:pPr>
                    <w:tabs>
                      <w:tab w:val="center" w:pos="4536"/>
                      <w:tab w:val="right" w:pos="9072"/>
                    </w:tabs>
                    <w:spacing w:after="0" w:line="240" w:lineRule="auto"/>
                    <w:jc w:val="left"/>
                    <w:rPr>
                      <w:rFonts w:ascii="Calibri" w:eastAsia="Calibri" w:hAnsi="Calibri" w:cs="Times New Roman"/>
                      <w:b/>
                      <w:bCs/>
                      <w:color w:val="auto"/>
                      <w:spacing w:val="0"/>
                      <w:sz w:val="12"/>
                      <w:szCs w:val="12"/>
                      <w:lang w:val="pl-PL"/>
                    </w:rPr>
                  </w:pPr>
                  <w:r w:rsidRPr="00E63207">
                    <w:rPr>
                      <w:rFonts w:ascii="Calibri" w:eastAsia="Calibri" w:hAnsi="Calibri" w:cs="Times New Roman"/>
                      <w:bCs/>
                      <w:color w:val="auto"/>
                      <w:spacing w:val="0"/>
                      <w:sz w:val="12"/>
                      <w:szCs w:val="12"/>
                      <w:lang w:val="pl-PL"/>
                    </w:rPr>
                    <w:t>Projekt pn. „Wysokowydajne tranzystory AlGaN/GaN-HEMT wykonywane hybrydową technologią MBE-MOVPE" dofinansowano ze środków budżetu państwa, dotacja celowa przyznawana instytutom działającym w ramach Sieci Badawczej Łukasiewicz na podstawie umowy nr 2/Ł-PORT/CŁ/2021</w:t>
                  </w:r>
                </w:p>
              </w:tc>
            </w:tr>
            <w:bookmarkEnd w:id="3"/>
          </w:tbl>
          <w:p w14:paraId="718BE0AE" w14:textId="20DDFA6B" w:rsidR="002C5CFA" w:rsidRPr="00E63207" w:rsidRDefault="002C5CFA">
            <w:pPr>
              <w:pStyle w:val="Stopka"/>
              <w:rPr>
                <w:lang w:val="pl-PL"/>
              </w:rPr>
            </w:pPr>
          </w:p>
          <w:p w14:paraId="1E375BBD" w14:textId="77777777" w:rsidR="00D40690" w:rsidRDefault="00D40690">
            <w:pPr>
              <w:pStyle w:val="Stopka"/>
            </w:pPr>
            <w:r>
              <w:t xml:space="preserve">Page </w:t>
            </w:r>
            <w:r>
              <w:rPr>
                <w:b w:val="0"/>
                <w:bCs/>
                <w:sz w:val="24"/>
                <w:szCs w:val="24"/>
              </w:rPr>
              <w:fldChar w:fldCharType="begin"/>
            </w:r>
            <w:r>
              <w:rPr>
                <w:bCs/>
              </w:rPr>
              <w:instrText>PAGE</w:instrText>
            </w:r>
            <w:r>
              <w:rPr>
                <w:b w:val="0"/>
                <w:bCs/>
                <w:sz w:val="24"/>
                <w:szCs w:val="24"/>
              </w:rPr>
              <w:fldChar w:fldCharType="separate"/>
            </w:r>
            <w:r w:rsidR="00257418">
              <w:rPr>
                <w:bCs/>
              </w:rPr>
              <w:t>5</w:t>
            </w:r>
            <w:r>
              <w:rPr>
                <w:b w:val="0"/>
                <w:bCs/>
                <w:sz w:val="24"/>
                <w:szCs w:val="24"/>
              </w:rPr>
              <w:fldChar w:fldCharType="end"/>
            </w:r>
            <w:r>
              <w:t xml:space="preserve"> of </w:t>
            </w:r>
            <w:r>
              <w:rPr>
                <w:b w:val="0"/>
                <w:bCs/>
                <w:sz w:val="24"/>
                <w:szCs w:val="24"/>
              </w:rPr>
              <w:fldChar w:fldCharType="begin"/>
            </w:r>
            <w:r>
              <w:rPr>
                <w:bCs/>
              </w:rPr>
              <w:instrText>NUMPAGES</w:instrText>
            </w:r>
            <w:r>
              <w:rPr>
                <w:b w:val="0"/>
                <w:bCs/>
                <w:sz w:val="24"/>
                <w:szCs w:val="24"/>
              </w:rPr>
              <w:fldChar w:fldCharType="separate"/>
            </w:r>
            <w:r w:rsidR="00257418">
              <w:rPr>
                <w:bCs/>
              </w:rPr>
              <w:t>5</w:t>
            </w:r>
            <w:r>
              <w:rPr>
                <w:b w:val="0"/>
                <w:bCs/>
                <w:sz w:val="24"/>
                <w:szCs w:val="24"/>
              </w:rPr>
              <w:fldChar w:fldCharType="end"/>
            </w:r>
          </w:p>
        </w:sdtContent>
      </w:sdt>
    </w:sdtContent>
  </w:sdt>
  <w:p w14:paraId="4CC7241F" w14:textId="77777777" w:rsidR="00D40690" w:rsidRDefault="00DA52A1">
    <w:pPr>
      <w:pStyle w:val="Stopka"/>
    </w:pPr>
    <w:r>
      <w:rPr>
        <w:noProof/>
      </w:rPr>
      <w:drawing>
        <wp:anchor distT="0" distB="0" distL="114300" distR="114300" simplePos="0" relativeHeight="251671552" behindDoc="1" locked="1" layoutInCell="1" allowOverlap="1" wp14:anchorId="65E03BF7" wp14:editId="66696897">
          <wp:simplePos x="0" y="0"/>
          <wp:positionH relativeFrom="column">
            <wp:posOffset>4589780</wp:posOffset>
          </wp:positionH>
          <wp:positionV relativeFrom="page">
            <wp:posOffset>9825990</wp:posOffset>
          </wp:positionV>
          <wp:extent cx="1231200" cy="849600"/>
          <wp:effectExtent l="0" t="0" r="0" b="0"/>
          <wp:wrapNone/>
          <wp:docPr id="157104832" name="Obraz 15710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1" locked="1" layoutInCell="1" allowOverlap="1" wp14:anchorId="74DE5E57" wp14:editId="11D6289E">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FE0F65C" w14:textId="77777777" w:rsidR="00A4666C" w:rsidRDefault="00A4666C" w:rsidP="00A4666C">
                          <w:pPr>
                            <w:pStyle w:val="LukStopka-adres"/>
                          </w:pPr>
                          <w:r>
                            <w:t>Łukasiewicz Research Network – PORT Polish Centre for Technology Development</w:t>
                          </w:r>
                        </w:p>
                        <w:p w14:paraId="545813C4" w14:textId="77777777" w:rsidR="00A4666C" w:rsidRPr="00DC403E" w:rsidRDefault="00A4666C" w:rsidP="00A4666C">
                          <w:pPr>
                            <w:pStyle w:val="LukStopka-adres"/>
                            <w:rPr>
                              <w:lang w:val="pl-PL"/>
                            </w:rPr>
                          </w:pPr>
                          <w:r w:rsidRPr="00DC403E">
                            <w:rPr>
                              <w:lang w:val="pl-PL"/>
                            </w:rPr>
                            <w:t>54-066 Wrocław, ul. Stabłowicka 147, Tel: +48 71 734 77 77, Fax: +48 71 720 16 00</w:t>
                          </w:r>
                        </w:p>
                        <w:p w14:paraId="51FB3911" w14:textId="1016A779" w:rsidR="00A4666C" w:rsidRPr="00EC3BEB" w:rsidRDefault="00A4666C" w:rsidP="00A4666C">
                          <w:pPr>
                            <w:pStyle w:val="LukStopka-adres"/>
                          </w:pPr>
                          <w:r>
                            <w:t>E-mail: biuro@port.lukasiewicz.gov.pl | Taxpayer Identification No. (NIP): 894 314 05 23, National Business Registry No. (REGON): 386585168</w:t>
                          </w:r>
                        </w:p>
                        <w:p w14:paraId="2DC92C79" w14:textId="77777777" w:rsidR="00ED7972" w:rsidRDefault="00ED7972" w:rsidP="00ED7972">
                          <w:pPr>
                            <w:pStyle w:val="LukStopka-adres"/>
                          </w:pPr>
                          <w:r>
                            <w:t xml:space="preserve">District Court for Wrocław - Fabryczna in Wrocław, VI Commercial Division of the National Court Register, </w:t>
                          </w:r>
                        </w:p>
                        <w:p w14:paraId="19BBFBFF" w14:textId="5D674115" w:rsidR="00DA52A1" w:rsidRPr="00ED7972" w:rsidRDefault="00ED7972" w:rsidP="006F645A">
                          <w:pPr>
                            <w:pStyle w:val="LukStopka-adres"/>
                          </w:pPr>
                          <w:r>
                            <w:t>National Court Register No.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4DE5E5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5FE0F65C" w14:textId="77777777" w:rsidR="00A4666C" w:rsidRDefault="00A4666C" w:rsidP="00A4666C">
                    <w:pPr>
                      <w:pStyle w:val="LukStopka-adres"/>
                    </w:pPr>
                    <w:r>
                      <w:t>Łukasiewicz Research Network – PORT Polish Centre for Technology Development</w:t>
                    </w:r>
                  </w:p>
                  <w:p w14:paraId="545813C4" w14:textId="77777777" w:rsidR="00A4666C" w:rsidRPr="00DC403E" w:rsidRDefault="00A4666C" w:rsidP="00A4666C">
                    <w:pPr>
                      <w:pStyle w:val="LukStopka-adres"/>
                      <w:rPr>
                        <w:lang w:val="pl-PL"/>
                      </w:rPr>
                    </w:pPr>
                    <w:r w:rsidRPr="00DC403E">
                      <w:rPr>
                        <w:lang w:val="pl-PL"/>
                      </w:rPr>
                      <w:t>54-066 Wrocław, ul. Stabłowicka 147, Tel: +48 71 734 77 77, Fax: +48 71 720 16 00</w:t>
                    </w:r>
                  </w:p>
                  <w:p w14:paraId="51FB3911" w14:textId="1016A779" w:rsidR="00A4666C" w:rsidRPr="00EC3BEB" w:rsidRDefault="00A4666C" w:rsidP="00A4666C">
                    <w:pPr>
                      <w:pStyle w:val="LukStopka-adres"/>
                    </w:pPr>
                    <w:r>
                      <w:t>E-mail: biuro@port.lukasiewicz.gov.pl | Taxpayer Identification No. (NIP): 894 314 05 23, National Business Registry No. (REGON): 386585168</w:t>
                    </w:r>
                  </w:p>
                  <w:p w14:paraId="2DC92C79" w14:textId="77777777" w:rsidR="00ED7972" w:rsidRDefault="00ED7972" w:rsidP="00ED7972">
                    <w:pPr>
                      <w:pStyle w:val="LukStopka-adres"/>
                    </w:pPr>
                    <w:r>
                      <w:t xml:space="preserve">District Court for Wrocław - Fabryczna in Wrocław, VI Commercial Division of the National Court Register, </w:t>
                    </w:r>
                  </w:p>
                  <w:p w14:paraId="19BBFBFF" w14:textId="5D674115" w:rsidR="00DA52A1" w:rsidRPr="00ED7972" w:rsidRDefault="00ED7972" w:rsidP="006F645A">
                    <w:pPr>
                      <w:pStyle w:val="LukStopka-adres"/>
                    </w:pPr>
                    <w:r>
                      <w:t>National Court Register No. (KRS): 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67D" w14:textId="77777777" w:rsidR="003F4BA3" w:rsidRPr="00D06D36" w:rsidRDefault="003317CA" w:rsidP="003317CA">
    <w:pPr>
      <w:pStyle w:val="LukStopka-adres"/>
      <w:rPr>
        <w:spacing w:val="2"/>
      </w:rPr>
    </w:pPr>
    <w: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C3C9" w14:textId="77777777" w:rsidR="00A87C5A" w:rsidRDefault="00A87C5A" w:rsidP="006747BD">
      <w:pPr>
        <w:spacing w:after="0" w:line="240" w:lineRule="auto"/>
      </w:pPr>
      <w:r>
        <w:separator/>
      </w:r>
    </w:p>
  </w:footnote>
  <w:footnote w:type="continuationSeparator" w:id="0">
    <w:p w14:paraId="00479622" w14:textId="77777777" w:rsidR="00A87C5A" w:rsidRDefault="00A87C5A"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B6AF" w14:textId="77777777" w:rsidR="00793054" w:rsidRDefault="007930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53F6" w14:textId="77777777" w:rsidR="002C5CFA" w:rsidRDefault="0099379C">
    <w:pPr>
      <w:pStyle w:val="Nagwek"/>
    </w:pPr>
    <w:r>
      <w:rPr>
        <w:noProof/>
      </w:rPr>
      <w:drawing>
        <wp:anchor distT="0" distB="0" distL="114300" distR="114300" simplePos="0" relativeHeight="251677696" behindDoc="1" locked="1" layoutInCell="1" allowOverlap="1" wp14:anchorId="75DE7FB2" wp14:editId="73D5BE8E">
          <wp:simplePos x="0" y="0"/>
          <wp:positionH relativeFrom="column">
            <wp:posOffset>-1080135</wp:posOffset>
          </wp:positionH>
          <wp:positionV relativeFrom="page">
            <wp:posOffset>532765</wp:posOffset>
          </wp:positionV>
          <wp:extent cx="792000" cy="1609200"/>
          <wp:effectExtent l="0" t="0" r="8255" b="0"/>
          <wp:wrapNone/>
          <wp:docPr id="2142186147" name="Obraz 214218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F348" w14:textId="77777777" w:rsidR="00793054" w:rsidRDefault="007930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17758220">
    <w:abstractNumId w:val="9"/>
  </w:num>
  <w:num w:numId="2" w16cid:durableId="738750276">
    <w:abstractNumId w:val="8"/>
  </w:num>
  <w:num w:numId="3" w16cid:durableId="47995777">
    <w:abstractNumId w:val="3"/>
  </w:num>
  <w:num w:numId="4" w16cid:durableId="108473232">
    <w:abstractNumId w:val="2"/>
  </w:num>
  <w:num w:numId="5" w16cid:durableId="1847549851">
    <w:abstractNumId w:val="1"/>
  </w:num>
  <w:num w:numId="6" w16cid:durableId="1685009566">
    <w:abstractNumId w:val="0"/>
  </w:num>
  <w:num w:numId="7" w16cid:durableId="58748790">
    <w:abstractNumId w:val="7"/>
  </w:num>
  <w:num w:numId="8" w16cid:durableId="358163996">
    <w:abstractNumId w:val="6"/>
  </w:num>
  <w:num w:numId="9" w16cid:durableId="569190761">
    <w:abstractNumId w:val="5"/>
  </w:num>
  <w:num w:numId="10" w16cid:durableId="1263223860">
    <w:abstractNumId w:val="4"/>
  </w:num>
  <w:num w:numId="11" w16cid:durableId="1697390801">
    <w:abstractNumId w:val="11"/>
  </w:num>
  <w:num w:numId="12" w16cid:durableId="1292126529">
    <w:abstractNumId w:val="12"/>
  </w:num>
  <w:num w:numId="13" w16cid:durableId="1495026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41B3A"/>
    <w:rsid w:val="000436EC"/>
    <w:rsid w:val="00057885"/>
    <w:rsid w:val="00062F17"/>
    <w:rsid w:val="00070438"/>
    <w:rsid w:val="00077647"/>
    <w:rsid w:val="00082E1F"/>
    <w:rsid w:val="000A40F8"/>
    <w:rsid w:val="000C1724"/>
    <w:rsid w:val="000D2F0F"/>
    <w:rsid w:val="00100D43"/>
    <w:rsid w:val="00134929"/>
    <w:rsid w:val="00143ED6"/>
    <w:rsid w:val="00173C70"/>
    <w:rsid w:val="001A0BD2"/>
    <w:rsid w:val="00214FF7"/>
    <w:rsid w:val="00231524"/>
    <w:rsid w:val="00257418"/>
    <w:rsid w:val="00272AD2"/>
    <w:rsid w:val="00280EF8"/>
    <w:rsid w:val="002A7E74"/>
    <w:rsid w:val="002B40A4"/>
    <w:rsid w:val="002B53AC"/>
    <w:rsid w:val="002C5CFA"/>
    <w:rsid w:val="002D48BE"/>
    <w:rsid w:val="002D6D6E"/>
    <w:rsid w:val="002E32E3"/>
    <w:rsid w:val="002F4540"/>
    <w:rsid w:val="003010F8"/>
    <w:rsid w:val="003123AC"/>
    <w:rsid w:val="00330821"/>
    <w:rsid w:val="003317CA"/>
    <w:rsid w:val="00335F9F"/>
    <w:rsid w:val="00346C00"/>
    <w:rsid w:val="00354A18"/>
    <w:rsid w:val="003816AB"/>
    <w:rsid w:val="00382B5E"/>
    <w:rsid w:val="003834C3"/>
    <w:rsid w:val="003E4372"/>
    <w:rsid w:val="003F3154"/>
    <w:rsid w:val="003F4BA3"/>
    <w:rsid w:val="00403B99"/>
    <w:rsid w:val="004358C1"/>
    <w:rsid w:val="00497D97"/>
    <w:rsid w:val="004D6405"/>
    <w:rsid w:val="004E0997"/>
    <w:rsid w:val="004E4A46"/>
    <w:rsid w:val="004F5805"/>
    <w:rsid w:val="005103B3"/>
    <w:rsid w:val="00526CDD"/>
    <w:rsid w:val="005B4401"/>
    <w:rsid w:val="005C32BD"/>
    <w:rsid w:val="005D102F"/>
    <w:rsid w:val="005D1495"/>
    <w:rsid w:val="005E65BB"/>
    <w:rsid w:val="005F299A"/>
    <w:rsid w:val="006213EB"/>
    <w:rsid w:val="00664A6D"/>
    <w:rsid w:val="006747BD"/>
    <w:rsid w:val="006919BD"/>
    <w:rsid w:val="006A6F97"/>
    <w:rsid w:val="006D6DE5"/>
    <w:rsid w:val="006E5990"/>
    <w:rsid w:val="006E664B"/>
    <w:rsid w:val="006F645A"/>
    <w:rsid w:val="0075322F"/>
    <w:rsid w:val="00764305"/>
    <w:rsid w:val="00791C1D"/>
    <w:rsid w:val="00793054"/>
    <w:rsid w:val="00796275"/>
    <w:rsid w:val="007C242A"/>
    <w:rsid w:val="007D6492"/>
    <w:rsid w:val="007F433F"/>
    <w:rsid w:val="00805DF6"/>
    <w:rsid w:val="00821F16"/>
    <w:rsid w:val="008368C0"/>
    <w:rsid w:val="0084396A"/>
    <w:rsid w:val="008442CF"/>
    <w:rsid w:val="008442D3"/>
    <w:rsid w:val="00854B7B"/>
    <w:rsid w:val="00886186"/>
    <w:rsid w:val="008B75C6"/>
    <w:rsid w:val="008C1729"/>
    <w:rsid w:val="008C75DD"/>
    <w:rsid w:val="008F027B"/>
    <w:rsid w:val="008F0B16"/>
    <w:rsid w:val="008F209D"/>
    <w:rsid w:val="00971073"/>
    <w:rsid w:val="0097627C"/>
    <w:rsid w:val="0099379C"/>
    <w:rsid w:val="00995F25"/>
    <w:rsid w:val="009D4C4D"/>
    <w:rsid w:val="009E0F53"/>
    <w:rsid w:val="009E7AB0"/>
    <w:rsid w:val="00A36F46"/>
    <w:rsid w:val="00A4666C"/>
    <w:rsid w:val="00A50701"/>
    <w:rsid w:val="00A52C29"/>
    <w:rsid w:val="00A67D51"/>
    <w:rsid w:val="00A7345D"/>
    <w:rsid w:val="00A87C5A"/>
    <w:rsid w:val="00A943FB"/>
    <w:rsid w:val="00AC0B95"/>
    <w:rsid w:val="00AF13FF"/>
    <w:rsid w:val="00B06A7E"/>
    <w:rsid w:val="00B133FD"/>
    <w:rsid w:val="00B44023"/>
    <w:rsid w:val="00B53C2E"/>
    <w:rsid w:val="00B61F8A"/>
    <w:rsid w:val="00B77EA6"/>
    <w:rsid w:val="00BD4F7C"/>
    <w:rsid w:val="00C736D5"/>
    <w:rsid w:val="00CA0031"/>
    <w:rsid w:val="00CC2C7B"/>
    <w:rsid w:val="00D005B3"/>
    <w:rsid w:val="00D06D36"/>
    <w:rsid w:val="00D40690"/>
    <w:rsid w:val="00D81348"/>
    <w:rsid w:val="00DA10BD"/>
    <w:rsid w:val="00DA52A1"/>
    <w:rsid w:val="00DA7AE6"/>
    <w:rsid w:val="00DB2B7D"/>
    <w:rsid w:val="00DC403E"/>
    <w:rsid w:val="00E146C1"/>
    <w:rsid w:val="00E63207"/>
    <w:rsid w:val="00E7195A"/>
    <w:rsid w:val="00EA1EC9"/>
    <w:rsid w:val="00EC3BEB"/>
    <w:rsid w:val="00ED7972"/>
    <w:rsid w:val="00EE493C"/>
    <w:rsid w:val="00F01C4A"/>
    <w:rsid w:val="00F24D33"/>
    <w:rsid w:val="00F42E26"/>
    <w:rsid w:val="00F61F62"/>
    <w:rsid w:val="00FA54DA"/>
    <w:rsid w:val="00FD044C"/>
    <w:rsid w:val="00FD2E11"/>
    <w:rsid w:val="00FE45F9"/>
    <w:rsid w:val="00FE76B6"/>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BCCE9"/>
  <w15:docId w15:val="{6B44686B-E357-45E8-BD84-E479FF47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table" w:customStyle="1" w:styleId="Tabela-Siatka1">
    <w:name w:val="Tabela - Siatka1"/>
    <w:basedOn w:val="Standardowy"/>
    <w:next w:val="Tabela-Siatka"/>
    <w:uiPriority w:val="39"/>
    <w:rsid w:val="0025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C403E"/>
    <w:rPr>
      <w:sz w:val="16"/>
      <w:szCs w:val="16"/>
    </w:rPr>
  </w:style>
  <w:style w:type="paragraph" w:styleId="Tekstkomentarza">
    <w:name w:val="annotation text"/>
    <w:basedOn w:val="Normalny"/>
    <w:link w:val="TekstkomentarzaZnak"/>
    <w:uiPriority w:val="99"/>
    <w:semiHidden/>
    <w:unhideWhenUsed/>
    <w:rsid w:val="00DC403E"/>
    <w:pPr>
      <w:spacing w:line="240" w:lineRule="auto"/>
    </w:pPr>
    <w:rPr>
      <w:szCs w:val="20"/>
    </w:rPr>
  </w:style>
  <w:style w:type="character" w:customStyle="1" w:styleId="TekstkomentarzaZnak">
    <w:name w:val="Tekst komentarza Znak"/>
    <w:basedOn w:val="Domylnaczcionkaakapitu"/>
    <w:link w:val="Tekstkomentarza"/>
    <w:uiPriority w:val="99"/>
    <w:semiHidden/>
    <w:rsid w:val="00DC403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DC403E"/>
    <w:rPr>
      <w:b/>
      <w:bCs/>
    </w:rPr>
  </w:style>
  <w:style w:type="character" w:customStyle="1" w:styleId="TematkomentarzaZnak">
    <w:name w:val="Temat komentarza Znak"/>
    <w:basedOn w:val="TekstkomentarzaZnak"/>
    <w:link w:val="Tematkomentarza"/>
    <w:uiPriority w:val="99"/>
    <w:semiHidden/>
    <w:rsid w:val="00DC403E"/>
    <w:rPr>
      <w:b/>
      <w:bCs/>
      <w:color w:val="000000" w:themeColor="background1"/>
      <w:spacing w:val="4"/>
      <w:sz w:val="20"/>
      <w:szCs w:val="20"/>
    </w:rPr>
  </w:style>
  <w:style w:type="paragraph" w:styleId="Poprawka">
    <w:name w:val="Revision"/>
    <w:hidden/>
    <w:uiPriority w:val="99"/>
    <w:semiHidden/>
    <w:rsid w:val="00F42E26"/>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718">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807F-B1C0-4ACD-B143-4F34FE3F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0</TotalTime>
  <Pages>5</Pages>
  <Words>1141</Words>
  <Characters>6850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Marzena Krzymińska | Łukasiewicz - PORT</cp:lastModifiedBy>
  <cp:revision>4</cp:revision>
  <cp:lastPrinted>2022-07-20T03:58:00Z</cp:lastPrinted>
  <dcterms:created xsi:type="dcterms:W3CDTF">2023-08-22T06:53:00Z</dcterms:created>
  <dcterms:modified xsi:type="dcterms:W3CDTF">2023-08-22T10:29:00Z</dcterms:modified>
</cp:coreProperties>
</file>