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F3" w:rsidRDefault="007E23F3" w:rsidP="007E23F3">
      <w:pPr>
        <w:spacing w:line="276" w:lineRule="auto"/>
        <w:jc w:val="both"/>
        <w:rPr>
          <w:rFonts w:ascii="Arial" w:hAnsi="Arial" w:cs="Arial"/>
          <w:sz w:val="22"/>
          <w:szCs w:val="22"/>
        </w:rPr>
      </w:pPr>
    </w:p>
    <w:p w:rsidR="00DC6668" w:rsidRPr="007E23F3" w:rsidRDefault="007E23F3" w:rsidP="007E23F3">
      <w:pPr>
        <w:spacing w:line="276" w:lineRule="auto"/>
        <w:jc w:val="both"/>
        <w:rPr>
          <w:rFonts w:ascii="Arial" w:hAnsi="Arial" w:cs="Arial"/>
          <w:sz w:val="22"/>
          <w:szCs w:val="22"/>
          <w:lang w:val="de-DE"/>
        </w:rPr>
      </w:pPr>
      <w:r w:rsidRPr="007E23F3">
        <w:rPr>
          <w:rFonts w:ascii="Arial" w:hAnsi="Arial" w:cs="Arial"/>
          <w:sz w:val="22"/>
          <w:szCs w:val="22"/>
        </w:rPr>
        <w:t>Znak</w:t>
      </w:r>
      <w:r w:rsidRPr="007E23F3">
        <w:rPr>
          <w:rFonts w:ascii="Arial" w:hAnsi="Arial" w:cs="Arial"/>
          <w:sz w:val="22"/>
          <w:szCs w:val="22"/>
          <w:lang w:val="de-DE"/>
        </w:rPr>
        <w:t xml:space="preserve"> </w:t>
      </w:r>
      <w:r w:rsidRPr="007E23F3">
        <w:rPr>
          <w:rFonts w:ascii="Arial" w:hAnsi="Arial" w:cs="Arial"/>
          <w:sz w:val="22"/>
          <w:szCs w:val="22"/>
        </w:rPr>
        <w:t>sprawy</w:t>
      </w:r>
      <w:r w:rsidR="00470183">
        <w:rPr>
          <w:rFonts w:ascii="Arial" w:hAnsi="Arial" w:cs="Arial"/>
          <w:sz w:val="22"/>
          <w:szCs w:val="22"/>
          <w:lang w:val="de-DE"/>
        </w:rPr>
        <w:t xml:space="preserve">: </w:t>
      </w:r>
      <w:r w:rsidR="00B0678E">
        <w:rPr>
          <w:rFonts w:ascii="Arial" w:hAnsi="Arial" w:cs="Arial"/>
          <w:sz w:val="22"/>
          <w:szCs w:val="22"/>
          <w:lang w:val="de-DE"/>
        </w:rPr>
        <w:t xml:space="preserve">IZP.271.4.2023.AM                 </w:t>
      </w:r>
      <w:r w:rsidRPr="007E23F3">
        <w:rPr>
          <w:rFonts w:ascii="Arial" w:hAnsi="Arial" w:cs="Arial"/>
          <w:sz w:val="22"/>
          <w:szCs w:val="22"/>
          <w:lang w:val="de-DE"/>
        </w:rPr>
        <w:t xml:space="preserve">       </w:t>
      </w:r>
      <w:r w:rsidR="002C3EB2">
        <w:rPr>
          <w:rFonts w:ascii="Arial" w:hAnsi="Arial" w:cs="Arial"/>
          <w:sz w:val="22"/>
          <w:szCs w:val="22"/>
          <w:lang w:val="de-DE"/>
        </w:rPr>
        <w:t xml:space="preserve">    </w:t>
      </w:r>
      <w:r>
        <w:rPr>
          <w:rFonts w:ascii="Arial" w:hAnsi="Arial" w:cs="Arial"/>
          <w:sz w:val="22"/>
          <w:szCs w:val="22"/>
          <w:lang w:val="de-DE"/>
        </w:rPr>
        <w:t xml:space="preserve">    </w:t>
      </w:r>
      <w:r w:rsidR="00B0678E">
        <w:rPr>
          <w:rFonts w:ascii="Arial" w:hAnsi="Arial" w:cs="Arial"/>
          <w:sz w:val="22"/>
          <w:szCs w:val="22"/>
          <w:lang w:val="de-DE"/>
        </w:rPr>
        <w:t xml:space="preserve">          </w:t>
      </w:r>
      <w:r w:rsidR="00DC6668">
        <w:rPr>
          <w:rFonts w:ascii="Arial" w:hAnsi="Arial" w:cs="Arial"/>
          <w:sz w:val="22"/>
          <w:szCs w:val="22"/>
          <w:lang w:val="de-DE"/>
        </w:rPr>
        <w:t xml:space="preserve">       </w:t>
      </w:r>
      <w:r w:rsidRPr="007E23F3">
        <w:rPr>
          <w:rFonts w:ascii="Arial" w:hAnsi="Arial" w:cs="Arial"/>
          <w:sz w:val="22"/>
          <w:szCs w:val="22"/>
          <w:lang w:val="de-DE"/>
        </w:rPr>
        <w:t xml:space="preserve">    </w:t>
      </w:r>
      <w:r w:rsidR="00DC6668">
        <w:rPr>
          <w:rFonts w:ascii="Arial" w:hAnsi="Arial" w:cs="Arial"/>
          <w:sz w:val="22"/>
          <w:szCs w:val="22"/>
        </w:rPr>
        <w:t>Biały Dunajec</w:t>
      </w:r>
      <w:r w:rsidR="00FF5910">
        <w:rPr>
          <w:rFonts w:ascii="Arial" w:hAnsi="Arial" w:cs="Arial"/>
          <w:sz w:val="22"/>
          <w:szCs w:val="22"/>
          <w:lang w:val="de-DE"/>
        </w:rPr>
        <w:t xml:space="preserve"> 03.03</w:t>
      </w:r>
      <w:r w:rsidR="00B0678E">
        <w:rPr>
          <w:rFonts w:ascii="Arial" w:hAnsi="Arial" w:cs="Arial"/>
          <w:sz w:val="22"/>
          <w:szCs w:val="22"/>
          <w:lang w:val="de-DE"/>
        </w:rPr>
        <w:t>.2023</w:t>
      </w:r>
      <w:r w:rsidRPr="007E23F3">
        <w:rPr>
          <w:rFonts w:ascii="Arial" w:hAnsi="Arial" w:cs="Arial"/>
          <w:sz w:val="22"/>
          <w:szCs w:val="22"/>
          <w:lang w:val="de-DE"/>
        </w:rPr>
        <w:t xml:space="preserve"> r.</w:t>
      </w:r>
    </w:p>
    <w:p w:rsidR="005D6436" w:rsidRDefault="00DC6668" w:rsidP="00180B75">
      <w:pPr>
        <w:spacing w:after="100" w:afterAutospacing="1" w:line="360" w:lineRule="auto"/>
        <w:ind w:left="4820"/>
        <w:rPr>
          <w:rFonts w:ascii="Times New Roman" w:hAnsi="Times New Roman" w:cs="Times New Roman"/>
          <w:iCs/>
          <w:sz w:val="20"/>
        </w:rPr>
      </w:pPr>
      <w:r w:rsidRPr="00DC6668">
        <w:t>https://platformazakupowa.pl/pn/dunajec</w:t>
      </w:r>
      <w:r w:rsidR="00FE2455" w:rsidRPr="00FE2455">
        <w:br/>
      </w:r>
      <w:r w:rsidR="00FE2455" w:rsidRPr="00FE2455">
        <w:rPr>
          <w:iCs/>
        </w:rPr>
        <w:t xml:space="preserve"> </w:t>
      </w:r>
      <w:r w:rsidR="00364921">
        <w:rPr>
          <w:rFonts w:ascii="Times New Roman" w:hAnsi="Times New Roman" w:cs="Times New Roman"/>
          <w:iCs/>
          <w:sz w:val="20"/>
        </w:rPr>
        <w:t>(</w:t>
      </w:r>
      <w:r w:rsidR="00364921">
        <w:rPr>
          <w:rFonts w:ascii="Times New Roman" w:hAnsi="Times New Roman" w:cs="Times New Roman"/>
          <w:i/>
          <w:iCs/>
          <w:sz w:val="20"/>
        </w:rPr>
        <w:t>strona internetowa prowadzonego postępowania</w:t>
      </w:r>
      <w:r w:rsidR="00364921" w:rsidRPr="003A6665">
        <w:rPr>
          <w:rFonts w:ascii="Times New Roman" w:hAnsi="Times New Roman" w:cs="Times New Roman"/>
          <w:iCs/>
          <w:sz w:val="20"/>
        </w:rPr>
        <w:t>)</w:t>
      </w:r>
    </w:p>
    <w:p w:rsidR="00C67A28" w:rsidRDefault="00C67A28" w:rsidP="00180B75">
      <w:pPr>
        <w:spacing w:after="100" w:afterAutospacing="1" w:line="360" w:lineRule="auto"/>
        <w:ind w:left="4820"/>
        <w:rPr>
          <w:rFonts w:ascii="Times New Roman" w:hAnsi="Times New Roman" w:cs="Times New Roman"/>
          <w:iCs/>
          <w:sz w:val="20"/>
        </w:rPr>
      </w:pPr>
    </w:p>
    <w:p w:rsidR="00DA4EFC" w:rsidRPr="005D6436" w:rsidRDefault="00DA4EFC" w:rsidP="00DA4EFC">
      <w:pPr>
        <w:spacing w:line="360" w:lineRule="auto"/>
        <w:ind w:left="993" w:hanging="993"/>
        <w:jc w:val="center"/>
        <w:rPr>
          <w:rFonts w:ascii="Arial" w:hAnsi="Arial" w:cs="Arial"/>
          <w:b/>
          <w:iCs/>
          <w:sz w:val="22"/>
          <w:szCs w:val="22"/>
        </w:rPr>
      </w:pPr>
      <w:r w:rsidRPr="00DA4EFC">
        <w:rPr>
          <w:rFonts w:ascii="Arial" w:hAnsi="Arial" w:cs="Arial"/>
          <w:b/>
          <w:iCs/>
          <w:sz w:val="22"/>
          <w:szCs w:val="22"/>
          <w:highlight w:val="lightGray"/>
        </w:rPr>
        <w:t>WYJAŚNIENIA I ZMIANY TREŚCI SWZ</w:t>
      </w:r>
    </w:p>
    <w:p w:rsidR="00DA4EFC" w:rsidRDefault="00DA4EFC" w:rsidP="00DA4EFC">
      <w:pPr>
        <w:suppressAutoHyphens/>
        <w:jc w:val="both"/>
        <w:rPr>
          <w:rFonts w:ascii="Arial" w:eastAsia="Arial" w:hAnsi="Arial" w:cs="Arial"/>
          <w:b/>
          <w:sz w:val="22"/>
          <w:szCs w:val="22"/>
          <w:lang w:eastAsia="zh-CN"/>
        </w:rPr>
      </w:pPr>
      <w:r w:rsidRPr="007E23F3">
        <w:rPr>
          <w:rFonts w:ascii="Arial" w:eastAsia="Times New Roman" w:hAnsi="Arial" w:cs="Arial"/>
          <w:b/>
          <w:bCs/>
          <w:sz w:val="22"/>
          <w:szCs w:val="22"/>
          <w:lang w:eastAsia="pl-PL" w:bidi="pl-PL"/>
        </w:rPr>
        <w:t xml:space="preserve">Dotyczy: </w:t>
      </w:r>
      <w:r w:rsidRPr="00DA4EFC">
        <w:rPr>
          <w:rFonts w:ascii="Arial" w:eastAsia="Arial" w:hAnsi="Arial" w:cs="Arial"/>
          <w:b/>
          <w:sz w:val="22"/>
          <w:szCs w:val="22"/>
          <w:lang w:eastAsia="zh-CN"/>
        </w:rPr>
        <w:t>„Modernizacja oświetlenia drogowego w Gminie Biały Dunajec”</w:t>
      </w:r>
    </w:p>
    <w:p w:rsidR="00886605" w:rsidRDefault="00886605" w:rsidP="00DA4EFC">
      <w:pPr>
        <w:suppressAutoHyphens/>
        <w:jc w:val="both"/>
        <w:rPr>
          <w:rFonts w:ascii="Arial" w:eastAsia="Arial" w:hAnsi="Arial" w:cs="Arial"/>
          <w:b/>
          <w:sz w:val="22"/>
          <w:szCs w:val="22"/>
          <w:lang w:eastAsia="zh-CN"/>
        </w:rPr>
      </w:pPr>
    </w:p>
    <w:p w:rsidR="00DA4EFC" w:rsidRDefault="00DA4EFC" w:rsidP="00DA4EFC">
      <w:pPr>
        <w:suppressAutoHyphens/>
        <w:jc w:val="both"/>
        <w:rPr>
          <w:rFonts w:ascii="Arial" w:hAnsi="Arial" w:cs="Arial"/>
          <w:b/>
          <w:sz w:val="22"/>
          <w:szCs w:val="22"/>
        </w:rPr>
      </w:pPr>
    </w:p>
    <w:p w:rsidR="00DA4EFC" w:rsidRPr="00062681" w:rsidRDefault="00DA4EFC" w:rsidP="00DA4EFC">
      <w:pPr>
        <w:widowControl w:val="0"/>
        <w:spacing w:line="360" w:lineRule="auto"/>
        <w:jc w:val="center"/>
        <w:rPr>
          <w:rFonts w:ascii="Arial" w:hAnsi="Arial" w:cs="Arial"/>
          <w:b/>
          <w:sz w:val="20"/>
          <w:szCs w:val="20"/>
        </w:rPr>
      </w:pPr>
      <w:r w:rsidRPr="00062681">
        <w:rPr>
          <w:rFonts w:ascii="Arial" w:hAnsi="Arial" w:cs="Arial"/>
          <w:b/>
          <w:sz w:val="20"/>
          <w:szCs w:val="20"/>
          <w:highlight w:val="lightGray"/>
        </w:rPr>
        <w:t>I. Wyjaśnienia treści SWZ</w:t>
      </w:r>
    </w:p>
    <w:p w:rsidR="00DA4EFC" w:rsidRPr="00062681" w:rsidRDefault="003817F7" w:rsidP="00DA4EFC">
      <w:pPr>
        <w:widowControl w:val="0"/>
        <w:spacing w:line="360" w:lineRule="auto"/>
        <w:rPr>
          <w:rFonts w:ascii="Arial" w:hAnsi="Arial" w:cs="Arial"/>
          <w:sz w:val="20"/>
          <w:szCs w:val="20"/>
        </w:rPr>
      </w:pPr>
      <w:r w:rsidRPr="00062681">
        <w:rPr>
          <w:rFonts w:ascii="Arial" w:hAnsi="Arial" w:cs="Arial"/>
          <w:sz w:val="20"/>
          <w:szCs w:val="20"/>
        </w:rPr>
        <w:t>Działając w oparciu o art. 135</w:t>
      </w:r>
      <w:r w:rsidR="00DA4EFC" w:rsidRPr="00062681">
        <w:rPr>
          <w:rFonts w:ascii="Arial" w:hAnsi="Arial" w:cs="Arial"/>
          <w:sz w:val="20"/>
          <w:szCs w:val="20"/>
        </w:rPr>
        <w:t xml:space="preserve"> ustawy</w:t>
      </w:r>
      <w:r w:rsidR="00DA4EFC" w:rsidRPr="00062681">
        <w:rPr>
          <w:rFonts w:ascii="Arial" w:eastAsia="Arial" w:hAnsi="Arial" w:cs="Arial"/>
          <w:iCs/>
          <w:sz w:val="20"/>
          <w:szCs w:val="20"/>
        </w:rPr>
        <w:t xml:space="preserve"> z dnia 11 września 2019 r. prawo zamówień publicznych (t.j. Dz.U. z 2019 r. poz. 2019 z późn. zm.), zwanej w dalszej treści „Ustawą Pzp”</w:t>
      </w:r>
      <w:r w:rsidR="00DA4EFC" w:rsidRPr="00062681">
        <w:rPr>
          <w:rFonts w:ascii="Arial" w:hAnsi="Arial" w:cs="Arial"/>
          <w:b/>
          <w:bCs/>
          <w:iCs/>
          <w:sz w:val="20"/>
          <w:szCs w:val="20"/>
        </w:rPr>
        <w:t xml:space="preserve"> </w:t>
      </w:r>
      <w:r w:rsidR="00DA4EFC" w:rsidRPr="00062681">
        <w:rPr>
          <w:rFonts w:ascii="Arial" w:hAnsi="Arial" w:cs="Arial"/>
          <w:sz w:val="20"/>
          <w:szCs w:val="20"/>
        </w:rPr>
        <w:t>, Zamawiający przekazuje poniżej treść zapytań, które wpłynęły do Zamawiającego wraz z wyjaśnieniami:</w:t>
      </w:r>
    </w:p>
    <w:p w:rsidR="00BA4266" w:rsidRPr="00062681" w:rsidRDefault="00BA4266" w:rsidP="00DA4EFC">
      <w:pPr>
        <w:widowControl w:val="0"/>
        <w:spacing w:line="360" w:lineRule="auto"/>
        <w:rPr>
          <w:rFonts w:ascii="Arial" w:hAnsi="Arial" w:cs="Arial"/>
          <w:sz w:val="20"/>
          <w:szCs w:val="20"/>
        </w:rPr>
      </w:pPr>
    </w:p>
    <w:p w:rsidR="00BA4266" w:rsidRPr="00062681" w:rsidRDefault="00BA4266" w:rsidP="00BA4266">
      <w:pPr>
        <w:widowControl w:val="0"/>
        <w:spacing w:line="360" w:lineRule="auto"/>
        <w:ind w:hanging="284"/>
        <w:rPr>
          <w:rFonts w:ascii="Arial" w:hAnsi="Arial" w:cs="Arial"/>
          <w:b/>
          <w:sz w:val="20"/>
          <w:szCs w:val="20"/>
          <w:u w:val="single"/>
        </w:rPr>
      </w:pPr>
      <w:r w:rsidRPr="00062681">
        <w:rPr>
          <w:rFonts w:ascii="Arial" w:hAnsi="Arial" w:cs="Arial"/>
          <w:b/>
          <w:sz w:val="20"/>
          <w:szCs w:val="20"/>
          <w:u w:val="single"/>
        </w:rPr>
        <w:t>Pytanie z dnia 17.02.2023 r. wraz z odpowiedzią:</w:t>
      </w:r>
    </w:p>
    <w:p w:rsidR="00BA4266" w:rsidRPr="00062681" w:rsidRDefault="00BA4266" w:rsidP="00886605">
      <w:pPr>
        <w:ind w:left="284" w:hanging="284"/>
        <w:jc w:val="both"/>
        <w:rPr>
          <w:rFonts w:ascii="Times New Roman" w:eastAsia="Times New Roman" w:hAnsi="Times New Roman" w:cs="Times New Roman"/>
          <w:b/>
          <w:sz w:val="20"/>
          <w:szCs w:val="20"/>
          <w:lang w:eastAsia="pl-PL"/>
        </w:rPr>
      </w:pPr>
      <w:r w:rsidRPr="00062681">
        <w:rPr>
          <w:rFonts w:ascii="Times New Roman" w:eastAsia="Times New Roman" w:hAnsi="Times New Roman" w:cs="Times New Roman"/>
          <w:b/>
          <w:sz w:val="20"/>
          <w:szCs w:val="20"/>
          <w:highlight w:val="lightGray"/>
          <w:lang w:eastAsia="pl-PL"/>
        </w:rPr>
        <w:t>Pytanie nr 1:</w:t>
      </w:r>
      <w:r w:rsidRPr="00062681">
        <w:rPr>
          <w:sz w:val="20"/>
          <w:szCs w:val="20"/>
        </w:rPr>
        <w:t xml:space="preserve"> </w:t>
      </w:r>
      <w:r w:rsidRPr="00062681">
        <w:rPr>
          <w:rFonts w:ascii="Times New Roman" w:eastAsia="Times New Roman" w:hAnsi="Times New Roman" w:cs="Times New Roman"/>
          <w:sz w:val="20"/>
          <w:szCs w:val="20"/>
          <w:lang w:eastAsia="pl-PL"/>
        </w:rPr>
        <w:t>Czy przed przystąpieniem do przetargu wymagane jest dokonanie wizji lokalnej i załączenie dokumentu z odbytej wizji lokalnej?</w:t>
      </w:r>
    </w:p>
    <w:p w:rsidR="00BA4266" w:rsidRPr="00062681" w:rsidRDefault="00BA4266" w:rsidP="00886605">
      <w:pPr>
        <w:ind w:left="284" w:hanging="284"/>
        <w:jc w:val="both"/>
        <w:rPr>
          <w:rFonts w:ascii="Times New Roman" w:eastAsia="Times New Roman" w:hAnsi="Times New Roman" w:cs="Times New Roman"/>
          <w:b/>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sz w:val="20"/>
          <w:szCs w:val="20"/>
        </w:rPr>
        <w:t xml:space="preserve"> </w:t>
      </w:r>
      <w:r w:rsidRPr="00062681">
        <w:rPr>
          <w:rFonts w:ascii="Times New Roman" w:eastAsia="Times New Roman" w:hAnsi="Times New Roman" w:cs="Times New Roman"/>
          <w:sz w:val="20"/>
          <w:szCs w:val="20"/>
          <w:lang w:eastAsia="pl-PL"/>
        </w:rPr>
        <w:t xml:space="preserve">SWZ nie nakłada obowiązku dokonania przez Wykonawcę wizji lokalnej ani załączenie dokumentu z odbytej wizji lokalnej. </w:t>
      </w:r>
    </w:p>
    <w:p w:rsidR="00BA4266" w:rsidRPr="00062681" w:rsidRDefault="00BA4266" w:rsidP="00DA4EFC">
      <w:pPr>
        <w:widowControl w:val="0"/>
        <w:spacing w:line="360" w:lineRule="auto"/>
        <w:rPr>
          <w:rFonts w:ascii="Arial" w:hAnsi="Arial" w:cs="Arial"/>
          <w:sz w:val="20"/>
          <w:szCs w:val="20"/>
        </w:rPr>
      </w:pPr>
    </w:p>
    <w:p w:rsidR="00DA4EFC" w:rsidRPr="00062681" w:rsidRDefault="00886605" w:rsidP="00BA4266">
      <w:pPr>
        <w:widowControl w:val="0"/>
        <w:spacing w:line="360" w:lineRule="auto"/>
        <w:ind w:hanging="284"/>
        <w:rPr>
          <w:rFonts w:ascii="Arial" w:hAnsi="Arial" w:cs="Arial"/>
          <w:b/>
          <w:sz w:val="20"/>
          <w:szCs w:val="20"/>
          <w:u w:val="single"/>
        </w:rPr>
      </w:pPr>
      <w:r w:rsidRPr="00062681">
        <w:rPr>
          <w:rFonts w:ascii="Arial" w:hAnsi="Arial" w:cs="Arial"/>
          <w:b/>
          <w:sz w:val="20"/>
          <w:szCs w:val="20"/>
          <w:u w:val="single"/>
        </w:rPr>
        <w:t>Pytania</w:t>
      </w:r>
      <w:r w:rsidR="00BA4266" w:rsidRPr="00062681">
        <w:rPr>
          <w:rFonts w:ascii="Arial" w:hAnsi="Arial" w:cs="Arial"/>
          <w:b/>
          <w:sz w:val="20"/>
          <w:szCs w:val="20"/>
          <w:u w:val="single"/>
        </w:rPr>
        <w:t xml:space="preserve"> z dnia 22.02.2023 r. </w:t>
      </w:r>
      <w:r w:rsidRPr="00062681">
        <w:rPr>
          <w:rFonts w:ascii="Arial" w:hAnsi="Arial" w:cs="Arial"/>
          <w:b/>
          <w:sz w:val="20"/>
          <w:szCs w:val="20"/>
          <w:u w:val="single"/>
        </w:rPr>
        <w:t>wraz z odpowiedziami</w:t>
      </w:r>
      <w:r w:rsidR="00BA4266" w:rsidRPr="00062681">
        <w:rPr>
          <w:rFonts w:ascii="Arial" w:hAnsi="Arial" w:cs="Arial"/>
          <w:b/>
          <w:sz w:val="20"/>
          <w:szCs w:val="20"/>
          <w:u w:val="single"/>
        </w:rPr>
        <w:t>:</w:t>
      </w:r>
    </w:p>
    <w:p w:rsidR="00746A53" w:rsidRPr="00062681" w:rsidRDefault="00DA4EFC" w:rsidP="00886605">
      <w:pPr>
        <w:pStyle w:val="Default"/>
        <w:ind w:left="284" w:hanging="284"/>
        <w:rPr>
          <w:rFonts w:ascii="Arial" w:hAnsi="Arial" w:cs="Arial"/>
          <w:b/>
          <w:sz w:val="20"/>
          <w:szCs w:val="20"/>
        </w:rPr>
      </w:pPr>
      <w:r w:rsidRPr="00062681">
        <w:rPr>
          <w:rFonts w:ascii="Arial" w:hAnsi="Arial" w:cs="Arial"/>
          <w:b/>
          <w:sz w:val="20"/>
          <w:szCs w:val="20"/>
          <w:highlight w:val="lightGray"/>
        </w:rPr>
        <w:t>Pytanie nr 1:</w:t>
      </w:r>
      <w:r w:rsidR="00746A53" w:rsidRPr="00062681">
        <w:rPr>
          <w:rFonts w:ascii="Arial" w:hAnsi="Arial" w:cs="Arial"/>
          <w:b/>
          <w:sz w:val="20"/>
          <w:szCs w:val="20"/>
        </w:rPr>
        <w:t xml:space="preserve"> </w:t>
      </w:r>
      <w:r w:rsidR="00746A53" w:rsidRPr="00062681">
        <w:rPr>
          <w:rFonts w:ascii="Times New Roman" w:eastAsia="Times New Roman" w:hAnsi="Times New Roman" w:cs="Times New Roman"/>
          <w:sz w:val="20"/>
          <w:szCs w:val="20"/>
          <w:lang w:eastAsia="pl-PL"/>
        </w:rPr>
        <w:t>Czy Zamawiający zawarł umowę na zwiększenie ilości opraw oświetlenia / modernizację oświetlenia z Tauron Dystrybucja? Na jakiej podstawie Wykonawca może uzgadniać zwiększenie ilości pkt oświetlenia (zmiana zobowiązań finansowych za dzierżawę)?</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sz w:val="20"/>
          <w:szCs w:val="20"/>
          <w:lang w:eastAsia="pl-PL"/>
        </w:rPr>
        <w:t xml:space="preserve"> Rolą Wykonawcy nie jest uzgadnianie zakresu prac ale współpraca z OSD w zakresie wykonywania prac na sieci OSD zgodnie z Instrukcją Ruchu wydaną przez OSD. Zgłaszanie prac z wyprzedzeniem itp.  Uzgodnienie projektu wykonawczego, jeśli jest wymagany przez OSD oraz złożenie dokumentacji powykonawczej, jeśli będzie wymagana przez OSD.</w:t>
      </w:r>
    </w:p>
    <w:p w:rsidR="00746A53" w:rsidRPr="00062681" w:rsidRDefault="00746A53" w:rsidP="00DB7C2A">
      <w:pPr>
        <w:ind w:left="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sz w:val="20"/>
          <w:szCs w:val="20"/>
          <w:lang w:eastAsia="pl-PL"/>
        </w:rPr>
        <w:t xml:space="preserve">Zakres prac do wykonania jest po stronie Zamawiającego. </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DB7C2A" w:rsidP="00886605">
      <w:pPr>
        <w:pStyle w:val="Default"/>
        <w:ind w:left="284" w:hanging="284"/>
        <w:rPr>
          <w:rFonts w:ascii="Arial" w:hAnsi="Arial" w:cs="Arial"/>
          <w:b/>
          <w:sz w:val="20"/>
          <w:szCs w:val="20"/>
        </w:rPr>
      </w:pPr>
      <w:r w:rsidRPr="00062681">
        <w:rPr>
          <w:rFonts w:ascii="Arial" w:hAnsi="Arial" w:cs="Arial"/>
          <w:b/>
          <w:sz w:val="20"/>
          <w:szCs w:val="20"/>
          <w:highlight w:val="lightGray"/>
        </w:rPr>
        <w:t>Pytanie nr 2:</w:t>
      </w:r>
      <w:r w:rsidRPr="00062681">
        <w:rPr>
          <w:rFonts w:ascii="Arial" w:hAnsi="Arial" w:cs="Arial"/>
          <w:b/>
          <w:sz w:val="20"/>
          <w:szCs w:val="20"/>
        </w:rPr>
        <w:t xml:space="preserve"> </w:t>
      </w:r>
      <w:r w:rsidR="00746A53" w:rsidRPr="00062681">
        <w:rPr>
          <w:rFonts w:ascii="Times New Roman" w:eastAsia="Times New Roman" w:hAnsi="Times New Roman" w:cs="Times New Roman"/>
          <w:sz w:val="20"/>
          <w:szCs w:val="20"/>
          <w:lang w:eastAsia="pl-PL"/>
        </w:rPr>
        <w:t>Czy Zamawiający uzyskał warunki przyłączenia / warunki techniczne wskazujące przebudowę szaf zasilających, w tym warunki na wyniesienie układów pomiarowych, zmiany zasilania, zmiany mocy przyłączeniowej (zwiększenie / zmniejszenie)?</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sz w:val="20"/>
          <w:szCs w:val="20"/>
          <w:lang w:eastAsia="pl-PL"/>
        </w:rPr>
        <w:t xml:space="preserve"> Zamawiający, w uzgodnieniu z Tauron nie przewiduje konieczność uzyskiwania warunków przyłączenia, które są wymagane w przypadku zwiększenia przydziału mocy. Niniejszy przetarg ma inne założenia. Zamawiający jest właścicielem 4 punktów sterowania oświetleniem ulicznym i ma pełne prawo nieograniczonego dysponowania tymi punktami w celu modernizacji. 31 należy do Tauron i będą modernizowane, jeśli Tauron wyraz na to zgodę. W przeciwnym wypadku zakres zamówienia zostanie ograniczony, a rozliczenie nastąpi na podstawie zakresu zrealizowanego, powykonawczo. </w:t>
      </w:r>
    </w:p>
    <w:p w:rsidR="00746A53" w:rsidRPr="00062681" w:rsidRDefault="00746A53" w:rsidP="00DB7C2A">
      <w:pPr>
        <w:ind w:left="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sz w:val="20"/>
          <w:szCs w:val="20"/>
          <w:lang w:eastAsia="pl-PL"/>
        </w:rPr>
        <w:t>Tauron wydaje warunki dotyczące charakterystyki opraw i sposobu oświetlania. Nie wydaje do umowy Warunków Technicznych dotyczących zakresu i sposobu instalacji. Trzeba będzie to uzgadniać na bieżąco w trakcie wykonywania zadania.</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DB7C2A"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3.</w:t>
      </w:r>
      <w:r w:rsidR="00746A53" w:rsidRPr="00062681">
        <w:rPr>
          <w:rFonts w:ascii="Times New Roman" w:eastAsia="Times New Roman" w:hAnsi="Times New Roman" w:cs="Times New Roman"/>
          <w:sz w:val="20"/>
          <w:szCs w:val="20"/>
          <w:lang w:eastAsia="pl-PL"/>
        </w:rPr>
        <w:t xml:space="preserve"> Jeżeli Zamawiający nie posiada umów finansowych o które pytamy w pkt 1 i nie posiada warunków technicznych o które pytamy w punkcie 2, to co się stanie jeżeli OSD nie wyrazi zgody na zakres państwa Inwestycji?.</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746A53"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sz w:val="20"/>
          <w:szCs w:val="20"/>
          <w:lang w:eastAsia="pl-PL"/>
        </w:rPr>
        <w:t xml:space="preserve"> Zamawiający jest w trakcie zawierania umowy na wykorzystanie konstrukcji wsporczych OSD w celu instalowania ruchomości (wysięgniki i oprawy oświetleniowe) na konstrukcjach wsporczych OSD. Zamawiający ma zgodę na instalowanie opraw i jest w trakcie jej formalizowania.</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DB7C2A" w:rsidP="00886605">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4.</w:t>
      </w:r>
      <w:r w:rsidR="00746A53" w:rsidRPr="00062681">
        <w:rPr>
          <w:rFonts w:ascii="Times New Roman" w:eastAsia="Times New Roman" w:hAnsi="Times New Roman" w:cs="Times New Roman"/>
          <w:sz w:val="20"/>
          <w:szCs w:val="20"/>
          <w:lang w:eastAsia="pl-PL"/>
        </w:rPr>
        <w:t xml:space="preserve"> Czy pozyskanie opinii, zgód, umów lub zwłoka w odpowiedzi OSD (Tauron) będzie podstawą do przedłużenia terminu zakończenia umowy. </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lastRenderedPageBreak/>
        <w:t>Odpowiedź:</w:t>
      </w:r>
      <w:r w:rsidRPr="00062681">
        <w:rPr>
          <w:rFonts w:ascii="Times New Roman" w:eastAsia="Times New Roman" w:hAnsi="Times New Roman" w:cs="Times New Roman"/>
          <w:sz w:val="20"/>
          <w:szCs w:val="20"/>
          <w:lang w:eastAsia="pl-PL"/>
        </w:rPr>
        <w:t xml:space="preserve"> Konieczność zmiany terminu, która wynika z działania lub zaniechania strony trzeciej (np. OSD) lub siły wyższej jest podstawą do zmiany terminu wykonania zamówienia. </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DB7C2A"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5.</w:t>
      </w:r>
      <w:r w:rsidR="00746A53" w:rsidRPr="00062681">
        <w:rPr>
          <w:rFonts w:ascii="Times New Roman" w:eastAsia="Times New Roman" w:hAnsi="Times New Roman" w:cs="Times New Roman"/>
          <w:sz w:val="20"/>
          <w:szCs w:val="20"/>
          <w:lang w:eastAsia="pl-PL"/>
        </w:rPr>
        <w:t xml:space="preserve"> W jakim czasie od podpisania umowy Zamawiający przekaże pełnomocnictwo oraz dokumenty identyfikujące wszystkie szafy oświetlenia takie jak nr liczników, numery PPE, moc umowną, dane osób, na które mają być wydane warunki przyłączenia / umowy przyłączeniowej?</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sz w:val="20"/>
          <w:szCs w:val="20"/>
          <w:lang w:eastAsia="pl-PL"/>
        </w:rPr>
        <w:t xml:space="preserve"> W terminie nie dłuższym niż 3 dni od podpisania umowy zostanie przekazana dokumentacja zawierająca inwentaryzację oświetlenia ulicznego. </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DB7C2A"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6.</w:t>
      </w:r>
      <w:r w:rsidR="00746A53" w:rsidRPr="00062681">
        <w:rPr>
          <w:rFonts w:ascii="Times New Roman" w:eastAsia="Times New Roman" w:hAnsi="Times New Roman" w:cs="Times New Roman"/>
          <w:sz w:val="20"/>
          <w:szCs w:val="20"/>
          <w:lang w:eastAsia="pl-PL"/>
        </w:rPr>
        <w:t xml:space="preserve"> W jakim czasie od pozyskania Umów przyłączeniowych Zamawiający podpisze i zaktualizuje umowy, co umożliwi przeniesienie licznika do nowych szaf oświetleniowo – licznikowych?</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sz w:val="20"/>
          <w:szCs w:val="20"/>
          <w:lang w:eastAsia="pl-PL"/>
        </w:rPr>
        <w:t xml:space="preserve"> Zamawiający, w uzgodnieniu z Tauron nie przewiduje konieczności uzyskiwania warunków przyłączenia, a w związku z tym nie będzie konieczności podpisywania umów o przyłączenie. </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DB7C2A" w:rsidP="00886605">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7.</w:t>
      </w:r>
      <w:r w:rsidR="00746A53" w:rsidRPr="00062681">
        <w:rPr>
          <w:rFonts w:ascii="Times New Roman" w:eastAsia="Times New Roman" w:hAnsi="Times New Roman" w:cs="Times New Roman"/>
          <w:sz w:val="20"/>
          <w:szCs w:val="20"/>
          <w:lang w:eastAsia="pl-PL"/>
        </w:rPr>
        <w:t xml:space="preserve"> Jaki zakres prac ma obejmować wymagany projekt wykonawczy. Czy dotyczy on tylko zakresu związanego ze zmianą szaf sterowniczych, czy może swoim zakresem ma obejmować również punkty oświetlenia (np. dogęszczających oświetlenie)?</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sz w:val="20"/>
          <w:szCs w:val="20"/>
          <w:lang w:eastAsia="pl-PL"/>
        </w:rPr>
        <w:t xml:space="preserve"> Projekt wykonawczy ma zawierać co najmniej: obliczenia fotometryczne z wykorzystaniem danych oferowanych opraw dla odcinków z uwzględnieniem dodatkowych punktów świetlnych oraz rozwiązania techniczne, zaakceptowane przez Tauron dotyczące szaf sterowniczych. Szczegóły zawartości dokumentacji projektowej oraz projektu wykonawczego należy uzgodnić z OSD.</w:t>
      </w:r>
    </w:p>
    <w:p w:rsidR="00746A53" w:rsidRPr="00062681" w:rsidRDefault="00746A53" w:rsidP="00746A53">
      <w:pPr>
        <w:ind w:left="284" w:hanging="284"/>
        <w:jc w:val="both"/>
        <w:rPr>
          <w:rFonts w:ascii="Times New Roman" w:eastAsia="Times New Roman" w:hAnsi="Times New Roman" w:cs="Times New Roman"/>
          <w:i/>
          <w:iCs/>
          <w:sz w:val="20"/>
          <w:szCs w:val="20"/>
          <w:lang w:eastAsia="pl-PL"/>
        </w:rPr>
      </w:pPr>
    </w:p>
    <w:p w:rsidR="00746A53" w:rsidRPr="00062681" w:rsidRDefault="00DB7C2A" w:rsidP="00886605">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8.</w:t>
      </w:r>
      <w:r w:rsidR="00746A53" w:rsidRPr="00062681">
        <w:rPr>
          <w:rFonts w:ascii="Times New Roman" w:eastAsia="Times New Roman" w:hAnsi="Times New Roman" w:cs="Times New Roman"/>
          <w:sz w:val="20"/>
          <w:szCs w:val="20"/>
          <w:lang w:eastAsia="pl-PL"/>
        </w:rPr>
        <w:t xml:space="preserve"> Czy Zamawiający wymaga, aby projekt był wykonany na mapie do celów projektowych, posiadał uzgodnienia instytucji „trzecich", koordynacje ZUD, oraz ostateczną decyzję administracyjną (zgłoszenie robót budowlanych, pozwolenie na budowę)?</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sz w:val="20"/>
          <w:szCs w:val="20"/>
          <w:lang w:eastAsia="pl-PL"/>
        </w:rPr>
        <w:t xml:space="preserve"> Zgodnie z Prawem Budowlanym (Dz.U.2021.2351 t.j. z dnia 2021.12.20)</w:t>
      </w:r>
      <w:r w:rsidRPr="00062681">
        <w:rPr>
          <w:rFonts w:ascii="Times New Roman" w:eastAsia="Times New Roman" w:hAnsi="Times New Roman" w:cs="Times New Roman"/>
          <w:b/>
          <w:bCs/>
          <w:sz w:val="20"/>
          <w:szCs w:val="20"/>
          <w:lang w:eastAsia="pl-PL"/>
        </w:rPr>
        <w:t xml:space="preserve"> </w:t>
      </w:r>
      <w:r w:rsidRPr="00062681">
        <w:rPr>
          <w:rFonts w:ascii="Times New Roman" w:eastAsia="Times New Roman" w:hAnsi="Times New Roman" w:cs="Times New Roman"/>
          <w:sz w:val="20"/>
          <w:szCs w:val="20"/>
          <w:lang w:eastAsia="pl-PL"/>
        </w:rPr>
        <w:t>art. 29 ustęp 4 pkt 3) a) instalowanie opraw oświetleniowych na istniejących słupach nie wymaga pozwolenia na budowę ani zgłoszenia.</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sz w:val="20"/>
          <w:szCs w:val="20"/>
          <w:lang w:eastAsia="pl-PL"/>
        </w:rPr>
        <w:t>Projekt nie musi być opracowany na mapie do celów projektowych, nie musi być uzgadniany z żadnymi podmiotami poza Zamawiającym oraz Tauron Dystrybucja lub Tauron Nowe Technologie.</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DB7C2A" w:rsidP="00886605">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9.</w:t>
      </w:r>
      <w:r w:rsidR="00746A53" w:rsidRPr="00062681">
        <w:rPr>
          <w:rFonts w:ascii="Times New Roman" w:eastAsia="Times New Roman" w:hAnsi="Times New Roman" w:cs="Times New Roman"/>
          <w:sz w:val="20"/>
          <w:szCs w:val="20"/>
          <w:lang w:eastAsia="pl-PL"/>
        </w:rPr>
        <w:t xml:space="preserve"> Czy Zamawiający posiada inwentaryzacje istniejących szaf oświetlenia wskazującą zabudowane zabezpieczenia wyjściowe, ilość obwodów, trasy obwodów? Jeżeli nie - to czy Zamawiający pozyska te dokumenty od TD S.A.?</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sz w:val="20"/>
          <w:szCs w:val="20"/>
          <w:lang w:eastAsia="pl-PL"/>
        </w:rPr>
        <w:t xml:space="preserve"> Zamawiający posiada inwentaryzację punktów zasilania z zabezpieczeniami oraz trasy obwodów oświetleniowych. Zostanie ona przekazana wyłonionemu wykonawcy.</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DB7C2A"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10.</w:t>
      </w:r>
      <w:r w:rsidR="00746A53" w:rsidRPr="00062681">
        <w:rPr>
          <w:rFonts w:ascii="Times New Roman" w:eastAsia="Times New Roman" w:hAnsi="Times New Roman" w:cs="Times New Roman"/>
          <w:sz w:val="20"/>
          <w:szCs w:val="20"/>
          <w:lang w:eastAsia="pl-PL"/>
        </w:rPr>
        <w:t xml:space="preserve"> „....wykonanie projektu wykonawczego oraz uzgodnienie z lokalnym Operatorem Systemu Dystrybucyjnego – Tauron Dystrybucja SA Rejon Zakopane, przed rozpoczęciem instalacji oraz zawarcie umowy z OSD o współpracy przy modernizacji oświetlenia drogowego i ulicznego....". Zamawiający wskazuje w przytoczonym punkcie dwie niezależne sprawy. Pierwsza to wykonanie i uzgodnienie projektów, druga to podpisanie umowy z OSD na modernizację oświetlenia (wymianę opraw). </w:t>
      </w:r>
    </w:p>
    <w:p w:rsidR="00746A53" w:rsidRPr="00062681" w:rsidRDefault="00746A53" w:rsidP="00886605">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sz w:val="20"/>
          <w:szCs w:val="20"/>
          <w:lang w:eastAsia="pl-PL"/>
        </w:rPr>
        <w:t xml:space="preserve">Czy Wykonawca ma rozumieć ten punkt w ten sposób, że Zamawiający nie zezwoli na rozpoczęcie prac jeżeli projekty nie będą uzgodnione i nie będzie zawarta umowa z OSD? Czyli nie dopuszcza na przykład zawarcie umowy na samą wymianę opraw i wykonywanie projektu w czasie wykonywania prac przy oprawach? </w:t>
      </w:r>
    </w:p>
    <w:p w:rsidR="00746A53" w:rsidRPr="00062681" w:rsidRDefault="00746A53" w:rsidP="00746A53">
      <w:pPr>
        <w:ind w:left="284" w:hanging="284"/>
        <w:jc w:val="both"/>
        <w:rPr>
          <w:rFonts w:ascii="Times New Roman" w:eastAsia="Times New Roman" w:hAnsi="Times New Roman" w:cs="Times New Roman"/>
          <w:i/>
          <w:iCs/>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sz w:val="20"/>
          <w:szCs w:val="20"/>
          <w:lang w:eastAsia="pl-PL"/>
        </w:rPr>
        <w:t xml:space="preserve"> zamawiający nie ogranicza harmonogramu prac zaplanowanego przez Wykonawcę. Kluczowym elementem planowania harmonogramu jest ułożenie współpracy z OSD. O rozpoczęciu prac nie decyduje Zamawiający, ale Wykonawca w uzgodnieniu z OSD</w:t>
      </w:r>
      <w:r w:rsidRPr="00062681">
        <w:rPr>
          <w:rFonts w:ascii="Times New Roman" w:eastAsia="Times New Roman" w:hAnsi="Times New Roman" w:cs="Times New Roman"/>
          <w:i/>
          <w:iCs/>
          <w:sz w:val="20"/>
          <w:szCs w:val="20"/>
          <w:lang w:eastAsia="pl-PL"/>
        </w:rPr>
        <w:t xml:space="preserve">. </w:t>
      </w:r>
    </w:p>
    <w:p w:rsidR="00746A53" w:rsidRPr="00062681" w:rsidRDefault="00746A53" w:rsidP="00746A53">
      <w:pPr>
        <w:ind w:left="284" w:hanging="284"/>
        <w:jc w:val="both"/>
        <w:rPr>
          <w:rFonts w:ascii="Times New Roman" w:eastAsia="Times New Roman" w:hAnsi="Times New Roman" w:cs="Times New Roman"/>
          <w:i/>
          <w:iCs/>
          <w:sz w:val="20"/>
          <w:szCs w:val="20"/>
          <w:lang w:eastAsia="pl-PL"/>
        </w:rPr>
      </w:pPr>
    </w:p>
    <w:p w:rsidR="00746A53" w:rsidRPr="00062681" w:rsidRDefault="00DB7C2A" w:rsidP="00886605">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11.</w:t>
      </w:r>
      <w:r w:rsidR="00746A53" w:rsidRPr="00062681">
        <w:rPr>
          <w:rFonts w:ascii="Times New Roman" w:eastAsia="Times New Roman" w:hAnsi="Times New Roman" w:cs="Times New Roman"/>
          <w:sz w:val="20"/>
          <w:szCs w:val="20"/>
          <w:lang w:eastAsia="pl-PL"/>
        </w:rPr>
        <w:t xml:space="preserve"> Wskazany termin wykonania Inwestycji jest nierealny dla zadania „projektuj i buduj". Czy Zamawiający przedłuży termin wykonania zadania o fazę projektową (min 3 mc) lub dopuszcza możliwość podzielenia zadania na dwa osobne, tj.: 1. na zadanie dotyczące opraw (wykonawcze) i 2. szaf (projektowo – wykonawcze). </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sz w:val="20"/>
          <w:szCs w:val="20"/>
          <w:lang w:eastAsia="pl-PL"/>
        </w:rPr>
        <w:t xml:space="preserve"> Nie jest planowana zmiana terminu wykonania zadania poza przypadkami określonymi w par. 14 projektu umowy. Jest prawdopodobne, że 31 szaf licznikowo-sterujących należących do OSD nie będzie podlegało modernizacji. Wynagrodzenie kosztorysowe zostanie wtedy skorygowane do zakresu faktycznie wykonanego.  </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DB7C2A"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12.</w:t>
      </w:r>
      <w:r w:rsidR="00746A53" w:rsidRPr="00062681">
        <w:rPr>
          <w:rFonts w:ascii="Times New Roman" w:eastAsia="Times New Roman" w:hAnsi="Times New Roman" w:cs="Times New Roman"/>
          <w:sz w:val="20"/>
          <w:szCs w:val="20"/>
          <w:lang w:eastAsia="pl-PL"/>
        </w:rPr>
        <w:t xml:space="preserve"> W punkcie 10.3 – część a) napisali państwo, że zabezpieczeniem przed licznikowym ma być wyłącznik o charakterystyce „C". Czy Zamawiający posiada uzgodnienie z TD S.A., z którego wynika, że Wykonawca nie musi się stosować do standardu 1/2014? Standard ten wskazuje na konieczność stosowania wkładek topikowych w rozłączniku jako aparat przed licznikowy, oraz aparatów bez członów zwarciowych za licznikowo. </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sz w:val="20"/>
          <w:szCs w:val="20"/>
          <w:lang w:eastAsia="pl-PL"/>
        </w:rPr>
        <w:t xml:space="preserve"> Zamawiający winien stosować się do zaleceń standardu technicznego 1/2014.</w:t>
      </w:r>
    </w:p>
    <w:p w:rsidR="00746A53" w:rsidRPr="00062681" w:rsidRDefault="00746A53" w:rsidP="00746A53">
      <w:pPr>
        <w:ind w:left="284" w:hanging="284"/>
        <w:jc w:val="both"/>
        <w:rPr>
          <w:rFonts w:ascii="Times New Roman" w:eastAsia="Times New Roman" w:hAnsi="Times New Roman" w:cs="Times New Roman"/>
          <w:i/>
          <w:iCs/>
          <w:sz w:val="20"/>
          <w:szCs w:val="20"/>
          <w:lang w:eastAsia="pl-PL"/>
        </w:rPr>
      </w:pPr>
    </w:p>
    <w:p w:rsidR="00746A53" w:rsidRPr="00062681" w:rsidRDefault="00746A53" w:rsidP="00746A53">
      <w:pPr>
        <w:ind w:left="284" w:hanging="284"/>
        <w:jc w:val="both"/>
        <w:rPr>
          <w:rFonts w:ascii="Times New Roman" w:eastAsia="Times New Roman" w:hAnsi="Times New Roman" w:cs="Times New Roman"/>
          <w:i/>
          <w:iCs/>
          <w:sz w:val="20"/>
          <w:szCs w:val="20"/>
          <w:lang w:eastAsia="pl-PL"/>
        </w:rPr>
      </w:pPr>
      <w:r w:rsidRPr="00062681">
        <w:rPr>
          <w:rFonts w:ascii="Times New Roman" w:eastAsia="Times New Roman" w:hAnsi="Times New Roman" w:cs="Times New Roman"/>
          <w:i/>
          <w:iCs/>
          <w:sz w:val="20"/>
          <w:szCs w:val="20"/>
          <w:lang w:eastAsia="pl-PL"/>
        </w:rPr>
        <w:lastRenderedPageBreak/>
        <w:t>[…] FW – Zabezpieczenie przedlicznikowe (zabezpieczenie WLZ) stanowi:</w:t>
      </w:r>
    </w:p>
    <w:p w:rsidR="00746A53" w:rsidRPr="00062681" w:rsidRDefault="00746A53" w:rsidP="00746A53">
      <w:pPr>
        <w:ind w:left="284" w:hanging="284"/>
        <w:jc w:val="both"/>
        <w:rPr>
          <w:rFonts w:ascii="Times New Roman" w:eastAsia="Times New Roman" w:hAnsi="Times New Roman" w:cs="Times New Roman"/>
          <w:i/>
          <w:iCs/>
          <w:sz w:val="20"/>
          <w:szCs w:val="20"/>
          <w:lang w:eastAsia="pl-PL"/>
        </w:rPr>
      </w:pPr>
    </w:p>
    <w:p w:rsidR="00746A53" w:rsidRPr="00062681" w:rsidRDefault="00746A53" w:rsidP="00746A53">
      <w:pPr>
        <w:ind w:left="284" w:hanging="284"/>
        <w:jc w:val="both"/>
        <w:rPr>
          <w:rFonts w:ascii="Times New Roman" w:eastAsia="Times New Roman" w:hAnsi="Times New Roman" w:cs="Times New Roman"/>
          <w:i/>
          <w:iCs/>
          <w:sz w:val="20"/>
          <w:szCs w:val="20"/>
          <w:lang w:eastAsia="pl-PL"/>
        </w:rPr>
      </w:pPr>
      <w:r w:rsidRPr="00062681">
        <w:rPr>
          <w:rFonts w:ascii="Times New Roman" w:eastAsia="Times New Roman" w:hAnsi="Times New Roman" w:cs="Times New Roman"/>
          <w:i/>
          <w:iCs/>
          <w:sz w:val="20"/>
          <w:szCs w:val="20"/>
          <w:lang w:eastAsia="pl-PL"/>
        </w:rPr>
        <w:t>Przy bezpośrednim pomiarze energii i poborze prądu nie większym od 63 A – rozłącznik bezpiecznikowy skrzynkowy wielkości „00” 160 A, przystosowany do plombowania,</w:t>
      </w:r>
    </w:p>
    <w:p w:rsidR="00746A53" w:rsidRPr="00062681" w:rsidRDefault="00746A53" w:rsidP="00746A53">
      <w:pPr>
        <w:ind w:left="284" w:hanging="284"/>
        <w:jc w:val="both"/>
        <w:rPr>
          <w:rFonts w:ascii="Times New Roman" w:eastAsia="Times New Roman" w:hAnsi="Times New Roman" w:cs="Times New Roman"/>
          <w:i/>
          <w:iCs/>
          <w:sz w:val="20"/>
          <w:szCs w:val="20"/>
          <w:lang w:eastAsia="pl-PL"/>
        </w:rPr>
      </w:pPr>
      <w:r w:rsidRPr="00062681">
        <w:rPr>
          <w:rFonts w:ascii="Times New Roman" w:eastAsia="Times New Roman" w:hAnsi="Times New Roman" w:cs="Times New Roman"/>
          <w:i/>
          <w:iCs/>
          <w:sz w:val="20"/>
          <w:szCs w:val="20"/>
          <w:lang w:eastAsia="pl-PL"/>
        </w:rPr>
        <w:t>zabudowany w części pomiarowej zestawu.</w:t>
      </w:r>
    </w:p>
    <w:p w:rsidR="00746A53" w:rsidRPr="00062681" w:rsidRDefault="00746A53" w:rsidP="00746A53">
      <w:pPr>
        <w:ind w:left="284" w:hanging="284"/>
        <w:jc w:val="both"/>
        <w:rPr>
          <w:rFonts w:ascii="Times New Roman" w:eastAsia="Times New Roman" w:hAnsi="Times New Roman" w:cs="Times New Roman"/>
          <w:i/>
          <w:iCs/>
          <w:sz w:val="20"/>
          <w:szCs w:val="20"/>
          <w:lang w:eastAsia="pl-PL"/>
        </w:rPr>
      </w:pPr>
      <w:r w:rsidRPr="00062681">
        <w:rPr>
          <w:rFonts w:ascii="Times New Roman" w:eastAsia="Times New Roman" w:hAnsi="Times New Roman" w:cs="Times New Roman"/>
          <w:i/>
          <w:iCs/>
          <w:sz w:val="20"/>
          <w:szCs w:val="20"/>
          <w:lang w:eastAsia="pl-PL"/>
        </w:rPr>
        <w:t>Z uwagi na zachowanie selektywnego działania zabezpieczenia nadprądowego FW w stosunku do zabezpieczeń nadprądowych w instalacji Odbiorcy, zaleca się stosować wkładki topikowe „gG” o wartościach: min. 50 A dla mocy przyłączeniowej do 20,5 kW (32 A) i min. 80A dla mocy przyłączeniowej większej niż 20,5 kW (32 A) i nie większej niż 40 kW (63 A).</w:t>
      </w:r>
    </w:p>
    <w:p w:rsidR="00746A53" w:rsidRPr="00062681" w:rsidRDefault="00746A53" w:rsidP="00746A53">
      <w:pPr>
        <w:ind w:left="284" w:hanging="284"/>
        <w:jc w:val="both"/>
        <w:rPr>
          <w:rFonts w:ascii="Times New Roman" w:eastAsia="Times New Roman" w:hAnsi="Times New Roman" w:cs="Times New Roman"/>
          <w:i/>
          <w:iCs/>
          <w:sz w:val="20"/>
          <w:szCs w:val="20"/>
          <w:lang w:eastAsia="pl-PL"/>
        </w:rPr>
      </w:pPr>
      <w:r w:rsidRPr="00062681">
        <w:rPr>
          <w:rFonts w:ascii="Times New Roman" w:eastAsia="Times New Roman" w:hAnsi="Times New Roman" w:cs="Times New Roman"/>
          <w:i/>
          <w:iCs/>
          <w:sz w:val="20"/>
          <w:szCs w:val="20"/>
          <w:lang w:eastAsia="pl-PL"/>
        </w:rPr>
        <w:t>Ostateczny dobór ww. wkładek topikowych powinien być dokonany przez projektanta z uwzględnieniem parametrów elektrycznych rozpatrywanej sieci nN i wymaganej przepisami ochrony przed porażeniem.</w:t>
      </w:r>
    </w:p>
    <w:p w:rsidR="00746A53" w:rsidRPr="00062681" w:rsidRDefault="00746A53" w:rsidP="00746A53">
      <w:pPr>
        <w:ind w:left="284" w:hanging="284"/>
        <w:jc w:val="both"/>
        <w:rPr>
          <w:rFonts w:ascii="Times New Roman" w:eastAsia="Times New Roman" w:hAnsi="Times New Roman" w:cs="Times New Roman"/>
          <w:i/>
          <w:iCs/>
          <w:sz w:val="20"/>
          <w:szCs w:val="20"/>
          <w:lang w:eastAsia="pl-PL"/>
        </w:rPr>
      </w:pPr>
      <w:r w:rsidRPr="00062681">
        <w:rPr>
          <w:rFonts w:ascii="Times New Roman" w:eastAsia="Times New Roman" w:hAnsi="Times New Roman" w:cs="Times New Roman"/>
          <w:i/>
          <w:iCs/>
          <w:sz w:val="20"/>
          <w:szCs w:val="20"/>
          <w:lang w:eastAsia="pl-PL"/>
        </w:rPr>
        <w:t>Jeżeli z obliczeń będą wynikały inne wartości wkładek topikowych niż wyżej zalecane, wówczas należy przyjąć prąd znamionowy wkładek wynikający z tych obliczeń […]</w:t>
      </w:r>
    </w:p>
    <w:p w:rsidR="00746A53" w:rsidRPr="00062681" w:rsidRDefault="00746A53" w:rsidP="00746A53">
      <w:pPr>
        <w:ind w:left="284" w:hanging="284"/>
        <w:jc w:val="both"/>
        <w:rPr>
          <w:rFonts w:ascii="Times New Roman" w:eastAsia="Times New Roman" w:hAnsi="Times New Roman" w:cs="Times New Roman"/>
          <w:i/>
          <w:iCs/>
          <w:sz w:val="20"/>
          <w:szCs w:val="20"/>
          <w:lang w:eastAsia="pl-PL"/>
        </w:rPr>
      </w:pPr>
    </w:p>
    <w:p w:rsidR="00746A53" w:rsidRPr="00062681" w:rsidRDefault="00746A53"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sz w:val="20"/>
          <w:szCs w:val="20"/>
          <w:lang w:eastAsia="pl-PL"/>
        </w:rPr>
        <w:t>Odpowiednie zmiany zostaną opublikowane w zmodyfikowanym załączniku nr 1.</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DB7C2A"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13.</w:t>
      </w:r>
      <w:r w:rsidR="00746A53" w:rsidRPr="00062681">
        <w:rPr>
          <w:rFonts w:ascii="Times New Roman" w:eastAsia="Times New Roman" w:hAnsi="Times New Roman" w:cs="Times New Roman"/>
          <w:sz w:val="20"/>
          <w:szCs w:val="20"/>
          <w:lang w:eastAsia="pl-PL"/>
        </w:rPr>
        <w:t xml:space="preserve"> W punkcie 10.3 – część b) napisali państwo, że należy zabudować zegar sterujący z synchronizacją GPS i modemem do transmisji GPRS. Proszę o wyjaśnienie czy Zamawiający posiada system sterowania oświetleniem. Jeżeli tak to jaki to jest system. Jeżeli nie to w jakim celu zegar sterujący ma posiadać taką funkcję? </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746A53" w:rsidP="00746A53">
      <w:pPr>
        <w:ind w:left="284" w:hanging="284"/>
        <w:jc w:val="both"/>
        <w:rPr>
          <w:rFonts w:ascii="Times New Roman" w:eastAsia="Times New Roman" w:hAnsi="Times New Roman" w:cs="Times New Roman"/>
          <w:i/>
          <w:iCs/>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sz w:val="20"/>
          <w:szCs w:val="20"/>
          <w:lang w:eastAsia="pl-PL"/>
        </w:rPr>
        <w:t xml:space="preserve"> Zamawiający rezygnuje z zegarów z modemem GPRS. Odpowiednie zmiany zostaną opublikowane w zmodyfikowanym załączniku nr 1</w:t>
      </w:r>
      <w:r w:rsidRPr="00062681">
        <w:rPr>
          <w:rFonts w:ascii="Times New Roman" w:eastAsia="Times New Roman" w:hAnsi="Times New Roman" w:cs="Times New Roman"/>
          <w:i/>
          <w:iCs/>
          <w:sz w:val="20"/>
          <w:szCs w:val="20"/>
          <w:lang w:eastAsia="pl-PL"/>
        </w:rPr>
        <w:t xml:space="preserve">: </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DB7C2A"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14.</w:t>
      </w:r>
      <w:r w:rsidR="00746A53" w:rsidRPr="00062681">
        <w:rPr>
          <w:rFonts w:ascii="Times New Roman" w:eastAsia="Times New Roman" w:hAnsi="Times New Roman" w:cs="Times New Roman"/>
          <w:sz w:val="20"/>
          <w:szCs w:val="20"/>
          <w:lang w:eastAsia="pl-PL"/>
        </w:rPr>
        <w:t xml:space="preserve"> Czy Zamawiający wymaga, aby system sterowania oświetleniem działał grupowo (na całe obwody), czy może ma umożliwiać sterowanie poszczególnymi oprawami? Zgodnie z wymaganiami oprawy mają być wyposażone w gniazda systemowe. </w:t>
      </w:r>
    </w:p>
    <w:p w:rsidR="00746A53" w:rsidRPr="00062681" w:rsidRDefault="00746A53" w:rsidP="00746A53">
      <w:pPr>
        <w:ind w:left="284" w:hanging="284"/>
        <w:jc w:val="both"/>
        <w:rPr>
          <w:rFonts w:ascii="Times New Roman" w:eastAsia="Times New Roman" w:hAnsi="Times New Roman" w:cs="Times New Roman"/>
          <w:i/>
          <w:iCs/>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sz w:val="20"/>
          <w:szCs w:val="20"/>
          <w:lang w:eastAsia="pl-PL"/>
        </w:rPr>
        <w:t xml:space="preserve"> Zamawiający nie wymaga w tym zadaniu dostarczenia i uruchomienia systemu sterowania. Oprawy mają być wyposażone w zasilacze pozwalające na autonomiczną zmianę poziomów strumienia świetlnego (zaprogramowaną przed instalacją) oraz winne być wyposażone w standaryzowane gniazda (NEMA lub Zhaga) pozwalające na późniejsze zaimplementowanie systemu sterowania.</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DB7C2A" w:rsidP="00886605">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15.</w:t>
      </w:r>
      <w:r w:rsidR="00746A53" w:rsidRPr="00062681">
        <w:rPr>
          <w:rFonts w:ascii="Times New Roman" w:eastAsia="Times New Roman" w:hAnsi="Times New Roman" w:cs="Times New Roman"/>
          <w:sz w:val="20"/>
          <w:szCs w:val="20"/>
          <w:lang w:eastAsia="pl-PL"/>
        </w:rPr>
        <w:t xml:space="preserve"> Czy zgodnie z zapisem o zabezpieczeniu przeciwprzepięciowym Wykonawca zobowiązany jest wykonać uziom dla tego zabezpieczenia przy każdej szafie licznikowo - sterującej?</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sz w:val="20"/>
          <w:szCs w:val="20"/>
          <w:lang w:eastAsia="pl-PL"/>
        </w:rPr>
        <w:t xml:space="preserve"> Tak</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DB7C2A" w:rsidP="00886605">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16.</w:t>
      </w:r>
      <w:r w:rsidR="00746A53" w:rsidRPr="00062681">
        <w:rPr>
          <w:rFonts w:ascii="Times New Roman" w:eastAsia="Times New Roman" w:hAnsi="Times New Roman" w:cs="Times New Roman"/>
          <w:sz w:val="20"/>
          <w:szCs w:val="20"/>
          <w:lang w:eastAsia="pl-PL"/>
        </w:rPr>
        <w:t xml:space="preserve"> Czy zamawiający dopuszcza zabudowę szafy oświetlenia na sąsiednim słupie nN (zmianę lokalizacji licznika o jedno przęsło)?</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b/>
          <w:sz w:val="20"/>
          <w:szCs w:val="20"/>
          <w:lang w:eastAsia="pl-PL"/>
        </w:rPr>
        <w:t xml:space="preserve"> </w:t>
      </w:r>
      <w:r w:rsidRPr="00062681">
        <w:rPr>
          <w:rFonts w:ascii="Times New Roman" w:eastAsia="Times New Roman" w:hAnsi="Times New Roman" w:cs="Times New Roman"/>
          <w:sz w:val="20"/>
          <w:szCs w:val="20"/>
          <w:lang w:eastAsia="pl-PL"/>
        </w:rPr>
        <w:t>Zamawiający nie dopuszcza zmiany lokalizacji układów pomiarowych. Szafy sterujące winny znajdować się w torze prądowym za układem pomiarowym np. obok lub na stacji w wyodrębnionej szafce.</w:t>
      </w:r>
    </w:p>
    <w:p w:rsidR="00746A53" w:rsidRPr="00062681" w:rsidRDefault="00746A53" w:rsidP="00746A53">
      <w:pPr>
        <w:ind w:left="284" w:hanging="284"/>
        <w:jc w:val="both"/>
        <w:rPr>
          <w:rFonts w:ascii="Times New Roman" w:eastAsia="Times New Roman" w:hAnsi="Times New Roman" w:cs="Times New Roman"/>
          <w:i/>
          <w:iCs/>
          <w:sz w:val="20"/>
          <w:szCs w:val="20"/>
          <w:lang w:eastAsia="pl-PL"/>
        </w:rPr>
      </w:pPr>
    </w:p>
    <w:p w:rsidR="00746A53" w:rsidRPr="00062681" w:rsidRDefault="00DB7C2A" w:rsidP="00886605">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17.</w:t>
      </w:r>
      <w:r w:rsidR="00746A53" w:rsidRPr="00062681">
        <w:rPr>
          <w:rFonts w:ascii="Times New Roman" w:eastAsia="Times New Roman" w:hAnsi="Times New Roman" w:cs="Times New Roman"/>
          <w:b/>
          <w:sz w:val="20"/>
          <w:szCs w:val="20"/>
          <w:lang w:eastAsia="pl-PL"/>
        </w:rPr>
        <w:t xml:space="preserve"> </w:t>
      </w:r>
      <w:r w:rsidR="00746A53" w:rsidRPr="00062681">
        <w:rPr>
          <w:rFonts w:ascii="Times New Roman" w:eastAsia="Times New Roman" w:hAnsi="Times New Roman" w:cs="Times New Roman"/>
          <w:sz w:val="20"/>
          <w:szCs w:val="20"/>
          <w:lang w:eastAsia="pl-PL"/>
        </w:rPr>
        <w:t>Czy Zamawiający dostarczy lub Wykonawca ma zapewnić karty SIM dla przedmiotowych zegarów sterujących?</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sz w:val="20"/>
          <w:szCs w:val="20"/>
          <w:lang w:eastAsia="pl-PL"/>
        </w:rPr>
        <w:t xml:space="preserve"> Zamawiający rezygnuje z zegarów z modemem GPRS i dostarczanie kart SIM staje się w takiej sytuacji bezprzedmiotowe.</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DB7C2A" w:rsidP="00886605">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18.</w:t>
      </w:r>
      <w:r w:rsidR="00746A53" w:rsidRPr="00062681">
        <w:rPr>
          <w:rFonts w:ascii="Times New Roman" w:eastAsia="Times New Roman" w:hAnsi="Times New Roman" w:cs="Times New Roman"/>
          <w:sz w:val="20"/>
          <w:szCs w:val="20"/>
          <w:lang w:eastAsia="pl-PL"/>
        </w:rPr>
        <w:t xml:space="preserve"> Wysięgniki. Napisali państwo, że zastosowane wysięgniki mają być anodyzowane. Czy dopuszczają państwo wysięgniki ocynkowane, czyli standardowe wysięgniki dla oświetlenia na słupach napowietrznych?</w:t>
      </w:r>
    </w:p>
    <w:p w:rsidR="00746A53" w:rsidRPr="00062681" w:rsidRDefault="00746A53" w:rsidP="00746A53">
      <w:pPr>
        <w:ind w:left="284" w:hanging="284"/>
        <w:jc w:val="both"/>
        <w:rPr>
          <w:rFonts w:ascii="Times New Roman" w:eastAsia="Times New Roman" w:hAnsi="Times New Roman" w:cs="Times New Roman"/>
          <w:i/>
          <w:iCs/>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sz w:val="20"/>
          <w:szCs w:val="20"/>
          <w:lang w:eastAsia="pl-PL"/>
        </w:rPr>
        <w:t xml:space="preserve"> Zamawiający rezygnuje z anodyzowanych wysięgników. Wykonawca winien wycenić wysięgnik stalowy ocynkowany. Odpowiednie zmiany zostaną opublikowane w zmodyfikowanym załączniku nr 1</w:t>
      </w:r>
      <w:r w:rsidRPr="00062681">
        <w:rPr>
          <w:rFonts w:ascii="Times New Roman" w:eastAsia="Times New Roman" w:hAnsi="Times New Roman" w:cs="Times New Roman"/>
          <w:i/>
          <w:iCs/>
          <w:sz w:val="20"/>
          <w:szCs w:val="20"/>
          <w:lang w:eastAsia="pl-PL"/>
        </w:rPr>
        <w:t xml:space="preserve">. </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DB7C2A" w:rsidP="00886605">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19.</w:t>
      </w:r>
      <w:r w:rsidR="00746A53" w:rsidRPr="00062681">
        <w:rPr>
          <w:rFonts w:ascii="Times New Roman" w:eastAsia="Times New Roman" w:hAnsi="Times New Roman" w:cs="Times New Roman"/>
          <w:sz w:val="20"/>
          <w:szCs w:val="20"/>
          <w:lang w:eastAsia="pl-PL"/>
        </w:rPr>
        <w:t xml:space="preserve"> Czy dopuszczają państwo stosowanie gniazd bezpiecznikowych zintegrowanych np. BNO-1 / Biwts?</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sz w:val="20"/>
          <w:szCs w:val="20"/>
          <w:lang w:eastAsia="pl-PL"/>
        </w:rPr>
        <w:t xml:space="preserve"> Jest to zagadnienie do ustalenia z TAURON w ramach uzgodnienia projektu wykonawczego.</w:t>
      </w:r>
    </w:p>
    <w:p w:rsidR="00746A53" w:rsidRPr="00062681" w:rsidRDefault="00746A53" w:rsidP="00886605">
      <w:pPr>
        <w:jc w:val="both"/>
        <w:rPr>
          <w:rFonts w:ascii="Times New Roman" w:eastAsia="Times New Roman" w:hAnsi="Times New Roman" w:cs="Times New Roman"/>
          <w:sz w:val="20"/>
          <w:szCs w:val="20"/>
          <w:lang w:eastAsia="pl-PL"/>
        </w:rPr>
      </w:pPr>
    </w:p>
    <w:p w:rsidR="00746A53" w:rsidRPr="00062681" w:rsidRDefault="00DB7C2A" w:rsidP="00886605">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20.</w:t>
      </w:r>
      <w:r w:rsidR="00746A53" w:rsidRPr="00062681">
        <w:rPr>
          <w:rFonts w:ascii="Times New Roman" w:eastAsia="Times New Roman" w:hAnsi="Times New Roman" w:cs="Times New Roman"/>
          <w:sz w:val="20"/>
          <w:szCs w:val="20"/>
          <w:lang w:eastAsia="pl-PL"/>
        </w:rPr>
        <w:t xml:space="preserve"> Skoro układ kompensacji mocy biernej ma być statyczny bez automatyki, to czy ma być on wykonany tak aby niezależnie od trybu pracy (z redukcją mocy lub bez) współczynnik mocy biernej indukcyjnej mieścił się w wymaganym przedziale (jedno ustawienie kompensatora dla dwóch trybów pracy)?</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sz w:val="20"/>
          <w:szCs w:val="20"/>
          <w:lang w:eastAsia="pl-PL"/>
        </w:rPr>
        <w:t xml:space="preserve"> Tak</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DB7C2A"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21.</w:t>
      </w:r>
      <w:r w:rsidR="00746A53" w:rsidRPr="00062681">
        <w:rPr>
          <w:rFonts w:ascii="Times New Roman" w:eastAsia="Times New Roman" w:hAnsi="Times New Roman" w:cs="Times New Roman"/>
          <w:sz w:val="20"/>
          <w:szCs w:val="20"/>
          <w:lang w:eastAsia="pl-PL"/>
        </w:rPr>
        <w:t xml:space="preserve"> Napisali państwo „…z możliwością zmiany parametrów kompensacji w przypadku zmiany obciążenia pojemnościowego…" Na czym ma polegać zmiana parametrów kompensacji i czym jest zmiana obciążenia pojemnościowego? Czy Zamawiający poda wartości tych zmian?</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lastRenderedPageBreak/>
        <w:t>Odpowiedź:</w:t>
      </w:r>
      <w:r w:rsidRPr="00062681">
        <w:rPr>
          <w:rFonts w:ascii="Times New Roman" w:eastAsia="Times New Roman" w:hAnsi="Times New Roman" w:cs="Times New Roman"/>
          <w:sz w:val="20"/>
          <w:szCs w:val="20"/>
          <w:lang w:eastAsia="pl-PL"/>
        </w:rPr>
        <w:t xml:space="preserve"> Zamawiający nie zna wartości zmian obciążenia. Należy przewidzieć w układach kompensacyjnych zmianę indukcyjności (dławiki z kilkoma odczepami) na okoliczność np. rozbudowy obwodów oświetleniowych.</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DB7C2A" w:rsidP="00886605">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22.</w:t>
      </w:r>
      <w:r w:rsidR="00746A53" w:rsidRPr="00062681">
        <w:rPr>
          <w:rFonts w:ascii="Times New Roman" w:eastAsia="Times New Roman" w:hAnsi="Times New Roman" w:cs="Times New Roman"/>
          <w:sz w:val="20"/>
          <w:szCs w:val="20"/>
          <w:lang w:eastAsia="pl-PL"/>
        </w:rPr>
        <w:t xml:space="preserve"> W punkcie kompensacji mocy biernej (pkt 10.5) Zamawiający wskazał „…Kompensacja energii biernej musi zostać dokonana bezwzględnie (niezależnie od kompensacji mocy biernej w oprawach) do poziomu określonego przez warunki przyłączeniowe…" Czy Zamawiający wymaga, aby stosowane oprawy były wyposażone w układy kompensacyjne?</w:t>
      </w:r>
    </w:p>
    <w:p w:rsidR="00746A53" w:rsidRPr="00062681" w:rsidRDefault="00746A53" w:rsidP="00746A53">
      <w:pPr>
        <w:ind w:left="284" w:hanging="284"/>
        <w:jc w:val="both"/>
        <w:rPr>
          <w:rFonts w:ascii="Times New Roman" w:eastAsia="Times New Roman" w:hAnsi="Times New Roman" w:cs="Times New Roman"/>
          <w:i/>
          <w:iCs/>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sz w:val="20"/>
          <w:szCs w:val="20"/>
          <w:lang w:eastAsia="pl-PL"/>
        </w:rPr>
        <w:t xml:space="preserve"> Zamawiający nie wymaga zastosowania układów kompensacyjnych w oprawach oświetleniowych. Oprawy winny spełniać warunki dotyczące współczynnika mocy zgodnie z tabelą nr 5 załącznika nr 1 do SWZ. </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DB7C2A" w:rsidP="00886605">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23.</w:t>
      </w:r>
      <w:r w:rsidR="00746A53" w:rsidRPr="00062681">
        <w:rPr>
          <w:rFonts w:ascii="Times New Roman" w:eastAsia="Times New Roman" w:hAnsi="Times New Roman" w:cs="Times New Roman"/>
          <w:sz w:val="20"/>
          <w:szCs w:val="20"/>
          <w:lang w:eastAsia="pl-PL"/>
        </w:rPr>
        <w:t xml:space="preserve"> W punkcie kompensacji mocy biernej (pkt 10.5) Zamawiający wskazał dla mocy biernej indukcyjnej maksymalnie 0,2 &lt;tgϕ ≤ 0,4 oraz bez mocy biernej pojemnościowej bez żadnej tolerancji (PF=1,00). Wskazane wartości w tym punkcie wzajemnie się wykluczają.</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Odpowiedź: </w:t>
      </w:r>
      <w:r w:rsidRPr="00062681">
        <w:rPr>
          <w:rFonts w:ascii="Times New Roman" w:eastAsia="Times New Roman" w:hAnsi="Times New Roman" w:cs="Times New Roman"/>
          <w:sz w:val="20"/>
          <w:szCs w:val="20"/>
          <w:lang w:eastAsia="pl-PL"/>
        </w:rPr>
        <w:t>Układ kompensacji winien w całym zakresie redukcji spełniać warunki określone w taryfach dystrybucyjnych URE, tj. 0,2 &lt; tgφ &lt; 0,4 oraz bez mocy biernej pojemnościowej tgφ φ &gt; 0.</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C24255" w:rsidP="00886605">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24.</w:t>
      </w:r>
      <w:r w:rsidR="00746A53" w:rsidRPr="00062681">
        <w:rPr>
          <w:rFonts w:ascii="Times New Roman" w:eastAsia="Times New Roman" w:hAnsi="Times New Roman" w:cs="Times New Roman"/>
          <w:sz w:val="20"/>
          <w:szCs w:val="20"/>
          <w:lang w:eastAsia="pl-PL"/>
        </w:rPr>
        <w:t xml:space="preserve"> Jaki stosunek mocy biernej indukcyjnej do mocy czynnej Zamawiający akceptuje? W pkt 10.3 wskazano inną wartość niż w pkt 10.5.</w:t>
      </w:r>
    </w:p>
    <w:p w:rsidR="00746A53" w:rsidRPr="00062681" w:rsidRDefault="00746A53" w:rsidP="00746A53">
      <w:pPr>
        <w:ind w:left="284" w:hanging="284"/>
        <w:jc w:val="both"/>
        <w:rPr>
          <w:rFonts w:ascii="Times New Roman" w:eastAsia="Times New Roman" w:hAnsi="Times New Roman" w:cs="Times New Roman"/>
          <w:i/>
          <w:iCs/>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b/>
          <w:sz w:val="20"/>
          <w:szCs w:val="20"/>
          <w:lang w:eastAsia="pl-PL"/>
        </w:rPr>
        <w:t xml:space="preserve"> </w:t>
      </w:r>
      <w:r w:rsidRPr="00062681">
        <w:rPr>
          <w:rFonts w:ascii="Times New Roman" w:eastAsia="Times New Roman" w:hAnsi="Times New Roman" w:cs="Times New Roman"/>
          <w:sz w:val="20"/>
          <w:szCs w:val="20"/>
          <w:lang w:eastAsia="pl-PL"/>
        </w:rPr>
        <w:t>Zamawiający zaakceptuje warunki określone w taryfach dystrybucyjnych URE, tj. 0,2 &lt; tgφ &lt; 0,4</w:t>
      </w:r>
      <w:r w:rsidRPr="00062681">
        <w:rPr>
          <w:rFonts w:ascii="Times New Roman" w:eastAsia="Times New Roman" w:hAnsi="Times New Roman" w:cs="Times New Roman"/>
          <w:i/>
          <w:iCs/>
          <w:sz w:val="20"/>
          <w:szCs w:val="20"/>
          <w:lang w:eastAsia="pl-PL"/>
        </w:rPr>
        <w:t>?</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C24255" w:rsidP="00886605">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25.</w:t>
      </w:r>
      <w:r w:rsidR="00746A53" w:rsidRPr="00062681">
        <w:rPr>
          <w:rFonts w:ascii="Times New Roman" w:eastAsia="Times New Roman" w:hAnsi="Times New Roman" w:cs="Times New Roman"/>
          <w:sz w:val="20"/>
          <w:szCs w:val="20"/>
          <w:lang w:eastAsia="pl-PL"/>
        </w:rPr>
        <w:t xml:space="preserve"> „…Wykonawca odpowiada za utrzymanie oświetlenia ulicznego w ruchu tj. prawidłowe jego działanie od przekazania terenu wykonywania prac dotyczących instalacji przedmiotu dostawy do odbioru końcowego…" Czy zapis ten oznacza, że od momentu przekazania terenu Wykonawca odpowiada / utrzymuje całość oświetlenia w Gminie Biały Dunajec?</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sz w:val="20"/>
          <w:szCs w:val="20"/>
          <w:lang w:eastAsia="pl-PL"/>
        </w:rPr>
        <w:t xml:space="preserve"> Tak. Wykonawca od momentu przekazania terenu Wykonawca odpowiada / utrzymuje całość oświetlenia w Gminie Biały Dunajec.</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C24255"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26.</w:t>
      </w:r>
      <w:r w:rsidR="00746A53" w:rsidRPr="00062681">
        <w:rPr>
          <w:rFonts w:ascii="Times New Roman" w:eastAsia="Times New Roman" w:hAnsi="Times New Roman" w:cs="Times New Roman"/>
          <w:sz w:val="20"/>
          <w:szCs w:val="20"/>
          <w:lang w:eastAsia="pl-PL"/>
        </w:rPr>
        <w:t xml:space="preserve"> W której pozycji wykonawca ma ująć koszty związane z utrzymaniem oświetlenia / Konserwacją?</w:t>
      </w:r>
    </w:p>
    <w:p w:rsidR="00746A53" w:rsidRPr="00062681" w:rsidRDefault="00746A53" w:rsidP="00746A53">
      <w:pPr>
        <w:ind w:left="284" w:hanging="284"/>
        <w:jc w:val="both"/>
        <w:rPr>
          <w:rFonts w:ascii="Times New Roman" w:eastAsia="Times New Roman" w:hAnsi="Times New Roman" w:cs="Times New Roman"/>
          <w:i/>
          <w:iCs/>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sz w:val="20"/>
          <w:szCs w:val="20"/>
          <w:lang w:eastAsia="pl-PL"/>
        </w:rPr>
        <w:t xml:space="preserve"> W dowolnej (najlepiej do ceny jednostkowej oprawy) doliczając do zryczałtowanej stawki jednostkowej np. oprawy.</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C24255" w:rsidP="00886605">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27.</w:t>
      </w:r>
      <w:r w:rsidR="00746A53" w:rsidRPr="00062681">
        <w:rPr>
          <w:rFonts w:ascii="Times New Roman" w:eastAsia="Times New Roman" w:hAnsi="Times New Roman" w:cs="Times New Roman"/>
          <w:sz w:val="20"/>
          <w:szCs w:val="20"/>
          <w:lang w:eastAsia="pl-PL"/>
        </w:rPr>
        <w:t xml:space="preserve"> Jakie warunki ma spełnić Wykonawca w ramach utrzymania oświetlenia? Jaki ma być jego czas reakcji? Jakie materiały ma zapewnić Wykonawca, a jakie zostaną mu powierzone? W jaki sposób będą rozliczane prace wykonane przez Wykonawcę na obwodach, które nie zostały jeszcze zmodernizowane? </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sz w:val="20"/>
          <w:szCs w:val="20"/>
          <w:lang w:eastAsia="pl-PL"/>
        </w:rPr>
        <w:t xml:space="preserve"> Czas reakcji 24h. Rozliczenia kosztów ewentualnych napraw wg stawki aktualnie ponoszonej przez Zamawiającego na rzecz obecnego konserwatora.</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p>
    <w:p w:rsidR="00746A53" w:rsidRPr="00062681" w:rsidRDefault="00C24255" w:rsidP="00886605">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 xml:space="preserve">Pytanie nr </w:t>
      </w:r>
      <w:r w:rsidR="00746A53" w:rsidRPr="00062681">
        <w:rPr>
          <w:rFonts w:ascii="Times New Roman" w:eastAsia="Times New Roman" w:hAnsi="Times New Roman" w:cs="Times New Roman"/>
          <w:b/>
          <w:sz w:val="20"/>
          <w:szCs w:val="20"/>
          <w:highlight w:val="lightGray"/>
          <w:lang w:eastAsia="pl-PL"/>
        </w:rPr>
        <w:t>28.</w:t>
      </w:r>
      <w:r w:rsidR="00746A53" w:rsidRPr="00062681">
        <w:rPr>
          <w:rFonts w:ascii="Times New Roman" w:eastAsia="Times New Roman" w:hAnsi="Times New Roman" w:cs="Times New Roman"/>
          <w:sz w:val="20"/>
          <w:szCs w:val="20"/>
          <w:lang w:eastAsia="pl-PL"/>
        </w:rPr>
        <w:t xml:space="preserve"> „…Materiały i oprawy oświetleniowe, z demontażu których własnością jest Tauron Dystrybucja przekazać do właściwego Rejonu Energetycznego..." czy Zamawiający posiada zestawienie wskazujące, które oprawy oświetlenia należą do Tauron Dystrybucja S.A.?</w:t>
      </w:r>
    </w:p>
    <w:p w:rsidR="00746A53" w:rsidRPr="00062681" w:rsidRDefault="00746A53" w:rsidP="00746A53">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rFonts w:ascii="Times New Roman" w:eastAsia="Times New Roman" w:hAnsi="Times New Roman" w:cs="Times New Roman"/>
          <w:sz w:val="20"/>
          <w:szCs w:val="20"/>
          <w:lang w:eastAsia="pl-PL"/>
        </w:rPr>
        <w:t xml:space="preserve"> Te informacje znajdują się w inwentaryzacji oświetlenia na terenie Gminy Biały Dunajec. W dniu podpisania umowy zostanie przekazana dokumentacja zawierająca inwentaryzację oświetlenia ulicznego</w:t>
      </w:r>
    </w:p>
    <w:p w:rsidR="00BC4075" w:rsidRPr="00062681" w:rsidRDefault="00BC4075" w:rsidP="00746A53">
      <w:pPr>
        <w:ind w:left="284" w:hanging="284"/>
        <w:jc w:val="both"/>
        <w:rPr>
          <w:rFonts w:ascii="Times New Roman" w:eastAsia="Times New Roman" w:hAnsi="Times New Roman" w:cs="Times New Roman"/>
          <w:sz w:val="20"/>
          <w:szCs w:val="20"/>
          <w:lang w:eastAsia="pl-PL"/>
        </w:rPr>
      </w:pPr>
    </w:p>
    <w:p w:rsidR="00BC4075" w:rsidRPr="00062681" w:rsidRDefault="00BC4075" w:rsidP="00746A53">
      <w:pPr>
        <w:ind w:left="284" w:hanging="284"/>
        <w:jc w:val="both"/>
        <w:rPr>
          <w:rFonts w:ascii="Times New Roman" w:eastAsia="Times New Roman" w:hAnsi="Times New Roman" w:cs="Times New Roman"/>
          <w:sz w:val="20"/>
          <w:szCs w:val="20"/>
          <w:lang w:eastAsia="pl-PL"/>
        </w:rPr>
      </w:pPr>
    </w:p>
    <w:p w:rsidR="00BC4075" w:rsidRPr="00062681" w:rsidRDefault="00BC4075" w:rsidP="00BC4075">
      <w:pPr>
        <w:widowControl w:val="0"/>
        <w:spacing w:line="360" w:lineRule="auto"/>
        <w:ind w:hanging="284"/>
        <w:rPr>
          <w:rFonts w:ascii="Arial" w:hAnsi="Arial" w:cs="Arial"/>
          <w:b/>
          <w:sz w:val="20"/>
          <w:szCs w:val="20"/>
          <w:u w:val="single"/>
        </w:rPr>
      </w:pPr>
      <w:r w:rsidRPr="00062681">
        <w:rPr>
          <w:rFonts w:ascii="Arial" w:hAnsi="Arial" w:cs="Arial"/>
          <w:b/>
          <w:sz w:val="20"/>
          <w:szCs w:val="20"/>
          <w:u w:val="single"/>
        </w:rPr>
        <w:t>Pytanie z dnia 01.03.2023 r. wraz z odpowiedzią:</w:t>
      </w:r>
    </w:p>
    <w:p w:rsidR="00BC4075" w:rsidRPr="00062681" w:rsidRDefault="00BC4075" w:rsidP="00BC4075">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b/>
          <w:sz w:val="20"/>
          <w:szCs w:val="20"/>
          <w:highlight w:val="lightGray"/>
          <w:lang w:eastAsia="pl-PL"/>
        </w:rPr>
        <w:t>Pytanie nr 1:</w:t>
      </w:r>
      <w:r w:rsidRPr="00062681">
        <w:rPr>
          <w:sz w:val="20"/>
          <w:szCs w:val="20"/>
        </w:rPr>
        <w:t xml:space="preserve"> </w:t>
      </w:r>
      <w:r w:rsidRPr="00062681">
        <w:rPr>
          <w:rFonts w:ascii="Times New Roman" w:eastAsia="Times New Roman" w:hAnsi="Times New Roman" w:cs="Times New Roman"/>
          <w:sz w:val="20"/>
          <w:szCs w:val="20"/>
          <w:lang w:eastAsia="pl-PL"/>
        </w:rPr>
        <w:t>W nawiązaniu do postępowania pn.:"Modernizacja oświetlenia w Gminie Biały Dunajec" uprzejmie proszę o odpowiedź na poniższe pytanie:</w:t>
      </w:r>
    </w:p>
    <w:p w:rsidR="00BC4075" w:rsidRPr="00062681" w:rsidRDefault="00BC4075" w:rsidP="00BC4075">
      <w:pPr>
        <w:ind w:left="284" w:hanging="284"/>
        <w:jc w:val="both"/>
        <w:rPr>
          <w:rFonts w:ascii="Times New Roman" w:eastAsia="Times New Roman" w:hAnsi="Times New Roman" w:cs="Times New Roman"/>
          <w:sz w:val="20"/>
          <w:szCs w:val="20"/>
          <w:lang w:eastAsia="pl-PL"/>
        </w:rPr>
      </w:pPr>
      <w:r w:rsidRPr="00062681">
        <w:rPr>
          <w:rFonts w:ascii="Times New Roman" w:eastAsia="Times New Roman" w:hAnsi="Times New Roman" w:cs="Times New Roman"/>
          <w:sz w:val="20"/>
          <w:szCs w:val="20"/>
          <w:lang w:eastAsia="pl-PL"/>
        </w:rPr>
        <w:t>Czy Zamawiający dopuści wymianę na koszt Wykonawcy wysięgników (a co za tym idzie – zmianę wysokości i/lub długości wysięgnika przewidzianego do obliczeń fotometrycznych względem projektu wzorcowego z załącznika nr 1 do SWZ), w stosunku do kilku sytuacji obliczeniowych?</w:t>
      </w:r>
    </w:p>
    <w:p w:rsidR="00BC4075" w:rsidRPr="00062681" w:rsidRDefault="00BC4075" w:rsidP="00BC4075">
      <w:pPr>
        <w:ind w:left="284" w:hanging="284"/>
        <w:jc w:val="both"/>
        <w:rPr>
          <w:rFonts w:ascii="Times New Roman" w:eastAsia="Times New Roman" w:hAnsi="Times New Roman" w:cs="Times New Roman"/>
          <w:b/>
          <w:sz w:val="20"/>
          <w:szCs w:val="20"/>
          <w:lang w:eastAsia="pl-PL"/>
        </w:rPr>
      </w:pPr>
      <w:r w:rsidRPr="00062681">
        <w:rPr>
          <w:rFonts w:ascii="Times New Roman" w:eastAsia="Times New Roman" w:hAnsi="Times New Roman" w:cs="Times New Roman"/>
          <w:sz w:val="20"/>
          <w:szCs w:val="20"/>
          <w:lang w:eastAsia="pl-PL"/>
        </w:rPr>
        <w:t>Umożliwi to Wykonawcom przygotowanie obliczeń w sposób zapewniający lepsze warunki oświetleniowe przy jednoczesnym ograniczeniu mocy zastosowanych opraw, co w perspektywie przełoży się na dodatkowe oszczędności Zamawiającego. Nadto, moc zainstalowana wszystkich opraw jest kryterium punktowanym przy ocenie ofert, dlatego możliwość oszczędności dodatkowej mocy opraw pozwoli Zamawiającemu wybrać ofertę najkorzystniejszą.</w:t>
      </w:r>
    </w:p>
    <w:p w:rsidR="00BC4075" w:rsidRPr="00062681" w:rsidRDefault="00BC4075" w:rsidP="00BC4075">
      <w:pPr>
        <w:ind w:left="284" w:hanging="284"/>
        <w:jc w:val="both"/>
        <w:rPr>
          <w:rFonts w:ascii="Times New Roman" w:eastAsia="Times New Roman" w:hAnsi="Times New Roman" w:cs="Times New Roman"/>
          <w:b/>
          <w:sz w:val="20"/>
          <w:szCs w:val="20"/>
          <w:lang w:eastAsia="pl-PL"/>
        </w:rPr>
      </w:pPr>
      <w:r w:rsidRPr="00062681">
        <w:rPr>
          <w:rFonts w:ascii="Times New Roman" w:eastAsia="Times New Roman" w:hAnsi="Times New Roman" w:cs="Times New Roman"/>
          <w:b/>
          <w:sz w:val="20"/>
          <w:szCs w:val="20"/>
          <w:highlight w:val="lightGray"/>
          <w:lang w:eastAsia="pl-PL"/>
        </w:rPr>
        <w:t>Odpowiedź:</w:t>
      </w:r>
      <w:r w:rsidRPr="00062681">
        <w:rPr>
          <w:sz w:val="20"/>
          <w:szCs w:val="20"/>
        </w:rPr>
        <w:t xml:space="preserve"> </w:t>
      </w:r>
      <w:r w:rsidR="00062681" w:rsidRPr="00062681">
        <w:rPr>
          <w:rFonts w:ascii="Times New Roman" w:hAnsi="Times New Roman" w:cs="Times New Roman"/>
          <w:sz w:val="20"/>
          <w:szCs w:val="20"/>
        </w:rPr>
        <w:t>Obliczenia należy wykonać dla sytuacji oświetleniowych identycznych jak w obliczeniach referencyjnych zawartych w załączniku nr 1 (o takich samych parametrach geometrycznych drogi i położenia oprawy - z możliwością dowolnej regulacji kąta nachylenia dla opraw ulicznych). Wymóg ten umożliwia porównanie złożonych ofert w wg kryterium oceny: moc zainstalowana. Stąd obliczenia muszą być wykonane w tożsamych warunkach. Zmiana parametrów wejściowych do obliczeń spowoduje konieczność odrzucenia oferty.</w:t>
      </w:r>
    </w:p>
    <w:p w:rsidR="00C7426A" w:rsidRDefault="00C7426A" w:rsidP="00B0678E">
      <w:pPr>
        <w:suppressAutoHyphens/>
        <w:jc w:val="both"/>
        <w:rPr>
          <w:rFonts w:ascii="Arial" w:hAnsi="Arial" w:cs="Arial"/>
          <w:b/>
          <w:sz w:val="22"/>
          <w:szCs w:val="22"/>
        </w:rPr>
      </w:pPr>
    </w:p>
    <w:p w:rsidR="002B2188" w:rsidRPr="002B2188" w:rsidRDefault="002B2188" w:rsidP="00D65F7D">
      <w:pPr>
        <w:widowControl w:val="0"/>
        <w:jc w:val="both"/>
        <w:rPr>
          <w:rFonts w:ascii="Arial" w:eastAsia="Times New Roman" w:hAnsi="Arial" w:cs="Arial"/>
          <w:sz w:val="20"/>
          <w:szCs w:val="20"/>
          <w:lang w:eastAsia="pl-PL"/>
        </w:rPr>
      </w:pPr>
    </w:p>
    <w:p w:rsidR="008044EA" w:rsidRPr="002B2188" w:rsidRDefault="00B52EE3" w:rsidP="001B3818">
      <w:pPr>
        <w:widowControl w:val="0"/>
        <w:jc w:val="center"/>
        <w:rPr>
          <w:rFonts w:ascii="Arial" w:hAnsi="Arial" w:cs="Arial"/>
          <w:sz w:val="20"/>
          <w:szCs w:val="20"/>
        </w:rPr>
      </w:pPr>
      <w:r>
        <w:rPr>
          <w:rFonts w:ascii="Arial" w:hAnsi="Arial" w:cs="Arial"/>
          <w:b/>
          <w:sz w:val="20"/>
          <w:szCs w:val="20"/>
          <w:highlight w:val="lightGray"/>
        </w:rPr>
        <w:lastRenderedPageBreak/>
        <w:t>I</w:t>
      </w:r>
      <w:r w:rsidR="0017577F">
        <w:rPr>
          <w:rFonts w:ascii="Arial" w:hAnsi="Arial" w:cs="Arial"/>
          <w:b/>
          <w:sz w:val="20"/>
          <w:szCs w:val="20"/>
          <w:highlight w:val="lightGray"/>
        </w:rPr>
        <w:t>I</w:t>
      </w:r>
      <w:r w:rsidR="008044EA" w:rsidRPr="002B2188">
        <w:rPr>
          <w:rFonts w:ascii="Arial" w:hAnsi="Arial" w:cs="Arial"/>
          <w:b/>
          <w:sz w:val="20"/>
          <w:szCs w:val="20"/>
          <w:highlight w:val="lightGray"/>
        </w:rPr>
        <w:t>. Zmiany treści SWZ</w:t>
      </w:r>
    </w:p>
    <w:p w:rsidR="000F3E59" w:rsidRDefault="00364921" w:rsidP="000F3E59">
      <w:pPr>
        <w:widowControl w:val="0"/>
        <w:spacing w:line="276" w:lineRule="auto"/>
        <w:jc w:val="both"/>
        <w:rPr>
          <w:rFonts w:ascii="Arial" w:hAnsi="Arial" w:cs="Arial"/>
          <w:sz w:val="20"/>
          <w:szCs w:val="20"/>
        </w:rPr>
      </w:pPr>
      <w:r w:rsidRPr="002B2188">
        <w:rPr>
          <w:rFonts w:ascii="Arial" w:hAnsi="Arial" w:cs="Arial"/>
          <w:sz w:val="20"/>
          <w:szCs w:val="20"/>
        </w:rPr>
        <w:t>Działając w</w:t>
      </w:r>
      <w:r w:rsidR="00B52EE3">
        <w:rPr>
          <w:rFonts w:ascii="Arial" w:hAnsi="Arial" w:cs="Arial"/>
          <w:sz w:val="20"/>
          <w:szCs w:val="20"/>
        </w:rPr>
        <w:t xml:space="preserve"> oparciu o art. 137</w:t>
      </w:r>
      <w:r w:rsidR="00980EDE">
        <w:rPr>
          <w:rFonts w:ascii="Arial" w:hAnsi="Arial" w:cs="Arial"/>
          <w:sz w:val="20"/>
          <w:szCs w:val="20"/>
        </w:rPr>
        <w:t xml:space="preserve"> </w:t>
      </w:r>
      <w:r w:rsidR="00507196" w:rsidRPr="002B2188">
        <w:rPr>
          <w:rFonts w:ascii="Arial" w:hAnsi="Arial" w:cs="Arial"/>
          <w:sz w:val="20"/>
          <w:szCs w:val="20"/>
        </w:rPr>
        <w:t>ustawy</w:t>
      </w:r>
      <w:r w:rsidR="00507196" w:rsidRPr="002B2188">
        <w:rPr>
          <w:rFonts w:ascii="Arial" w:eastAsia="Arial" w:hAnsi="Arial" w:cs="Arial"/>
          <w:iCs/>
          <w:sz w:val="20"/>
          <w:szCs w:val="20"/>
        </w:rPr>
        <w:t xml:space="preserve"> z dnia 11 września 2019 r. prawo zamówień publicznych (t.j. Dz.U. z 2019 r. poz. 2019</w:t>
      </w:r>
      <w:r w:rsidR="00D51F01" w:rsidRPr="002B2188">
        <w:rPr>
          <w:rFonts w:ascii="Arial" w:eastAsia="Arial" w:hAnsi="Arial" w:cs="Arial"/>
          <w:iCs/>
          <w:sz w:val="20"/>
          <w:szCs w:val="20"/>
        </w:rPr>
        <w:t xml:space="preserve"> z późn. zm.</w:t>
      </w:r>
      <w:r w:rsidR="00507196" w:rsidRPr="002B2188">
        <w:rPr>
          <w:rFonts w:ascii="Arial" w:eastAsia="Arial" w:hAnsi="Arial" w:cs="Arial"/>
          <w:iCs/>
          <w:sz w:val="20"/>
          <w:szCs w:val="20"/>
        </w:rPr>
        <w:t>), zwanej w dalszej treści „Ustawą Pzp”</w:t>
      </w:r>
      <w:r w:rsidRPr="002B2188">
        <w:rPr>
          <w:rFonts w:ascii="Arial" w:hAnsi="Arial" w:cs="Arial"/>
          <w:b/>
          <w:bCs/>
          <w:iCs/>
          <w:sz w:val="20"/>
          <w:szCs w:val="20"/>
        </w:rPr>
        <w:t xml:space="preserve"> </w:t>
      </w:r>
      <w:r w:rsidRPr="002B2188">
        <w:rPr>
          <w:rFonts w:ascii="Arial" w:hAnsi="Arial" w:cs="Arial"/>
          <w:sz w:val="20"/>
          <w:szCs w:val="20"/>
        </w:rPr>
        <w:t xml:space="preserve">, Zamawiający informuje, że zmianie uległy następujące zapisy </w:t>
      </w:r>
      <w:r w:rsidR="00507196" w:rsidRPr="002B2188">
        <w:rPr>
          <w:rFonts w:ascii="Arial" w:hAnsi="Arial" w:cs="Arial"/>
          <w:iCs/>
          <w:sz w:val="20"/>
          <w:szCs w:val="20"/>
        </w:rPr>
        <w:t>SWZ</w:t>
      </w:r>
      <w:r w:rsidRPr="002B2188">
        <w:rPr>
          <w:rFonts w:ascii="Arial" w:hAnsi="Arial" w:cs="Arial"/>
          <w:sz w:val="20"/>
          <w:szCs w:val="20"/>
        </w:rPr>
        <w:t>:</w:t>
      </w:r>
    </w:p>
    <w:p w:rsidR="00AB44BB" w:rsidRPr="002B2188" w:rsidRDefault="00AB44BB" w:rsidP="000F3E59">
      <w:pPr>
        <w:widowControl w:val="0"/>
        <w:spacing w:line="276" w:lineRule="auto"/>
        <w:jc w:val="both"/>
        <w:rPr>
          <w:rFonts w:ascii="Arial" w:hAnsi="Arial" w:cs="Arial"/>
          <w:b/>
          <w:sz w:val="20"/>
          <w:szCs w:val="20"/>
        </w:rPr>
      </w:pPr>
    </w:p>
    <w:p w:rsidR="0011566F" w:rsidRDefault="00B1213C" w:rsidP="00E82C17">
      <w:pPr>
        <w:widowControl w:val="0"/>
        <w:spacing w:line="360" w:lineRule="auto"/>
        <w:rPr>
          <w:rFonts w:ascii="Arial" w:eastAsia="Cambria" w:hAnsi="Arial" w:cs="Arial"/>
          <w:sz w:val="20"/>
          <w:szCs w:val="20"/>
          <w:lang w:eastAsia="pl-PL"/>
        </w:rPr>
      </w:pPr>
      <w:r w:rsidRPr="00B1213C">
        <w:rPr>
          <w:rFonts w:ascii="Arial" w:eastAsia="Calibri" w:hAnsi="Arial" w:cs="Arial"/>
          <w:b/>
          <w:sz w:val="20"/>
          <w:szCs w:val="20"/>
          <w:highlight w:val="lightGray"/>
        </w:rPr>
        <w:t>Zmiana nr 1:</w:t>
      </w:r>
      <w:r w:rsidRPr="00B1213C">
        <w:rPr>
          <w:rFonts w:ascii="Arial" w:eastAsia="Calibri" w:hAnsi="Arial" w:cs="Arial"/>
          <w:b/>
          <w:sz w:val="20"/>
          <w:szCs w:val="20"/>
        </w:rPr>
        <w:br/>
      </w:r>
      <w:r w:rsidR="007F17C4" w:rsidRPr="0011566F">
        <w:rPr>
          <w:rFonts w:ascii="Arial" w:eastAsia="Cambria" w:hAnsi="Arial" w:cs="Arial"/>
          <w:sz w:val="20"/>
          <w:szCs w:val="20"/>
          <w:lang w:eastAsia="pl-PL"/>
        </w:rPr>
        <w:t>W związku z pojawiającymi się niścisłościami w n</w:t>
      </w:r>
      <w:r w:rsidR="0011566F" w:rsidRPr="0011566F">
        <w:rPr>
          <w:rFonts w:ascii="Arial" w:eastAsia="Cambria" w:hAnsi="Arial" w:cs="Arial"/>
          <w:sz w:val="20"/>
          <w:szCs w:val="20"/>
          <w:lang w:eastAsia="pl-PL"/>
        </w:rPr>
        <w:t xml:space="preserve">azewnictwie inwestycji </w:t>
      </w:r>
      <w:r w:rsidR="00E82C17" w:rsidRPr="0011566F">
        <w:rPr>
          <w:rFonts w:ascii="Arial" w:eastAsia="Cambria" w:hAnsi="Arial" w:cs="Arial"/>
          <w:sz w:val="20"/>
          <w:szCs w:val="20"/>
          <w:lang w:eastAsia="pl-PL"/>
        </w:rPr>
        <w:t>Zamawiający zmienia</w:t>
      </w:r>
      <w:r w:rsidR="0011566F" w:rsidRPr="0011566F">
        <w:rPr>
          <w:rFonts w:ascii="Arial" w:eastAsia="Cambria" w:hAnsi="Arial" w:cs="Arial"/>
          <w:sz w:val="20"/>
          <w:szCs w:val="20"/>
          <w:lang w:eastAsia="pl-PL"/>
        </w:rPr>
        <w:t xml:space="preserve"> nazwę zadania w SWZ oraz wszystkich załącznikach.</w:t>
      </w:r>
      <w:r w:rsidR="00E82C17" w:rsidRPr="0011566F">
        <w:rPr>
          <w:rFonts w:ascii="Arial" w:eastAsia="Cambria" w:hAnsi="Arial" w:cs="Arial"/>
          <w:sz w:val="20"/>
          <w:szCs w:val="20"/>
          <w:lang w:eastAsia="pl-PL"/>
        </w:rPr>
        <w:t xml:space="preserve"> </w:t>
      </w:r>
    </w:p>
    <w:p w:rsidR="00F60F02" w:rsidRDefault="0011566F" w:rsidP="00E82C17">
      <w:pPr>
        <w:widowControl w:val="0"/>
        <w:spacing w:line="360" w:lineRule="auto"/>
        <w:rPr>
          <w:rFonts w:ascii="Arial" w:eastAsia="Cambria" w:hAnsi="Arial" w:cs="Arial"/>
          <w:b/>
          <w:sz w:val="20"/>
          <w:szCs w:val="20"/>
          <w:lang w:eastAsia="pl-PL"/>
        </w:rPr>
      </w:pPr>
      <w:r>
        <w:rPr>
          <w:rFonts w:ascii="Arial" w:eastAsia="Cambria" w:hAnsi="Arial" w:cs="Arial"/>
          <w:sz w:val="20"/>
          <w:szCs w:val="20"/>
          <w:lang w:eastAsia="pl-PL"/>
        </w:rPr>
        <w:t xml:space="preserve">Poprawna nazwa inwestycji to: </w:t>
      </w:r>
      <w:r w:rsidRPr="0011566F">
        <w:rPr>
          <w:rFonts w:ascii="Arial" w:eastAsia="Cambria" w:hAnsi="Arial" w:cs="Arial"/>
          <w:b/>
          <w:sz w:val="20"/>
          <w:szCs w:val="20"/>
          <w:lang w:eastAsia="pl-PL"/>
        </w:rPr>
        <w:t>„Modernizacja oświetlenia drogowego w Gminie Biały Dunajec”</w:t>
      </w:r>
    </w:p>
    <w:p w:rsidR="00AB44BB" w:rsidRDefault="00AB44BB" w:rsidP="00E82C17">
      <w:pPr>
        <w:widowControl w:val="0"/>
        <w:spacing w:line="360" w:lineRule="auto"/>
        <w:rPr>
          <w:rFonts w:ascii="Arial" w:eastAsia="Cambria" w:hAnsi="Arial" w:cs="Arial"/>
          <w:b/>
          <w:sz w:val="20"/>
          <w:szCs w:val="20"/>
          <w:lang w:eastAsia="pl-PL"/>
        </w:rPr>
      </w:pPr>
    </w:p>
    <w:p w:rsidR="00F60F02" w:rsidRPr="00062681" w:rsidRDefault="00F60F02" w:rsidP="00E82C17">
      <w:pPr>
        <w:widowControl w:val="0"/>
        <w:spacing w:line="360" w:lineRule="auto"/>
        <w:rPr>
          <w:rFonts w:ascii="Arial" w:eastAsia="Cambria" w:hAnsi="Arial" w:cs="Arial"/>
          <w:sz w:val="20"/>
          <w:szCs w:val="20"/>
          <w:lang w:eastAsia="pl-PL"/>
        </w:rPr>
      </w:pPr>
      <w:r>
        <w:rPr>
          <w:rFonts w:ascii="Arial" w:eastAsia="Calibri" w:hAnsi="Arial" w:cs="Arial"/>
          <w:b/>
          <w:sz w:val="20"/>
          <w:szCs w:val="20"/>
          <w:highlight w:val="lightGray"/>
        </w:rPr>
        <w:t>Zmiana nr 2</w:t>
      </w:r>
      <w:r w:rsidRPr="00F60F02">
        <w:rPr>
          <w:rFonts w:ascii="Arial" w:eastAsia="Calibri" w:hAnsi="Arial" w:cs="Arial"/>
          <w:b/>
          <w:sz w:val="20"/>
          <w:szCs w:val="20"/>
          <w:highlight w:val="lightGray"/>
        </w:rPr>
        <w:t>:</w:t>
      </w:r>
      <w:r w:rsidRPr="00B1213C">
        <w:rPr>
          <w:rFonts w:ascii="Arial" w:eastAsia="Calibri" w:hAnsi="Arial" w:cs="Arial"/>
          <w:b/>
          <w:sz w:val="20"/>
          <w:szCs w:val="20"/>
        </w:rPr>
        <w:br/>
      </w:r>
      <w:r>
        <w:rPr>
          <w:rFonts w:ascii="Arial" w:eastAsia="Cambria" w:hAnsi="Arial" w:cs="Arial"/>
          <w:sz w:val="20"/>
          <w:szCs w:val="20"/>
          <w:lang w:eastAsia="pl-PL"/>
        </w:rPr>
        <w:t>Zamawiający przekazuje załącznik</w:t>
      </w:r>
      <w:r w:rsidR="007A4BCF">
        <w:rPr>
          <w:rFonts w:ascii="Arial" w:eastAsia="Cambria" w:hAnsi="Arial" w:cs="Arial"/>
          <w:sz w:val="20"/>
          <w:szCs w:val="20"/>
          <w:lang w:eastAsia="pl-PL"/>
        </w:rPr>
        <w:t>i</w:t>
      </w:r>
      <w:r>
        <w:rPr>
          <w:rFonts w:ascii="Arial" w:eastAsia="Cambria" w:hAnsi="Arial" w:cs="Arial"/>
          <w:sz w:val="20"/>
          <w:szCs w:val="20"/>
          <w:lang w:eastAsia="pl-PL"/>
        </w:rPr>
        <w:t xml:space="preserve"> nr 11 i 11a do SWZ, któr</w:t>
      </w:r>
      <w:r w:rsidR="007A4BCF">
        <w:rPr>
          <w:rFonts w:ascii="Arial" w:eastAsia="Cambria" w:hAnsi="Arial" w:cs="Arial"/>
          <w:sz w:val="20"/>
          <w:szCs w:val="20"/>
          <w:lang w:eastAsia="pl-PL"/>
        </w:rPr>
        <w:t>e</w:t>
      </w:r>
      <w:r>
        <w:rPr>
          <w:rFonts w:ascii="Arial" w:eastAsia="Cambria" w:hAnsi="Arial" w:cs="Arial"/>
          <w:sz w:val="20"/>
          <w:szCs w:val="20"/>
          <w:lang w:eastAsia="pl-PL"/>
        </w:rPr>
        <w:t xml:space="preserve"> </w:t>
      </w:r>
      <w:r w:rsidR="007A4BCF">
        <w:rPr>
          <w:rFonts w:ascii="Arial" w:eastAsia="Cambria" w:hAnsi="Arial" w:cs="Arial"/>
          <w:sz w:val="20"/>
          <w:szCs w:val="20"/>
          <w:lang w:eastAsia="pl-PL"/>
        </w:rPr>
        <w:t xml:space="preserve">przez pomyłkę </w:t>
      </w:r>
      <w:r>
        <w:rPr>
          <w:rFonts w:ascii="Arial" w:eastAsia="Cambria" w:hAnsi="Arial" w:cs="Arial"/>
          <w:sz w:val="20"/>
          <w:szCs w:val="20"/>
          <w:lang w:eastAsia="pl-PL"/>
        </w:rPr>
        <w:t>nie został</w:t>
      </w:r>
      <w:r w:rsidR="007A4BCF">
        <w:rPr>
          <w:rFonts w:ascii="Arial" w:eastAsia="Cambria" w:hAnsi="Arial" w:cs="Arial"/>
          <w:sz w:val="20"/>
          <w:szCs w:val="20"/>
          <w:lang w:eastAsia="pl-PL"/>
        </w:rPr>
        <w:t>y</w:t>
      </w:r>
      <w:r>
        <w:rPr>
          <w:rFonts w:ascii="Arial" w:eastAsia="Cambria" w:hAnsi="Arial" w:cs="Arial"/>
          <w:sz w:val="20"/>
          <w:szCs w:val="20"/>
          <w:lang w:eastAsia="pl-PL"/>
        </w:rPr>
        <w:t xml:space="preserve"> </w:t>
      </w:r>
      <w:r w:rsidR="007A4BCF">
        <w:rPr>
          <w:rFonts w:ascii="Arial" w:eastAsia="Cambria" w:hAnsi="Arial" w:cs="Arial"/>
          <w:sz w:val="20"/>
          <w:szCs w:val="20"/>
          <w:lang w:eastAsia="pl-PL"/>
        </w:rPr>
        <w:t>umieszczone na stronie prowadzonego postępowania.</w:t>
      </w:r>
    </w:p>
    <w:p w:rsidR="00914993" w:rsidRPr="0011566F" w:rsidRDefault="00914993" w:rsidP="00E82C17">
      <w:pPr>
        <w:widowControl w:val="0"/>
        <w:spacing w:line="360" w:lineRule="auto"/>
        <w:rPr>
          <w:rFonts w:ascii="Arial" w:eastAsia="Cambria" w:hAnsi="Arial" w:cs="Arial"/>
          <w:b/>
          <w:sz w:val="20"/>
          <w:szCs w:val="20"/>
          <w:lang w:eastAsia="pl-PL"/>
        </w:rPr>
      </w:pPr>
    </w:p>
    <w:p w:rsidR="00180B75" w:rsidRDefault="00B1213C" w:rsidP="00E8236D">
      <w:pPr>
        <w:spacing w:line="360" w:lineRule="auto"/>
        <w:jc w:val="both"/>
        <w:rPr>
          <w:rFonts w:ascii="Arial" w:eastAsia="Calibri" w:hAnsi="Arial" w:cs="Arial"/>
          <w:b/>
          <w:iCs/>
          <w:sz w:val="20"/>
          <w:szCs w:val="20"/>
          <w:u w:val="single"/>
        </w:rPr>
      </w:pPr>
      <w:r w:rsidRPr="00180B75">
        <w:rPr>
          <w:rFonts w:ascii="Arial" w:eastAsia="Calibri" w:hAnsi="Arial" w:cs="Arial"/>
          <w:b/>
          <w:iCs/>
          <w:sz w:val="20"/>
          <w:szCs w:val="20"/>
          <w:u w:val="single"/>
        </w:rPr>
        <w:t>Jednocześnie Zamawiający informuje, że termin składania i otwarcia ofert ulega zmianie.</w:t>
      </w:r>
    </w:p>
    <w:p w:rsidR="00E8236D" w:rsidRPr="00E8236D" w:rsidRDefault="00E8236D" w:rsidP="00E8236D">
      <w:pPr>
        <w:spacing w:line="360" w:lineRule="auto"/>
        <w:jc w:val="both"/>
        <w:rPr>
          <w:rFonts w:ascii="Arial" w:eastAsia="Calibri" w:hAnsi="Arial" w:cs="Arial"/>
          <w:iCs/>
          <w:sz w:val="20"/>
          <w:szCs w:val="20"/>
        </w:rPr>
      </w:pPr>
      <w:r w:rsidRPr="00E8236D">
        <w:rPr>
          <w:rFonts w:ascii="Arial" w:eastAsia="Calibri" w:hAnsi="Arial" w:cs="Arial"/>
          <w:iCs/>
          <w:sz w:val="20"/>
          <w:szCs w:val="20"/>
        </w:rPr>
        <w:t>Zamawiający przedłuża termin składania ofert na dzień 23.03.2023 godz 10:00, termin otwarcia ofert na dzień 23.03.2023 godz 10:05. Tym samym termin związania oferta ulegnie zmianie do dnia 20.06.2023</w:t>
      </w:r>
    </w:p>
    <w:p w:rsidR="00180B75" w:rsidRDefault="00E8236D" w:rsidP="00B1213C">
      <w:pPr>
        <w:spacing w:line="360" w:lineRule="auto"/>
        <w:jc w:val="both"/>
        <w:rPr>
          <w:rFonts w:ascii="Arial" w:eastAsia="Calibri" w:hAnsi="Arial" w:cs="Arial"/>
          <w:iCs/>
          <w:sz w:val="20"/>
          <w:szCs w:val="20"/>
        </w:rPr>
      </w:pPr>
      <w:r w:rsidRPr="00E8236D">
        <w:rPr>
          <w:rFonts w:ascii="Arial" w:eastAsia="Calibri" w:hAnsi="Arial" w:cs="Arial"/>
          <w:iCs/>
          <w:sz w:val="20"/>
          <w:szCs w:val="20"/>
        </w:rPr>
        <w:t>Stosowna zmaina zosta</w:t>
      </w:r>
      <w:r w:rsidR="00E96056">
        <w:rPr>
          <w:rFonts w:ascii="Arial" w:eastAsia="Calibri" w:hAnsi="Arial" w:cs="Arial"/>
          <w:iCs/>
          <w:sz w:val="20"/>
          <w:szCs w:val="20"/>
        </w:rPr>
        <w:t>ła</w:t>
      </w:r>
      <w:r w:rsidRPr="00E8236D">
        <w:rPr>
          <w:rFonts w:ascii="Arial" w:eastAsia="Calibri" w:hAnsi="Arial" w:cs="Arial"/>
          <w:iCs/>
          <w:sz w:val="20"/>
          <w:szCs w:val="20"/>
        </w:rPr>
        <w:t xml:space="preserve"> również dodana w ogłoszeniu o zamuwieniu.</w:t>
      </w:r>
    </w:p>
    <w:p w:rsidR="00062681" w:rsidRDefault="00062681" w:rsidP="00B1213C">
      <w:pPr>
        <w:spacing w:line="360" w:lineRule="auto"/>
        <w:jc w:val="both"/>
        <w:rPr>
          <w:rFonts w:ascii="Arial" w:eastAsia="Calibri" w:hAnsi="Arial" w:cs="Arial"/>
          <w:iCs/>
          <w:sz w:val="20"/>
          <w:szCs w:val="20"/>
        </w:rPr>
      </w:pPr>
    </w:p>
    <w:p w:rsidR="00AB44BB" w:rsidRDefault="00AB44BB" w:rsidP="00B1213C">
      <w:pPr>
        <w:spacing w:line="360" w:lineRule="auto"/>
        <w:jc w:val="both"/>
        <w:rPr>
          <w:rFonts w:ascii="Arial" w:eastAsia="Calibri" w:hAnsi="Arial" w:cs="Arial"/>
          <w:iCs/>
          <w:sz w:val="20"/>
          <w:szCs w:val="20"/>
        </w:rPr>
      </w:pPr>
    </w:p>
    <w:p w:rsidR="00AB44BB" w:rsidRDefault="00AB44BB" w:rsidP="00B1213C">
      <w:pPr>
        <w:spacing w:line="360" w:lineRule="auto"/>
        <w:jc w:val="both"/>
        <w:rPr>
          <w:rFonts w:ascii="Arial" w:eastAsia="Calibri" w:hAnsi="Arial" w:cs="Arial"/>
          <w:iCs/>
          <w:sz w:val="20"/>
          <w:szCs w:val="20"/>
        </w:rPr>
      </w:pPr>
    </w:p>
    <w:p w:rsidR="00AB44BB" w:rsidRDefault="00AB44BB" w:rsidP="00B1213C">
      <w:pPr>
        <w:spacing w:line="360" w:lineRule="auto"/>
        <w:jc w:val="both"/>
        <w:rPr>
          <w:rFonts w:ascii="Arial" w:eastAsia="Calibri" w:hAnsi="Arial" w:cs="Arial"/>
          <w:iCs/>
          <w:sz w:val="20"/>
          <w:szCs w:val="20"/>
        </w:rPr>
      </w:pPr>
    </w:p>
    <w:p w:rsidR="00AB44BB" w:rsidRDefault="00AB44BB" w:rsidP="00B1213C">
      <w:pPr>
        <w:spacing w:line="360" w:lineRule="auto"/>
        <w:jc w:val="both"/>
        <w:rPr>
          <w:rFonts w:ascii="Arial" w:eastAsia="Calibri" w:hAnsi="Arial" w:cs="Arial"/>
          <w:iCs/>
          <w:sz w:val="20"/>
          <w:szCs w:val="20"/>
        </w:rPr>
      </w:pPr>
    </w:p>
    <w:p w:rsidR="00AB44BB" w:rsidRDefault="00AB44BB" w:rsidP="00B1213C">
      <w:pPr>
        <w:spacing w:line="360" w:lineRule="auto"/>
        <w:jc w:val="both"/>
        <w:rPr>
          <w:rFonts w:ascii="Arial" w:eastAsia="Calibri" w:hAnsi="Arial" w:cs="Arial"/>
          <w:iCs/>
          <w:sz w:val="20"/>
          <w:szCs w:val="20"/>
        </w:rPr>
      </w:pPr>
    </w:p>
    <w:p w:rsidR="00AB44BB" w:rsidRPr="00062681" w:rsidRDefault="00AB44BB" w:rsidP="00B1213C">
      <w:pPr>
        <w:spacing w:line="360" w:lineRule="auto"/>
        <w:jc w:val="both"/>
        <w:rPr>
          <w:rFonts w:ascii="Arial" w:eastAsia="Calibri" w:hAnsi="Arial" w:cs="Arial"/>
          <w:iCs/>
          <w:sz w:val="20"/>
          <w:szCs w:val="20"/>
        </w:rPr>
      </w:pPr>
      <w:bookmarkStart w:id="0" w:name="_GoBack"/>
      <w:bookmarkEnd w:id="0"/>
    </w:p>
    <w:p w:rsidR="00B1213C" w:rsidRPr="00B1213C" w:rsidRDefault="00B1213C" w:rsidP="00B1213C">
      <w:pPr>
        <w:spacing w:line="360" w:lineRule="auto"/>
        <w:jc w:val="both"/>
        <w:rPr>
          <w:rFonts w:ascii="Arial" w:eastAsia="Calibri" w:hAnsi="Arial" w:cs="Arial"/>
          <w:iCs/>
          <w:sz w:val="16"/>
          <w:szCs w:val="16"/>
        </w:rPr>
      </w:pPr>
      <w:r w:rsidRPr="00B1213C">
        <w:rPr>
          <w:rFonts w:ascii="Arial" w:eastAsia="Calibri" w:hAnsi="Arial" w:cs="Arial"/>
          <w:iCs/>
          <w:sz w:val="16"/>
          <w:szCs w:val="16"/>
        </w:rPr>
        <w:t>Załączniki:</w:t>
      </w:r>
    </w:p>
    <w:p w:rsidR="002B2188" w:rsidRDefault="00B1213C" w:rsidP="00B0678E">
      <w:pPr>
        <w:spacing w:line="360" w:lineRule="auto"/>
        <w:jc w:val="both"/>
        <w:rPr>
          <w:rFonts w:ascii="Arial" w:eastAsia="Calibri" w:hAnsi="Arial" w:cs="Arial"/>
          <w:iCs/>
          <w:sz w:val="16"/>
          <w:szCs w:val="16"/>
        </w:rPr>
      </w:pPr>
      <w:r w:rsidRPr="00B1213C">
        <w:rPr>
          <w:rFonts w:ascii="Arial" w:eastAsia="Calibri" w:hAnsi="Arial" w:cs="Arial"/>
          <w:iCs/>
          <w:sz w:val="16"/>
          <w:szCs w:val="16"/>
        </w:rPr>
        <w:t xml:space="preserve">- </w:t>
      </w:r>
      <w:r w:rsidR="00147624">
        <w:rPr>
          <w:rFonts w:ascii="Arial" w:eastAsia="Calibri" w:hAnsi="Arial" w:cs="Arial"/>
          <w:iCs/>
          <w:sz w:val="16"/>
          <w:szCs w:val="16"/>
        </w:rPr>
        <w:t>SWZ po zmianie nr 2,</w:t>
      </w:r>
    </w:p>
    <w:p w:rsidR="00147624" w:rsidRDefault="00147624" w:rsidP="00B0678E">
      <w:pPr>
        <w:spacing w:line="360" w:lineRule="auto"/>
        <w:jc w:val="both"/>
        <w:rPr>
          <w:rFonts w:ascii="Arial" w:eastAsia="Calibri" w:hAnsi="Arial" w:cs="Arial"/>
          <w:iCs/>
          <w:sz w:val="16"/>
          <w:szCs w:val="16"/>
        </w:rPr>
      </w:pPr>
      <w:r>
        <w:rPr>
          <w:rFonts w:ascii="Arial" w:eastAsia="Calibri" w:hAnsi="Arial" w:cs="Arial"/>
          <w:iCs/>
          <w:sz w:val="16"/>
          <w:szCs w:val="16"/>
        </w:rPr>
        <w:t>- Załącznik nr 1 po zmianie nr 2.</w:t>
      </w:r>
    </w:p>
    <w:p w:rsidR="00147624" w:rsidRDefault="00914993" w:rsidP="00B0678E">
      <w:pPr>
        <w:spacing w:line="360" w:lineRule="auto"/>
        <w:jc w:val="both"/>
        <w:rPr>
          <w:rFonts w:ascii="Arial" w:eastAsia="Calibri" w:hAnsi="Arial" w:cs="Arial"/>
          <w:iCs/>
          <w:sz w:val="16"/>
          <w:szCs w:val="16"/>
        </w:rPr>
      </w:pPr>
      <w:r>
        <w:rPr>
          <w:rFonts w:ascii="Arial" w:eastAsia="Calibri" w:hAnsi="Arial" w:cs="Arial"/>
          <w:iCs/>
          <w:sz w:val="16"/>
          <w:szCs w:val="16"/>
        </w:rPr>
        <w:t>- Załącznik nr 2</w:t>
      </w:r>
      <w:r w:rsidR="00147624" w:rsidRPr="00147624">
        <w:rPr>
          <w:rFonts w:ascii="Arial" w:eastAsia="Calibri" w:hAnsi="Arial" w:cs="Arial"/>
          <w:iCs/>
          <w:sz w:val="16"/>
          <w:szCs w:val="16"/>
        </w:rPr>
        <w:t xml:space="preserve"> po zmianie nr 2.</w:t>
      </w:r>
    </w:p>
    <w:p w:rsidR="00FF6F6B" w:rsidRDefault="00914993" w:rsidP="00B0678E">
      <w:pPr>
        <w:spacing w:line="360" w:lineRule="auto"/>
        <w:jc w:val="both"/>
        <w:rPr>
          <w:rFonts w:ascii="Arial" w:eastAsia="Calibri" w:hAnsi="Arial" w:cs="Arial"/>
          <w:iCs/>
          <w:sz w:val="16"/>
          <w:szCs w:val="16"/>
        </w:rPr>
      </w:pPr>
      <w:r>
        <w:rPr>
          <w:rFonts w:ascii="Arial" w:eastAsia="Calibri" w:hAnsi="Arial" w:cs="Arial"/>
          <w:iCs/>
          <w:sz w:val="16"/>
          <w:szCs w:val="16"/>
        </w:rPr>
        <w:t>- Załącznik nr 3</w:t>
      </w:r>
      <w:r w:rsidR="00FF6F6B" w:rsidRPr="00FF6F6B">
        <w:rPr>
          <w:rFonts w:ascii="Arial" w:eastAsia="Calibri" w:hAnsi="Arial" w:cs="Arial"/>
          <w:iCs/>
          <w:sz w:val="16"/>
          <w:szCs w:val="16"/>
        </w:rPr>
        <w:t xml:space="preserve"> po zmianie nr 2.</w:t>
      </w:r>
    </w:p>
    <w:p w:rsidR="00FF6F6B" w:rsidRPr="00FF6F6B" w:rsidRDefault="00914993" w:rsidP="00FF6F6B">
      <w:pPr>
        <w:spacing w:line="360" w:lineRule="auto"/>
        <w:jc w:val="both"/>
        <w:rPr>
          <w:rFonts w:ascii="Arial" w:eastAsia="Calibri" w:hAnsi="Arial" w:cs="Arial"/>
          <w:iCs/>
          <w:sz w:val="16"/>
          <w:szCs w:val="16"/>
        </w:rPr>
      </w:pPr>
      <w:r>
        <w:rPr>
          <w:rFonts w:ascii="Arial" w:eastAsia="Calibri" w:hAnsi="Arial" w:cs="Arial"/>
          <w:iCs/>
          <w:sz w:val="16"/>
          <w:szCs w:val="16"/>
        </w:rPr>
        <w:t>- Załącznik nr 4</w:t>
      </w:r>
      <w:r w:rsidR="00FF6F6B" w:rsidRPr="00FF6F6B">
        <w:rPr>
          <w:rFonts w:ascii="Arial" w:eastAsia="Calibri" w:hAnsi="Arial" w:cs="Arial"/>
          <w:iCs/>
          <w:sz w:val="16"/>
          <w:szCs w:val="16"/>
        </w:rPr>
        <w:t xml:space="preserve"> po zmianie nr 2.</w:t>
      </w:r>
    </w:p>
    <w:p w:rsidR="00FF6F6B" w:rsidRPr="00FF6F6B" w:rsidRDefault="00914993" w:rsidP="00FF6F6B">
      <w:pPr>
        <w:spacing w:line="360" w:lineRule="auto"/>
        <w:jc w:val="both"/>
        <w:rPr>
          <w:rFonts w:ascii="Arial" w:eastAsia="Calibri" w:hAnsi="Arial" w:cs="Arial"/>
          <w:iCs/>
          <w:sz w:val="16"/>
          <w:szCs w:val="16"/>
        </w:rPr>
      </w:pPr>
      <w:r>
        <w:rPr>
          <w:rFonts w:ascii="Arial" w:eastAsia="Calibri" w:hAnsi="Arial" w:cs="Arial"/>
          <w:iCs/>
          <w:sz w:val="16"/>
          <w:szCs w:val="16"/>
        </w:rPr>
        <w:t>- Załącznik nr 5</w:t>
      </w:r>
      <w:r w:rsidR="00FF6F6B" w:rsidRPr="00FF6F6B">
        <w:rPr>
          <w:rFonts w:ascii="Arial" w:eastAsia="Calibri" w:hAnsi="Arial" w:cs="Arial"/>
          <w:iCs/>
          <w:sz w:val="16"/>
          <w:szCs w:val="16"/>
        </w:rPr>
        <w:t xml:space="preserve"> po zmianie nr 2.</w:t>
      </w:r>
    </w:p>
    <w:p w:rsidR="00FF6F6B" w:rsidRDefault="00914993" w:rsidP="00FF6F6B">
      <w:pPr>
        <w:spacing w:line="360" w:lineRule="auto"/>
        <w:jc w:val="both"/>
        <w:rPr>
          <w:rFonts w:ascii="Arial" w:eastAsia="Calibri" w:hAnsi="Arial" w:cs="Arial"/>
          <w:iCs/>
          <w:sz w:val="16"/>
          <w:szCs w:val="16"/>
        </w:rPr>
      </w:pPr>
      <w:r>
        <w:rPr>
          <w:rFonts w:ascii="Arial" w:eastAsia="Calibri" w:hAnsi="Arial" w:cs="Arial"/>
          <w:iCs/>
          <w:sz w:val="16"/>
          <w:szCs w:val="16"/>
        </w:rPr>
        <w:t>- Załącznik nr 6</w:t>
      </w:r>
      <w:r w:rsidR="00FF6F6B" w:rsidRPr="00FF6F6B">
        <w:rPr>
          <w:rFonts w:ascii="Arial" w:eastAsia="Calibri" w:hAnsi="Arial" w:cs="Arial"/>
          <w:iCs/>
          <w:sz w:val="16"/>
          <w:szCs w:val="16"/>
        </w:rPr>
        <w:t xml:space="preserve"> po zmianie nr 2.</w:t>
      </w:r>
    </w:p>
    <w:p w:rsidR="00FF6F6B" w:rsidRPr="00FF6F6B" w:rsidRDefault="00914993" w:rsidP="00FF6F6B">
      <w:pPr>
        <w:spacing w:line="360" w:lineRule="auto"/>
        <w:jc w:val="both"/>
        <w:rPr>
          <w:rFonts w:ascii="Arial" w:eastAsia="Calibri" w:hAnsi="Arial" w:cs="Arial"/>
          <w:iCs/>
          <w:sz w:val="16"/>
          <w:szCs w:val="16"/>
        </w:rPr>
      </w:pPr>
      <w:r>
        <w:rPr>
          <w:rFonts w:ascii="Arial" w:eastAsia="Calibri" w:hAnsi="Arial" w:cs="Arial"/>
          <w:iCs/>
          <w:sz w:val="16"/>
          <w:szCs w:val="16"/>
        </w:rPr>
        <w:t>- Załącznik nr 7</w:t>
      </w:r>
      <w:r w:rsidR="00FF6F6B" w:rsidRPr="00FF6F6B">
        <w:rPr>
          <w:rFonts w:ascii="Arial" w:eastAsia="Calibri" w:hAnsi="Arial" w:cs="Arial"/>
          <w:iCs/>
          <w:sz w:val="16"/>
          <w:szCs w:val="16"/>
        </w:rPr>
        <w:t xml:space="preserve"> po zmianie nr 2.</w:t>
      </w:r>
    </w:p>
    <w:p w:rsidR="00FF6F6B" w:rsidRPr="00FF6F6B" w:rsidRDefault="00914993" w:rsidP="00FF6F6B">
      <w:pPr>
        <w:spacing w:line="360" w:lineRule="auto"/>
        <w:jc w:val="both"/>
        <w:rPr>
          <w:rFonts w:ascii="Arial" w:eastAsia="Calibri" w:hAnsi="Arial" w:cs="Arial"/>
          <w:iCs/>
          <w:sz w:val="16"/>
          <w:szCs w:val="16"/>
        </w:rPr>
      </w:pPr>
      <w:r>
        <w:rPr>
          <w:rFonts w:ascii="Arial" w:eastAsia="Calibri" w:hAnsi="Arial" w:cs="Arial"/>
          <w:iCs/>
          <w:sz w:val="16"/>
          <w:szCs w:val="16"/>
        </w:rPr>
        <w:t>- Załącznik nr 8</w:t>
      </w:r>
      <w:r w:rsidR="00FF6F6B" w:rsidRPr="00FF6F6B">
        <w:rPr>
          <w:rFonts w:ascii="Arial" w:eastAsia="Calibri" w:hAnsi="Arial" w:cs="Arial"/>
          <w:iCs/>
          <w:sz w:val="16"/>
          <w:szCs w:val="16"/>
        </w:rPr>
        <w:t xml:space="preserve"> po zmianie nr 2.</w:t>
      </w:r>
    </w:p>
    <w:p w:rsidR="00FF6F6B" w:rsidRDefault="00914993" w:rsidP="00FF6F6B">
      <w:pPr>
        <w:spacing w:line="360" w:lineRule="auto"/>
        <w:jc w:val="both"/>
        <w:rPr>
          <w:rFonts w:ascii="Arial" w:eastAsia="Calibri" w:hAnsi="Arial" w:cs="Arial"/>
          <w:iCs/>
          <w:sz w:val="16"/>
          <w:szCs w:val="16"/>
        </w:rPr>
      </w:pPr>
      <w:r>
        <w:rPr>
          <w:rFonts w:ascii="Arial" w:eastAsia="Calibri" w:hAnsi="Arial" w:cs="Arial"/>
          <w:iCs/>
          <w:sz w:val="16"/>
          <w:szCs w:val="16"/>
        </w:rPr>
        <w:t>- Załącznik nr 9</w:t>
      </w:r>
      <w:r w:rsidR="00FF6F6B" w:rsidRPr="00FF6F6B">
        <w:rPr>
          <w:rFonts w:ascii="Arial" w:eastAsia="Calibri" w:hAnsi="Arial" w:cs="Arial"/>
          <w:iCs/>
          <w:sz w:val="16"/>
          <w:szCs w:val="16"/>
        </w:rPr>
        <w:t xml:space="preserve"> po zmianie nr 2.</w:t>
      </w:r>
    </w:p>
    <w:p w:rsidR="00FF6F6B" w:rsidRPr="00FF6F6B" w:rsidRDefault="00914993" w:rsidP="00FF6F6B">
      <w:pPr>
        <w:spacing w:line="360" w:lineRule="auto"/>
        <w:jc w:val="both"/>
        <w:rPr>
          <w:rFonts w:ascii="Arial" w:eastAsia="Calibri" w:hAnsi="Arial" w:cs="Arial"/>
          <w:iCs/>
          <w:sz w:val="16"/>
          <w:szCs w:val="16"/>
        </w:rPr>
      </w:pPr>
      <w:r>
        <w:rPr>
          <w:rFonts w:ascii="Arial" w:eastAsia="Calibri" w:hAnsi="Arial" w:cs="Arial"/>
          <w:iCs/>
          <w:sz w:val="16"/>
          <w:szCs w:val="16"/>
        </w:rPr>
        <w:t xml:space="preserve">- Załącznik nr 10 </w:t>
      </w:r>
      <w:r w:rsidR="00FF6F6B" w:rsidRPr="00FF6F6B">
        <w:rPr>
          <w:rFonts w:ascii="Arial" w:eastAsia="Calibri" w:hAnsi="Arial" w:cs="Arial"/>
          <w:iCs/>
          <w:sz w:val="16"/>
          <w:szCs w:val="16"/>
        </w:rPr>
        <w:t>po zmianie nr 2.</w:t>
      </w:r>
    </w:p>
    <w:p w:rsidR="00FF6F6B" w:rsidRDefault="00FF6F6B" w:rsidP="00FF6F6B">
      <w:pPr>
        <w:spacing w:line="360" w:lineRule="auto"/>
        <w:jc w:val="both"/>
        <w:rPr>
          <w:rFonts w:ascii="Arial" w:eastAsia="Calibri" w:hAnsi="Arial" w:cs="Arial"/>
          <w:iCs/>
          <w:sz w:val="16"/>
          <w:szCs w:val="16"/>
        </w:rPr>
      </w:pPr>
      <w:r w:rsidRPr="00FF6F6B">
        <w:rPr>
          <w:rFonts w:ascii="Arial" w:eastAsia="Calibri" w:hAnsi="Arial" w:cs="Arial"/>
          <w:iCs/>
          <w:sz w:val="16"/>
          <w:szCs w:val="16"/>
        </w:rPr>
        <w:t>- Załącznik nr 1</w:t>
      </w:r>
      <w:r w:rsidR="00914993">
        <w:rPr>
          <w:rFonts w:ascii="Arial" w:eastAsia="Calibri" w:hAnsi="Arial" w:cs="Arial"/>
          <w:iCs/>
          <w:sz w:val="16"/>
          <w:szCs w:val="16"/>
        </w:rPr>
        <w:t>1</w:t>
      </w:r>
      <w:r w:rsidRPr="00FF6F6B">
        <w:rPr>
          <w:rFonts w:ascii="Arial" w:eastAsia="Calibri" w:hAnsi="Arial" w:cs="Arial"/>
          <w:iCs/>
          <w:sz w:val="16"/>
          <w:szCs w:val="16"/>
        </w:rPr>
        <w:t xml:space="preserve"> </w:t>
      </w:r>
    </w:p>
    <w:p w:rsidR="007E185F" w:rsidRPr="00FF6F6B" w:rsidRDefault="007E185F" w:rsidP="00FF6F6B">
      <w:pPr>
        <w:spacing w:line="360" w:lineRule="auto"/>
        <w:jc w:val="both"/>
        <w:rPr>
          <w:rFonts w:ascii="Arial" w:eastAsia="Calibri" w:hAnsi="Arial" w:cs="Arial"/>
          <w:iCs/>
          <w:sz w:val="16"/>
          <w:szCs w:val="16"/>
        </w:rPr>
      </w:pPr>
      <w:r w:rsidRPr="007E185F">
        <w:rPr>
          <w:rFonts w:ascii="Arial" w:eastAsia="Calibri" w:hAnsi="Arial" w:cs="Arial"/>
          <w:iCs/>
          <w:sz w:val="16"/>
          <w:szCs w:val="16"/>
        </w:rPr>
        <w:t>- Załącznik nr 11</w:t>
      </w:r>
      <w:r>
        <w:rPr>
          <w:rFonts w:ascii="Arial" w:eastAsia="Calibri" w:hAnsi="Arial" w:cs="Arial"/>
          <w:iCs/>
          <w:sz w:val="16"/>
          <w:szCs w:val="16"/>
        </w:rPr>
        <w:t>a</w:t>
      </w:r>
    </w:p>
    <w:p w:rsidR="00FF6F6B" w:rsidRDefault="00FF6F6B" w:rsidP="00FF6F6B">
      <w:pPr>
        <w:spacing w:line="360" w:lineRule="auto"/>
        <w:jc w:val="both"/>
        <w:rPr>
          <w:rFonts w:ascii="Arial" w:eastAsia="Calibri" w:hAnsi="Arial" w:cs="Arial"/>
          <w:iCs/>
          <w:sz w:val="16"/>
          <w:szCs w:val="16"/>
        </w:rPr>
      </w:pPr>
      <w:r w:rsidRPr="00FF6F6B">
        <w:rPr>
          <w:rFonts w:ascii="Arial" w:eastAsia="Calibri" w:hAnsi="Arial" w:cs="Arial"/>
          <w:iCs/>
          <w:sz w:val="16"/>
          <w:szCs w:val="16"/>
        </w:rPr>
        <w:t>- Załącznik nr 1</w:t>
      </w:r>
      <w:r w:rsidR="00914993">
        <w:rPr>
          <w:rFonts w:ascii="Arial" w:eastAsia="Calibri" w:hAnsi="Arial" w:cs="Arial"/>
          <w:iCs/>
          <w:sz w:val="16"/>
          <w:szCs w:val="16"/>
        </w:rPr>
        <w:t>2</w:t>
      </w:r>
      <w:r w:rsidRPr="00FF6F6B">
        <w:rPr>
          <w:rFonts w:ascii="Arial" w:eastAsia="Calibri" w:hAnsi="Arial" w:cs="Arial"/>
          <w:iCs/>
          <w:sz w:val="16"/>
          <w:szCs w:val="16"/>
        </w:rPr>
        <w:t xml:space="preserve"> po zmianie nr 2.</w:t>
      </w:r>
    </w:p>
    <w:p w:rsidR="00914993" w:rsidRDefault="00914993" w:rsidP="00FF6F6B">
      <w:pPr>
        <w:spacing w:line="360" w:lineRule="auto"/>
        <w:jc w:val="both"/>
        <w:rPr>
          <w:rFonts w:ascii="Arial" w:eastAsia="Calibri" w:hAnsi="Arial" w:cs="Arial"/>
          <w:iCs/>
          <w:sz w:val="16"/>
          <w:szCs w:val="16"/>
        </w:rPr>
      </w:pPr>
      <w:r w:rsidRPr="00914993">
        <w:rPr>
          <w:rFonts w:ascii="Arial" w:eastAsia="Calibri" w:hAnsi="Arial" w:cs="Arial"/>
          <w:iCs/>
          <w:sz w:val="16"/>
          <w:szCs w:val="16"/>
        </w:rPr>
        <w:t xml:space="preserve">- </w:t>
      </w:r>
      <w:r>
        <w:rPr>
          <w:rFonts w:ascii="Arial" w:eastAsia="Calibri" w:hAnsi="Arial" w:cs="Arial"/>
          <w:iCs/>
          <w:sz w:val="16"/>
          <w:szCs w:val="16"/>
        </w:rPr>
        <w:t>Załącznik nr 13</w:t>
      </w:r>
      <w:r w:rsidRPr="00914993">
        <w:rPr>
          <w:rFonts w:ascii="Arial" w:eastAsia="Calibri" w:hAnsi="Arial" w:cs="Arial"/>
          <w:iCs/>
          <w:sz w:val="16"/>
          <w:szCs w:val="16"/>
        </w:rPr>
        <w:t xml:space="preserve"> po zmianie nr 2.</w:t>
      </w:r>
    </w:p>
    <w:p w:rsidR="00914993" w:rsidRDefault="00914993" w:rsidP="00FF6F6B">
      <w:pPr>
        <w:spacing w:line="360" w:lineRule="auto"/>
        <w:jc w:val="both"/>
        <w:rPr>
          <w:rFonts w:ascii="Arial" w:eastAsia="Calibri" w:hAnsi="Arial" w:cs="Arial"/>
          <w:iCs/>
          <w:sz w:val="16"/>
          <w:szCs w:val="16"/>
        </w:rPr>
      </w:pPr>
      <w:r>
        <w:rPr>
          <w:rFonts w:ascii="Arial" w:eastAsia="Calibri" w:hAnsi="Arial" w:cs="Arial"/>
          <w:iCs/>
          <w:sz w:val="16"/>
          <w:szCs w:val="16"/>
        </w:rPr>
        <w:t>- Załącznik nr 13a</w:t>
      </w:r>
      <w:r w:rsidRPr="00914993">
        <w:rPr>
          <w:rFonts w:ascii="Arial" w:eastAsia="Calibri" w:hAnsi="Arial" w:cs="Arial"/>
          <w:iCs/>
          <w:sz w:val="16"/>
          <w:szCs w:val="16"/>
        </w:rPr>
        <w:t xml:space="preserve"> po zmianie nr 2.</w:t>
      </w:r>
    </w:p>
    <w:p w:rsidR="00147624" w:rsidRDefault="00147624" w:rsidP="00B0678E">
      <w:pPr>
        <w:spacing w:line="360" w:lineRule="auto"/>
        <w:jc w:val="both"/>
        <w:rPr>
          <w:rFonts w:ascii="Arial" w:eastAsia="Calibri" w:hAnsi="Arial" w:cs="Arial"/>
          <w:iCs/>
          <w:sz w:val="16"/>
          <w:szCs w:val="16"/>
        </w:rPr>
      </w:pPr>
    </w:p>
    <w:p w:rsidR="00180B75" w:rsidRDefault="00180B75" w:rsidP="002B2188">
      <w:pPr>
        <w:suppressAutoHyphens/>
        <w:spacing w:after="120"/>
        <w:jc w:val="right"/>
        <w:rPr>
          <w:rFonts w:ascii="Arial" w:eastAsia="Times New Roman" w:hAnsi="Arial" w:cs="Arial"/>
          <w:bCs/>
          <w:i/>
          <w:iCs/>
          <w:sz w:val="22"/>
          <w:szCs w:val="22"/>
          <w:lang w:eastAsia="zh-CN"/>
        </w:rPr>
      </w:pPr>
    </w:p>
    <w:sectPr w:rsidR="00180B75" w:rsidSect="00E042AB">
      <w:footerReference w:type="default" r:id="rId8"/>
      <w:footerReference w:type="first" r:id="rId9"/>
      <w:pgSz w:w="11906" w:h="16838"/>
      <w:pgMar w:top="709" w:right="1133" w:bottom="993" w:left="1560" w:header="708" w:footer="3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B5D" w:rsidRDefault="00755B5D" w:rsidP="007E23F3">
      <w:r>
        <w:separator/>
      </w:r>
    </w:p>
  </w:endnote>
  <w:endnote w:type="continuationSeparator" w:id="0">
    <w:p w:rsidR="00755B5D" w:rsidRDefault="00755B5D" w:rsidP="007E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5D" w:rsidRPr="00341B66" w:rsidRDefault="00755B5D" w:rsidP="00A90721">
    <w:pPr>
      <w:tabs>
        <w:tab w:val="left" w:pos="735"/>
        <w:tab w:val="left" w:pos="1485"/>
        <w:tab w:val="center" w:pos="4536"/>
        <w:tab w:val="right" w:pos="9072"/>
      </w:tabs>
      <w:rPr>
        <w:rFonts w:ascii="Arial" w:eastAsia="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5D" w:rsidRPr="002B2188" w:rsidRDefault="00755B5D" w:rsidP="002B2188">
    <w:pPr>
      <w:pBdr>
        <w:top w:val="none" w:sz="0" w:space="0" w:color="000000"/>
        <w:left w:val="none" w:sz="0" w:space="0" w:color="000000"/>
        <w:bottom w:val="single" w:sz="6" w:space="1" w:color="000000"/>
        <w:right w:val="none" w:sz="0" w:space="0" w:color="000000"/>
      </w:pBdr>
      <w:tabs>
        <w:tab w:val="left" w:pos="1485"/>
      </w:tabs>
      <w:suppressAutoHyphens/>
      <w:rPr>
        <w:rFonts w:ascii="Arial" w:eastAsia="Times New Roman" w:hAnsi="Arial" w:cs="Arial"/>
        <w:sz w:val="20"/>
        <w:szCs w:val="20"/>
        <w:lang w:eastAsia="zh-CN"/>
      </w:rPr>
    </w:pPr>
  </w:p>
  <w:p w:rsidR="00755B5D" w:rsidRPr="002B2188" w:rsidRDefault="00755B5D" w:rsidP="002B2188">
    <w:pPr>
      <w:tabs>
        <w:tab w:val="left" w:pos="1485"/>
      </w:tabs>
      <w:suppressAutoHyphens/>
      <w:jc w:val="center"/>
      <w:rPr>
        <w:rFonts w:ascii="Arial" w:eastAsia="Times New Roman" w:hAnsi="Arial" w:cs="Arial"/>
        <w:sz w:val="16"/>
        <w:szCs w:val="16"/>
        <w:lang w:eastAsia="zh-CN"/>
      </w:rPr>
    </w:pPr>
    <w:r w:rsidRPr="002B2188">
      <w:rPr>
        <w:rFonts w:ascii="Arial" w:eastAsia="Times New Roman" w:hAnsi="Arial" w:cs="Arial"/>
        <w:sz w:val="16"/>
        <w:szCs w:val="16"/>
        <w:lang w:eastAsia="zh-CN"/>
      </w:rPr>
      <w:t>Prowadzący sprawę: Adam Matyga – Inspektor ds. inwestycji  i zamówień publicznych</w:t>
    </w:r>
  </w:p>
  <w:p w:rsidR="00755B5D" w:rsidRPr="002B2188" w:rsidRDefault="00755B5D" w:rsidP="002B2188">
    <w:pPr>
      <w:tabs>
        <w:tab w:val="left" w:pos="1485"/>
      </w:tabs>
      <w:suppressAutoHyphens/>
      <w:jc w:val="center"/>
      <w:rPr>
        <w:rFonts w:ascii="Arial" w:eastAsia="Times New Roman" w:hAnsi="Arial" w:cs="Times New Roman"/>
        <w:sz w:val="22"/>
        <w:szCs w:val="22"/>
        <w:lang w:eastAsia="zh-CN"/>
      </w:rPr>
    </w:pPr>
    <w:r w:rsidRPr="002B2188">
      <w:rPr>
        <w:rFonts w:ascii="Arial" w:eastAsia="Times New Roman" w:hAnsi="Arial" w:cs="Arial"/>
        <w:sz w:val="16"/>
        <w:szCs w:val="16"/>
        <w:lang w:eastAsia="zh-CN"/>
      </w:rPr>
      <w:t>tel. 18 20 795 21| e-mail: przetar</w:t>
    </w:r>
    <w:r>
      <w:rPr>
        <w:rFonts w:ascii="Arial" w:eastAsia="Times New Roman" w:hAnsi="Arial" w:cs="Arial"/>
        <w:sz w:val="16"/>
        <w:szCs w:val="16"/>
        <w:lang w:eastAsia="zh-CN"/>
      </w:rPr>
      <w:t>gi@bialydunajec.com.pl | Pokój 215</w:t>
    </w:r>
  </w:p>
  <w:p w:rsidR="00755B5D" w:rsidRDefault="00755B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B5D" w:rsidRDefault="00755B5D" w:rsidP="007E23F3">
      <w:r>
        <w:separator/>
      </w:r>
    </w:p>
  </w:footnote>
  <w:footnote w:type="continuationSeparator" w:id="0">
    <w:p w:rsidR="00755B5D" w:rsidRDefault="00755B5D" w:rsidP="007E2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F32C86E4"/>
    <w:name w:val="WW8Num5"/>
    <w:lvl w:ilvl="0">
      <w:start w:val="1"/>
      <w:numFmt w:val="decimal"/>
      <w:lvlText w:val="%1."/>
      <w:lvlJc w:val="left"/>
      <w:pPr>
        <w:tabs>
          <w:tab w:val="num" w:pos="0"/>
        </w:tabs>
        <w:ind w:left="720" w:hanging="360"/>
      </w:pPr>
      <w:rPr>
        <w:rFonts w:ascii="Arial" w:hAnsi="Arial" w:cs="Arial" w:hint="default"/>
        <w:sz w:val="24"/>
        <w:szCs w:val="20"/>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nsid w:val="00000006"/>
    <w:multiLevelType w:val="singleLevel"/>
    <w:tmpl w:val="00000006"/>
    <w:name w:val="WW8Num6"/>
    <w:lvl w:ilvl="0">
      <w:start w:val="1"/>
      <w:numFmt w:val="decimal"/>
      <w:lvlText w:val="%1."/>
      <w:lvlJc w:val="left"/>
      <w:pPr>
        <w:tabs>
          <w:tab w:val="num" w:pos="0"/>
        </w:tabs>
        <w:ind w:left="720" w:hanging="360"/>
      </w:pPr>
      <w:rPr>
        <w:rFonts w:hint="default"/>
        <w:color w:val="000000"/>
      </w:rPr>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8"/>
    <w:multiLevelType w:val="singleLevel"/>
    <w:tmpl w:val="C2281EAE"/>
    <w:name w:val="WW8Num8"/>
    <w:lvl w:ilvl="0">
      <w:start w:val="1"/>
      <w:numFmt w:val="decimal"/>
      <w:lvlText w:val="%1."/>
      <w:lvlJc w:val="left"/>
      <w:pPr>
        <w:tabs>
          <w:tab w:val="num" w:pos="0"/>
        </w:tabs>
        <w:ind w:left="720" w:hanging="360"/>
      </w:pPr>
      <w:rPr>
        <w:rFonts w:ascii="Arial" w:hAnsi="Arial" w:cs="Arial" w:hint="default"/>
        <w:b w:val="0"/>
      </w:rPr>
    </w:lvl>
  </w:abstractNum>
  <w:abstractNum w:abstractNumId="4">
    <w:nsid w:val="0000000C"/>
    <w:multiLevelType w:val="multilevel"/>
    <w:tmpl w:val="0000000C"/>
    <w:name w:val="WW8Num12"/>
    <w:lvl w:ilvl="0">
      <w:start w:val="2"/>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6">
    <w:nsid w:val="0000000F"/>
    <w:multiLevelType w:val="singleLevel"/>
    <w:tmpl w:val="0000000F"/>
    <w:name w:val="WW8Num15"/>
    <w:lvl w:ilvl="0">
      <w:start w:val="1"/>
      <w:numFmt w:val="decimal"/>
      <w:lvlText w:val="%1."/>
      <w:lvlJc w:val="left"/>
      <w:pPr>
        <w:tabs>
          <w:tab w:val="num" w:pos="0"/>
        </w:tabs>
        <w:ind w:left="720" w:hanging="360"/>
      </w:pPr>
      <w:rPr>
        <w:rFonts w:hint="default"/>
        <w:color w:val="000000"/>
      </w:rPr>
    </w:lvl>
  </w:abstractNum>
  <w:abstractNum w:abstractNumId="7">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hint="default"/>
      </w:rPr>
    </w:lvl>
  </w:abstractNum>
  <w:abstractNum w:abstractNumId="8">
    <w:nsid w:val="00000013"/>
    <w:multiLevelType w:val="multilevel"/>
    <w:tmpl w:val="00000013"/>
    <w:name w:val="WW8Num19"/>
    <w:lvl w:ilvl="0">
      <w:start w:val="2"/>
      <w:numFmt w:val="lowerLetter"/>
      <w:lvlText w:val="%1."/>
      <w:lvlJc w:val="left"/>
      <w:pPr>
        <w:tabs>
          <w:tab w:val="num" w:pos="502"/>
        </w:tabs>
        <w:ind w:left="502" w:hanging="360"/>
      </w:pPr>
      <w:rPr>
        <w:rFonts w:cs="Arial"/>
        <w:sz w:val="20"/>
        <w:szCs w:val="20"/>
      </w:rPr>
    </w:lvl>
    <w:lvl w:ilvl="1">
      <w:start w:val="1"/>
      <w:numFmt w:val="lowerLetter"/>
      <w:lvlText w:val="%2."/>
      <w:lvlJc w:val="left"/>
      <w:pPr>
        <w:tabs>
          <w:tab w:val="num" w:pos="1222"/>
        </w:tabs>
        <w:ind w:left="1222" w:hanging="360"/>
      </w:pPr>
    </w:lvl>
    <w:lvl w:ilvl="2">
      <w:start w:val="1"/>
      <w:numFmt w:val="lowerLetter"/>
      <w:lvlText w:val="%3."/>
      <w:lvlJc w:val="left"/>
      <w:pPr>
        <w:tabs>
          <w:tab w:val="num" w:pos="1942"/>
        </w:tabs>
        <w:ind w:left="1942" w:hanging="360"/>
      </w:pPr>
    </w:lvl>
    <w:lvl w:ilvl="3">
      <w:start w:val="1"/>
      <w:numFmt w:val="lowerLetter"/>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Letter"/>
      <w:lvlText w:val="%6."/>
      <w:lvlJc w:val="left"/>
      <w:pPr>
        <w:tabs>
          <w:tab w:val="num" w:pos="4102"/>
        </w:tabs>
        <w:ind w:left="4102" w:hanging="360"/>
      </w:pPr>
    </w:lvl>
    <w:lvl w:ilvl="6">
      <w:start w:val="1"/>
      <w:numFmt w:val="lowerLetter"/>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Letter"/>
      <w:lvlText w:val="%9."/>
      <w:lvlJc w:val="left"/>
      <w:pPr>
        <w:tabs>
          <w:tab w:val="num" w:pos="6262"/>
        </w:tabs>
        <w:ind w:left="6262" w:hanging="360"/>
      </w:pPr>
    </w:lvl>
  </w:abstractNum>
  <w:abstractNum w:abstractNumId="9">
    <w:nsid w:val="00000014"/>
    <w:multiLevelType w:val="singleLevel"/>
    <w:tmpl w:val="00000014"/>
    <w:name w:val="WW8Num20"/>
    <w:lvl w:ilvl="0">
      <w:start w:val="1"/>
      <w:numFmt w:val="decimal"/>
      <w:lvlText w:val="%1."/>
      <w:lvlJc w:val="left"/>
      <w:pPr>
        <w:tabs>
          <w:tab w:val="num" w:pos="0"/>
        </w:tabs>
        <w:ind w:left="720" w:hanging="360"/>
      </w:pPr>
      <w:rPr>
        <w:rFonts w:hint="default"/>
        <w:color w:val="000000"/>
      </w:rPr>
    </w:lvl>
  </w:abstractNum>
  <w:abstractNum w:abstractNumId="10">
    <w:nsid w:val="00000015"/>
    <w:multiLevelType w:val="multilevel"/>
    <w:tmpl w:val="00000015"/>
    <w:name w:val="WW8Num21"/>
    <w:lvl w:ilvl="0">
      <w:start w:val="1"/>
      <w:numFmt w:val="decimal"/>
      <w:lvlText w:val="%1."/>
      <w:lvlJc w:val="left"/>
      <w:pPr>
        <w:tabs>
          <w:tab w:val="num" w:pos="0"/>
        </w:tabs>
        <w:ind w:left="720" w:hanging="360"/>
      </w:pPr>
      <w:rPr>
        <w:rFonts w:hint="default"/>
        <w:color w:val="000000"/>
      </w:rPr>
    </w:lvl>
    <w:lvl w:ilvl="1">
      <w:start w:val="1"/>
      <w:numFmt w:val="lowerLetter"/>
      <w:lvlText w:val="%2."/>
      <w:lvlJc w:val="left"/>
      <w:pPr>
        <w:tabs>
          <w:tab w:val="num" w:pos="0"/>
        </w:tabs>
        <w:ind w:left="1440" w:hanging="360"/>
      </w:pPr>
      <w:rPr>
        <w:rFonts w:cs="Arial"/>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16"/>
    <w:multiLevelType w:val="singleLevel"/>
    <w:tmpl w:val="00000016"/>
    <w:name w:val="WW8Num22"/>
    <w:lvl w:ilvl="0">
      <w:start w:val="1"/>
      <w:numFmt w:val="bullet"/>
      <w:lvlText w:val=""/>
      <w:lvlJc w:val="left"/>
      <w:pPr>
        <w:tabs>
          <w:tab w:val="num" w:pos="0"/>
        </w:tabs>
        <w:ind w:left="360" w:hanging="360"/>
      </w:pPr>
      <w:rPr>
        <w:rFonts w:ascii="Symbol" w:hAnsi="Symbol" w:cs="Symbol" w:hint="default"/>
      </w:rPr>
    </w:lvl>
  </w:abstractNum>
  <w:abstractNum w:abstractNumId="12">
    <w:nsid w:val="00000018"/>
    <w:multiLevelType w:val="singleLevel"/>
    <w:tmpl w:val="00000018"/>
    <w:name w:val="WW8Num25"/>
    <w:lvl w:ilvl="0">
      <w:start w:val="1"/>
      <w:numFmt w:val="decimal"/>
      <w:lvlText w:val="%1."/>
      <w:lvlJc w:val="left"/>
      <w:pPr>
        <w:tabs>
          <w:tab w:val="num" w:pos="0"/>
        </w:tabs>
        <w:ind w:left="720" w:hanging="360"/>
      </w:pPr>
      <w:rPr>
        <w:rFonts w:cs="Arial" w:hint="default"/>
        <w:color w:val="000000"/>
      </w:rPr>
    </w:lvl>
  </w:abstractNum>
  <w:abstractNum w:abstractNumId="13">
    <w:nsid w:val="002C3DC2"/>
    <w:multiLevelType w:val="multilevel"/>
    <w:tmpl w:val="E7ECCFE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4">
    <w:nsid w:val="011419A8"/>
    <w:multiLevelType w:val="multilevel"/>
    <w:tmpl w:val="0902E3C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080969F6"/>
    <w:multiLevelType w:val="multilevel"/>
    <w:tmpl w:val="AC3287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nsid w:val="085C7143"/>
    <w:multiLevelType w:val="multilevel"/>
    <w:tmpl w:val="D11E02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0C887720"/>
    <w:multiLevelType w:val="multilevel"/>
    <w:tmpl w:val="B35E9A7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8">
    <w:nsid w:val="0F5679AA"/>
    <w:multiLevelType w:val="multilevel"/>
    <w:tmpl w:val="70060D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0FEA4410"/>
    <w:multiLevelType w:val="multilevel"/>
    <w:tmpl w:val="A948D4D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0">
    <w:nsid w:val="13183719"/>
    <w:multiLevelType w:val="multilevel"/>
    <w:tmpl w:val="ECC013D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1">
    <w:nsid w:val="13C813FA"/>
    <w:multiLevelType w:val="multilevel"/>
    <w:tmpl w:val="2AF667A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2">
    <w:nsid w:val="1AC536A2"/>
    <w:multiLevelType w:val="multilevel"/>
    <w:tmpl w:val="338833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1CAF2BEC"/>
    <w:multiLevelType w:val="multilevel"/>
    <w:tmpl w:val="8BF0F74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23634EA9"/>
    <w:multiLevelType w:val="multilevel"/>
    <w:tmpl w:val="F3B28E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247A1990"/>
    <w:multiLevelType w:val="multilevel"/>
    <w:tmpl w:val="E00013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256420BD"/>
    <w:multiLevelType w:val="multilevel"/>
    <w:tmpl w:val="664E4A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27300398"/>
    <w:multiLevelType w:val="multilevel"/>
    <w:tmpl w:val="259A0F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nsid w:val="2A826AD1"/>
    <w:multiLevelType w:val="multilevel"/>
    <w:tmpl w:val="6A220A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2C15680E"/>
    <w:multiLevelType w:val="multilevel"/>
    <w:tmpl w:val="46F20F9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0">
    <w:nsid w:val="316768DF"/>
    <w:multiLevelType w:val="multilevel"/>
    <w:tmpl w:val="163EBC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31973B30"/>
    <w:multiLevelType w:val="multilevel"/>
    <w:tmpl w:val="B4AE00C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34107946"/>
    <w:multiLevelType w:val="multilevel"/>
    <w:tmpl w:val="91FE52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35792D8F"/>
    <w:multiLevelType w:val="multilevel"/>
    <w:tmpl w:val="E5324A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36FD541F"/>
    <w:multiLevelType w:val="multilevel"/>
    <w:tmpl w:val="F3CA0DD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3ACE33F0"/>
    <w:multiLevelType w:val="multilevel"/>
    <w:tmpl w:val="6352BA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3C280CFB"/>
    <w:multiLevelType w:val="multilevel"/>
    <w:tmpl w:val="78AAB4C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7">
    <w:nsid w:val="3C6C4554"/>
    <w:multiLevelType w:val="multilevel"/>
    <w:tmpl w:val="C136C8A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3E2A20D6"/>
    <w:multiLevelType w:val="multilevel"/>
    <w:tmpl w:val="E58AA0D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3E336466"/>
    <w:multiLevelType w:val="multilevel"/>
    <w:tmpl w:val="ACE0C1A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3F9B6D8B"/>
    <w:multiLevelType w:val="multilevel"/>
    <w:tmpl w:val="5658DD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nsid w:val="42784548"/>
    <w:multiLevelType w:val="multilevel"/>
    <w:tmpl w:val="444ED1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434874CF"/>
    <w:multiLevelType w:val="multilevel"/>
    <w:tmpl w:val="FA7E70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45C715A8"/>
    <w:multiLevelType w:val="hybridMultilevel"/>
    <w:tmpl w:val="E256A99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7B64AF3"/>
    <w:multiLevelType w:val="multilevel"/>
    <w:tmpl w:val="B5A88778"/>
    <w:lvl w:ilvl="0">
      <w:start w:val="1"/>
      <w:numFmt w:val="decimal"/>
      <w:lvlText w:val="%1)"/>
      <w:lvlJc w:val="left"/>
      <w:pPr>
        <w:ind w:left="54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nsid w:val="48117D03"/>
    <w:multiLevelType w:val="multilevel"/>
    <w:tmpl w:val="486A9C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nsid w:val="4B2C1686"/>
    <w:multiLevelType w:val="multilevel"/>
    <w:tmpl w:val="A726FD6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nsid w:val="4DCB24C5"/>
    <w:multiLevelType w:val="multilevel"/>
    <w:tmpl w:val="CBC02C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nsid w:val="51711044"/>
    <w:multiLevelType w:val="multilevel"/>
    <w:tmpl w:val="7D98AD3A"/>
    <w:styleLink w:val="WWNum1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546C0645"/>
    <w:multiLevelType w:val="multilevel"/>
    <w:tmpl w:val="681A13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5B812447"/>
    <w:multiLevelType w:val="multilevel"/>
    <w:tmpl w:val="F1ECB0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nsid w:val="62285EFF"/>
    <w:multiLevelType w:val="multilevel"/>
    <w:tmpl w:val="48EAA98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2">
    <w:nsid w:val="6C293C41"/>
    <w:multiLevelType w:val="multilevel"/>
    <w:tmpl w:val="AA68D0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nsid w:val="6DCB5BD9"/>
    <w:multiLevelType w:val="multilevel"/>
    <w:tmpl w:val="A0F6803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nsid w:val="72B71FEC"/>
    <w:multiLevelType w:val="multilevel"/>
    <w:tmpl w:val="B238910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5">
    <w:nsid w:val="7583021F"/>
    <w:multiLevelType w:val="multilevel"/>
    <w:tmpl w:val="3B84A4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76695CE5"/>
    <w:multiLevelType w:val="multilevel"/>
    <w:tmpl w:val="F9387D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7">
    <w:nsid w:val="76B128DF"/>
    <w:multiLevelType w:val="multilevel"/>
    <w:tmpl w:val="734A3E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nsid w:val="78DE2AC2"/>
    <w:multiLevelType w:val="multilevel"/>
    <w:tmpl w:val="0D1408A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nsid w:val="7DC77FF0"/>
    <w:multiLevelType w:val="multilevel"/>
    <w:tmpl w:val="C06454CC"/>
    <w:styleLink w:val="WWNum2"/>
    <w:lvl w:ilvl="0">
      <w:start w:val="1"/>
      <w:numFmt w:val="decimal"/>
      <w:lvlText w:val="%1."/>
      <w:lvlJc w:val="left"/>
      <w:pPr>
        <w:ind w:left="360" w:hanging="360"/>
      </w:pPr>
      <w:rPr>
        <w:b w:val="0"/>
        <w:i w:val="0"/>
        <w:color w:val="00000A"/>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7."/>
      <w:lvlJc w:val="left"/>
      <w:pPr>
        <w:ind w:left="2880" w:hanging="360"/>
      </w:pPr>
      <w:rPr>
        <w:b w:val="0"/>
      </w:r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31"/>
  </w:num>
  <w:num w:numId="3">
    <w:abstractNumId w:val="59"/>
  </w:num>
  <w:num w:numId="4">
    <w:abstractNumId w:val="48"/>
  </w:num>
  <w:num w:numId="5">
    <w:abstractNumId w:val="15"/>
  </w:num>
  <w:num w:numId="6">
    <w:abstractNumId w:val="50"/>
  </w:num>
  <w:num w:numId="7">
    <w:abstractNumId w:val="19"/>
  </w:num>
  <w:num w:numId="8">
    <w:abstractNumId w:val="44"/>
  </w:num>
  <w:num w:numId="9">
    <w:abstractNumId w:val="13"/>
  </w:num>
  <w:num w:numId="10">
    <w:abstractNumId w:val="29"/>
  </w:num>
  <w:num w:numId="11">
    <w:abstractNumId w:val="17"/>
  </w:num>
  <w:num w:numId="12">
    <w:abstractNumId w:val="36"/>
  </w:num>
  <w:num w:numId="13">
    <w:abstractNumId w:val="27"/>
  </w:num>
  <w:num w:numId="14">
    <w:abstractNumId w:val="20"/>
  </w:num>
  <w:num w:numId="15">
    <w:abstractNumId w:val="51"/>
  </w:num>
  <w:num w:numId="16">
    <w:abstractNumId w:val="38"/>
  </w:num>
  <w:num w:numId="17">
    <w:abstractNumId w:val="53"/>
  </w:num>
  <w:num w:numId="18">
    <w:abstractNumId w:val="28"/>
  </w:num>
  <w:num w:numId="19">
    <w:abstractNumId w:val="58"/>
  </w:num>
  <w:num w:numId="20">
    <w:abstractNumId w:val="37"/>
  </w:num>
  <w:num w:numId="21">
    <w:abstractNumId w:val="54"/>
  </w:num>
  <w:num w:numId="22">
    <w:abstractNumId w:val="34"/>
  </w:num>
  <w:num w:numId="23">
    <w:abstractNumId w:val="25"/>
  </w:num>
  <w:num w:numId="24">
    <w:abstractNumId w:val="18"/>
  </w:num>
  <w:num w:numId="25">
    <w:abstractNumId w:val="22"/>
  </w:num>
  <w:num w:numId="26">
    <w:abstractNumId w:val="35"/>
  </w:num>
  <w:num w:numId="27">
    <w:abstractNumId w:val="26"/>
  </w:num>
  <w:num w:numId="28">
    <w:abstractNumId w:val="33"/>
  </w:num>
  <w:num w:numId="29">
    <w:abstractNumId w:val="41"/>
  </w:num>
  <w:num w:numId="30">
    <w:abstractNumId w:val="24"/>
  </w:num>
  <w:num w:numId="31">
    <w:abstractNumId w:val="32"/>
  </w:num>
  <w:num w:numId="32">
    <w:abstractNumId w:val="46"/>
  </w:num>
  <w:num w:numId="33">
    <w:abstractNumId w:val="57"/>
  </w:num>
  <w:num w:numId="34">
    <w:abstractNumId w:val="21"/>
  </w:num>
  <w:num w:numId="35">
    <w:abstractNumId w:val="49"/>
  </w:num>
  <w:num w:numId="36">
    <w:abstractNumId w:val="42"/>
  </w:num>
  <w:num w:numId="37">
    <w:abstractNumId w:val="55"/>
  </w:num>
  <w:num w:numId="38">
    <w:abstractNumId w:val="39"/>
  </w:num>
  <w:num w:numId="39">
    <w:abstractNumId w:val="45"/>
  </w:num>
  <w:num w:numId="40">
    <w:abstractNumId w:val="30"/>
  </w:num>
  <w:num w:numId="41">
    <w:abstractNumId w:val="14"/>
  </w:num>
  <w:num w:numId="42">
    <w:abstractNumId w:val="52"/>
  </w:num>
  <w:num w:numId="43">
    <w:abstractNumId w:val="23"/>
  </w:num>
  <w:num w:numId="44">
    <w:abstractNumId w:val="56"/>
  </w:num>
  <w:num w:numId="45">
    <w:abstractNumId w:val="47"/>
  </w:num>
  <w:num w:numId="46">
    <w:abstractNumId w:val="40"/>
  </w:num>
  <w:num w:numId="47">
    <w:abstractNumId w:val="16"/>
  </w:num>
  <w:num w:numId="48">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FF56E4"/>
    <w:rsid w:val="00001DA0"/>
    <w:rsid w:val="000621BD"/>
    <w:rsid w:val="00062681"/>
    <w:rsid w:val="000633E5"/>
    <w:rsid w:val="000B4C54"/>
    <w:rsid w:val="000B5D2F"/>
    <w:rsid w:val="000C079F"/>
    <w:rsid w:val="000D6D23"/>
    <w:rsid w:val="000F3E59"/>
    <w:rsid w:val="00103B6D"/>
    <w:rsid w:val="0011566F"/>
    <w:rsid w:val="00144AE4"/>
    <w:rsid w:val="00147624"/>
    <w:rsid w:val="0017577F"/>
    <w:rsid w:val="00176BD3"/>
    <w:rsid w:val="00180B75"/>
    <w:rsid w:val="001B3818"/>
    <w:rsid w:val="001C4356"/>
    <w:rsid w:val="001E3E53"/>
    <w:rsid w:val="002136F0"/>
    <w:rsid w:val="00232BB1"/>
    <w:rsid w:val="00283AE3"/>
    <w:rsid w:val="00296D22"/>
    <w:rsid w:val="002B2188"/>
    <w:rsid w:val="002B384B"/>
    <w:rsid w:val="002C3EB2"/>
    <w:rsid w:val="00301FCE"/>
    <w:rsid w:val="0032004B"/>
    <w:rsid w:val="00341671"/>
    <w:rsid w:val="00341B66"/>
    <w:rsid w:val="00364921"/>
    <w:rsid w:val="003817F7"/>
    <w:rsid w:val="003836DC"/>
    <w:rsid w:val="0039352E"/>
    <w:rsid w:val="003A3A4B"/>
    <w:rsid w:val="003C029C"/>
    <w:rsid w:val="003F408E"/>
    <w:rsid w:val="00415ABA"/>
    <w:rsid w:val="00433BE5"/>
    <w:rsid w:val="00450B2C"/>
    <w:rsid w:val="00455342"/>
    <w:rsid w:val="00470183"/>
    <w:rsid w:val="00484225"/>
    <w:rsid w:val="004D4ABB"/>
    <w:rsid w:val="0050384B"/>
    <w:rsid w:val="00504EC4"/>
    <w:rsid w:val="00507196"/>
    <w:rsid w:val="00587634"/>
    <w:rsid w:val="005A1713"/>
    <w:rsid w:val="005D6436"/>
    <w:rsid w:val="005F0C48"/>
    <w:rsid w:val="005F6125"/>
    <w:rsid w:val="005F6B4E"/>
    <w:rsid w:val="00611F67"/>
    <w:rsid w:val="0064256D"/>
    <w:rsid w:val="006864F8"/>
    <w:rsid w:val="006A4F39"/>
    <w:rsid w:val="006B5B3B"/>
    <w:rsid w:val="006E2569"/>
    <w:rsid w:val="006E5A17"/>
    <w:rsid w:val="006F6137"/>
    <w:rsid w:val="007461C3"/>
    <w:rsid w:val="00746A53"/>
    <w:rsid w:val="007512CD"/>
    <w:rsid w:val="00755B5D"/>
    <w:rsid w:val="0076581B"/>
    <w:rsid w:val="00781711"/>
    <w:rsid w:val="007A4BCF"/>
    <w:rsid w:val="007D23CE"/>
    <w:rsid w:val="007E185F"/>
    <w:rsid w:val="007E23F3"/>
    <w:rsid w:val="007F17C4"/>
    <w:rsid w:val="008044EA"/>
    <w:rsid w:val="00816B78"/>
    <w:rsid w:val="00820D96"/>
    <w:rsid w:val="00840719"/>
    <w:rsid w:val="008514E0"/>
    <w:rsid w:val="00855DE7"/>
    <w:rsid w:val="008768AC"/>
    <w:rsid w:val="00886605"/>
    <w:rsid w:val="00897B4A"/>
    <w:rsid w:val="008F4158"/>
    <w:rsid w:val="008F6E4B"/>
    <w:rsid w:val="00914993"/>
    <w:rsid w:val="00931CBE"/>
    <w:rsid w:val="00972738"/>
    <w:rsid w:val="009735EA"/>
    <w:rsid w:val="00980EDE"/>
    <w:rsid w:val="009A77DD"/>
    <w:rsid w:val="00A2164C"/>
    <w:rsid w:val="00A21950"/>
    <w:rsid w:val="00A325FC"/>
    <w:rsid w:val="00A35192"/>
    <w:rsid w:val="00A422D1"/>
    <w:rsid w:val="00A66DB4"/>
    <w:rsid w:val="00A90721"/>
    <w:rsid w:val="00AB168E"/>
    <w:rsid w:val="00AB44BB"/>
    <w:rsid w:val="00AC0256"/>
    <w:rsid w:val="00AC6E73"/>
    <w:rsid w:val="00AD1990"/>
    <w:rsid w:val="00AD75DC"/>
    <w:rsid w:val="00AE7076"/>
    <w:rsid w:val="00AF2636"/>
    <w:rsid w:val="00AF7A86"/>
    <w:rsid w:val="00B02443"/>
    <w:rsid w:val="00B05B75"/>
    <w:rsid w:val="00B0678E"/>
    <w:rsid w:val="00B0776F"/>
    <w:rsid w:val="00B1213C"/>
    <w:rsid w:val="00B3105A"/>
    <w:rsid w:val="00B52EE3"/>
    <w:rsid w:val="00B545BB"/>
    <w:rsid w:val="00B8339F"/>
    <w:rsid w:val="00BA4266"/>
    <w:rsid w:val="00BC4075"/>
    <w:rsid w:val="00C17ADB"/>
    <w:rsid w:val="00C20222"/>
    <w:rsid w:val="00C24255"/>
    <w:rsid w:val="00C40297"/>
    <w:rsid w:val="00C67A28"/>
    <w:rsid w:val="00C7426A"/>
    <w:rsid w:val="00C9051C"/>
    <w:rsid w:val="00C9180E"/>
    <w:rsid w:val="00CC720D"/>
    <w:rsid w:val="00D51F01"/>
    <w:rsid w:val="00D65F7D"/>
    <w:rsid w:val="00D71C71"/>
    <w:rsid w:val="00D834D9"/>
    <w:rsid w:val="00DA36B5"/>
    <w:rsid w:val="00DA4EFC"/>
    <w:rsid w:val="00DB79EE"/>
    <w:rsid w:val="00DB7C2A"/>
    <w:rsid w:val="00DC2418"/>
    <w:rsid w:val="00DC6668"/>
    <w:rsid w:val="00E042AB"/>
    <w:rsid w:val="00E24CE6"/>
    <w:rsid w:val="00E45184"/>
    <w:rsid w:val="00E6096B"/>
    <w:rsid w:val="00E752CA"/>
    <w:rsid w:val="00E8236D"/>
    <w:rsid w:val="00E82C17"/>
    <w:rsid w:val="00E96056"/>
    <w:rsid w:val="00E97849"/>
    <w:rsid w:val="00EC41AC"/>
    <w:rsid w:val="00EF6EF1"/>
    <w:rsid w:val="00F16A15"/>
    <w:rsid w:val="00F33B64"/>
    <w:rsid w:val="00F60F02"/>
    <w:rsid w:val="00F727D6"/>
    <w:rsid w:val="00F91CC8"/>
    <w:rsid w:val="00FE0E0A"/>
    <w:rsid w:val="00FE2455"/>
    <w:rsid w:val="00FF56E4"/>
    <w:rsid w:val="00FF5910"/>
    <w:rsid w:val="00FF6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4266"/>
    <w:pPr>
      <w:spacing w:before="0" w:beforeAutospacing="0" w:after="0" w:afterAutospacing="0" w:line="240" w:lineRule="auto"/>
      <w:jc w:val="left"/>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64921"/>
    <w:rPr>
      <w:rFonts w:ascii="Courier New" w:eastAsia="Times New Roman" w:hAnsi="Courier New" w:cs="Times New Roman"/>
      <w:szCs w:val="20"/>
      <w:lang w:eastAsia="pl-PL"/>
    </w:rPr>
  </w:style>
  <w:style w:type="character" w:customStyle="1" w:styleId="TekstpodstawowyZnak">
    <w:name w:val="Tekst podstawowy Znak"/>
    <w:basedOn w:val="Domylnaczcionkaakapitu"/>
    <w:link w:val="Tekstpodstawowy"/>
    <w:rsid w:val="00364921"/>
    <w:rPr>
      <w:rFonts w:ascii="Courier New" w:eastAsia="Times New Roman" w:hAnsi="Courier New" w:cs="Times New Roman"/>
      <w:sz w:val="24"/>
      <w:szCs w:val="20"/>
      <w:lang w:eastAsia="pl-PL"/>
    </w:rPr>
  </w:style>
  <w:style w:type="paragraph" w:styleId="Nagwek">
    <w:name w:val="header"/>
    <w:basedOn w:val="Normalny"/>
    <w:link w:val="NagwekZnak"/>
    <w:uiPriority w:val="99"/>
    <w:unhideWhenUsed/>
    <w:rsid w:val="007E23F3"/>
    <w:pPr>
      <w:tabs>
        <w:tab w:val="center" w:pos="4536"/>
        <w:tab w:val="right" w:pos="9072"/>
      </w:tabs>
    </w:pPr>
  </w:style>
  <w:style w:type="character" w:customStyle="1" w:styleId="NagwekZnak">
    <w:name w:val="Nagłówek Znak"/>
    <w:basedOn w:val="Domylnaczcionkaakapitu"/>
    <w:link w:val="Nagwek"/>
    <w:uiPriority w:val="99"/>
    <w:rsid w:val="007E23F3"/>
    <w:rPr>
      <w:sz w:val="24"/>
      <w:szCs w:val="24"/>
    </w:rPr>
  </w:style>
  <w:style w:type="paragraph" w:styleId="Stopka">
    <w:name w:val="footer"/>
    <w:basedOn w:val="Normalny"/>
    <w:link w:val="StopkaZnak"/>
    <w:uiPriority w:val="99"/>
    <w:unhideWhenUsed/>
    <w:rsid w:val="007E23F3"/>
    <w:pPr>
      <w:tabs>
        <w:tab w:val="center" w:pos="4536"/>
        <w:tab w:val="right" w:pos="9072"/>
      </w:tabs>
    </w:pPr>
  </w:style>
  <w:style w:type="character" w:customStyle="1" w:styleId="StopkaZnak">
    <w:name w:val="Stopka Znak"/>
    <w:basedOn w:val="Domylnaczcionkaakapitu"/>
    <w:link w:val="Stopka"/>
    <w:uiPriority w:val="99"/>
    <w:rsid w:val="007E23F3"/>
    <w:rPr>
      <w:sz w:val="24"/>
      <w:szCs w:val="24"/>
    </w:rPr>
  </w:style>
  <w:style w:type="character" w:styleId="Hipercze">
    <w:name w:val="Hyperlink"/>
    <w:basedOn w:val="Domylnaczcionkaakapitu"/>
    <w:uiPriority w:val="99"/>
    <w:unhideWhenUsed/>
    <w:rsid w:val="00587634"/>
    <w:rPr>
      <w:color w:val="0000FF" w:themeColor="hyperlink"/>
      <w:u w:val="single"/>
    </w:rPr>
  </w:style>
  <w:style w:type="paragraph" w:styleId="Akapitzlist">
    <w:name w:val="List Paragraph"/>
    <w:basedOn w:val="Normalny"/>
    <w:uiPriority w:val="34"/>
    <w:qFormat/>
    <w:rsid w:val="00C17ADB"/>
    <w:pPr>
      <w:ind w:left="720"/>
      <w:contextualSpacing/>
    </w:pPr>
  </w:style>
  <w:style w:type="paragraph" w:customStyle="1" w:styleId="Default">
    <w:name w:val="Default"/>
    <w:rsid w:val="00B545BB"/>
    <w:pPr>
      <w:autoSpaceDE w:val="0"/>
      <w:autoSpaceDN w:val="0"/>
      <w:adjustRightInd w:val="0"/>
      <w:spacing w:before="0" w:beforeAutospacing="0" w:after="0" w:afterAutospacing="0" w:line="240" w:lineRule="auto"/>
      <w:jc w:val="left"/>
    </w:pPr>
    <w:rPr>
      <w:rFonts w:ascii="Calibri" w:hAnsi="Calibri" w:cs="Calibri"/>
      <w:color w:val="000000"/>
      <w:sz w:val="24"/>
      <w:szCs w:val="24"/>
    </w:rPr>
  </w:style>
  <w:style w:type="numbering" w:customStyle="1" w:styleId="WWNum2">
    <w:name w:val="WWNum2"/>
    <w:basedOn w:val="Bezlisty"/>
    <w:rsid w:val="006E5A17"/>
    <w:pPr>
      <w:numPr>
        <w:numId w:val="3"/>
      </w:numPr>
    </w:pPr>
  </w:style>
  <w:style w:type="numbering" w:customStyle="1" w:styleId="WWNum17">
    <w:name w:val="WWNum17"/>
    <w:basedOn w:val="Bezlisty"/>
    <w:rsid w:val="006E5A17"/>
    <w:pPr>
      <w:numPr>
        <w:numId w:val="4"/>
      </w:numPr>
    </w:pPr>
  </w:style>
  <w:style w:type="paragraph" w:styleId="Tekstdymka">
    <w:name w:val="Balloon Text"/>
    <w:basedOn w:val="Normalny"/>
    <w:link w:val="TekstdymkaZnak"/>
    <w:uiPriority w:val="99"/>
    <w:semiHidden/>
    <w:unhideWhenUsed/>
    <w:rsid w:val="00972738"/>
    <w:rPr>
      <w:rFonts w:ascii="Tahoma" w:hAnsi="Tahoma" w:cs="Tahoma"/>
      <w:sz w:val="16"/>
      <w:szCs w:val="16"/>
    </w:rPr>
  </w:style>
  <w:style w:type="character" w:customStyle="1" w:styleId="TekstdymkaZnak">
    <w:name w:val="Tekst dymka Znak"/>
    <w:basedOn w:val="Domylnaczcionkaakapitu"/>
    <w:link w:val="Tekstdymka"/>
    <w:uiPriority w:val="99"/>
    <w:semiHidden/>
    <w:rsid w:val="009727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Tekstpodstawowy">
    <w:name w:val="WWNum17"/>
    <w:pPr>
      <w:numPr>
        <w:numId w:val="4"/>
      </w:numPr>
    </w:pPr>
  </w:style>
  <w:style w:type="numbering" w:customStyle="1" w:styleId="TekstpodstawowyZnak">
    <w:name w:val="WWNum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92732">
      <w:bodyDiv w:val="1"/>
      <w:marLeft w:val="0"/>
      <w:marRight w:val="0"/>
      <w:marTop w:val="0"/>
      <w:marBottom w:val="0"/>
      <w:divBdr>
        <w:top w:val="none" w:sz="0" w:space="0" w:color="auto"/>
        <w:left w:val="none" w:sz="0" w:space="0" w:color="auto"/>
        <w:bottom w:val="none" w:sz="0" w:space="0" w:color="auto"/>
        <w:right w:val="none" w:sz="0" w:space="0" w:color="auto"/>
      </w:divBdr>
    </w:div>
    <w:div w:id="894900076">
      <w:bodyDiv w:val="1"/>
      <w:marLeft w:val="0"/>
      <w:marRight w:val="0"/>
      <w:marTop w:val="0"/>
      <w:marBottom w:val="0"/>
      <w:divBdr>
        <w:top w:val="none" w:sz="0" w:space="0" w:color="auto"/>
        <w:left w:val="none" w:sz="0" w:space="0" w:color="auto"/>
        <w:bottom w:val="none" w:sz="0" w:space="0" w:color="auto"/>
        <w:right w:val="none" w:sz="0" w:space="0" w:color="auto"/>
      </w:divBdr>
      <w:divsChild>
        <w:div w:id="966664695">
          <w:marLeft w:val="0"/>
          <w:marRight w:val="0"/>
          <w:marTop w:val="0"/>
          <w:marBottom w:val="0"/>
          <w:divBdr>
            <w:top w:val="none" w:sz="0" w:space="0" w:color="auto"/>
            <w:left w:val="none" w:sz="0" w:space="0" w:color="auto"/>
            <w:bottom w:val="none" w:sz="0" w:space="0" w:color="auto"/>
            <w:right w:val="none" w:sz="0" w:space="0" w:color="auto"/>
          </w:divBdr>
        </w:div>
        <w:div w:id="422458970">
          <w:marLeft w:val="0"/>
          <w:marRight w:val="0"/>
          <w:marTop w:val="0"/>
          <w:marBottom w:val="0"/>
          <w:divBdr>
            <w:top w:val="none" w:sz="0" w:space="0" w:color="auto"/>
            <w:left w:val="none" w:sz="0" w:space="0" w:color="auto"/>
            <w:bottom w:val="none" w:sz="0" w:space="0" w:color="auto"/>
            <w:right w:val="none" w:sz="0" w:space="0" w:color="auto"/>
          </w:divBdr>
        </w:div>
      </w:divsChild>
    </w:div>
    <w:div w:id="1976792273">
      <w:bodyDiv w:val="1"/>
      <w:marLeft w:val="0"/>
      <w:marRight w:val="0"/>
      <w:marTop w:val="0"/>
      <w:marBottom w:val="0"/>
      <w:divBdr>
        <w:top w:val="none" w:sz="0" w:space="0" w:color="auto"/>
        <w:left w:val="none" w:sz="0" w:space="0" w:color="auto"/>
        <w:bottom w:val="none" w:sz="0" w:space="0" w:color="auto"/>
        <w:right w:val="none" w:sz="0" w:space="0" w:color="auto"/>
      </w:divBdr>
      <w:divsChild>
        <w:div w:id="750083138">
          <w:marLeft w:val="0"/>
          <w:marRight w:val="0"/>
          <w:marTop w:val="0"/>
          <w:marBottom w:val="0"/>
          <w:divBdr>
            <w:top w:val="none" w:sz="0" w:space="0" w:color="auto"/>
            <w:left w:val="none" w:sz="0" w:space="0" w:color="auto"/>
            <w:bottom w:val="none" w:sz="0" w:space="0" w:color="auto"/>
            <w:right w:val="none" w:sz="0" w:space="0" w:color="auto"/>
          </w:divBdr>
        </w:div>
        <w:div w:id="1854608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5</Pages>
  <Words>2609</Words>
  <Characters>15657</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Wydawnictwo C.H.Beck sp. z o.o.</Company>
  <LinksUpToDate>false</LinksUpToDate>
  <CharactersWithSpaces>18230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Choroszczak-Magiera</dc:creator>
  <cp:keywords/>
  <dc:description/>
  <cp:lastModifiedBy>Andrzej</cp:lastModifiedBy>
  <cp:revision>113</cp:revision>
  <cp:lastPrinted>2023-02-17T12:05:00Z</cp:lastPrinted>
  <dcterms:created xsi:type="dcterms:W3CDTF">2020-12-28T15:56:00Z</dcterms:created>
  <dcterms:modified xsi:type="dcterms:W3CDTF">2023-03-02T12:25:00Z</dcterms:modified>
</cp:coreProperties>
</file>