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59" w:rsidRPr="00B51FEE" w:rsidRDefault="001439A7">
      <w:pPr>
        <w:pStyle w:val="TitleStyle"/>
        <w:rPr>
          <w:sz w:val="22"/>
        </w:rPr>
      </w:pPr>
      <w:r w:rsidRPr="00B51FEE">
        <w:rPr>
          <w:sz w:val="22"/>
        </w:rPr>
        <w:t>Zasady postępowania w kontaktach z wykonawcami.</w:t>
      </w:r>
    </w:p>
    <w:p w:rsidR="00EB4059" w:rsidRPr="00B51FEE" w:rsidRDefault="001439A7">
      <w:pPr>
        <w:pStyle w:val="NormalStyle"/>
        <w:rPr>
          <w:sz w:val="22"/>
        </w:rPr>
      </w:pPr>
      <w:r w:rsidRPr="00B51FEE">
        <w:rPr>
          <w:sz w:val="22"/>
        </w:rPr>
        <w:t>Dz.Urz.MON.2017.157 z dnia 2017.07.14</w:t>
      </w:r>
    </w:p>
    <w:p w:rsidR="00EB4059" w:rsidRPr="00B51FEE" w:rsidRDefault="001439A7">
      <w:pPr>
        <w:pStyle w:val="NormalStyle"/>
        <w:rPr>
          <w:sz w:val="22"/>
        </w:rPr>
      </w:pPr>
      <w:r w:rsidRPr="00B51FEE">
        <w:rPr>
          <w:sz w:val="22"/>
        </w:rPr>
        <w:t xml:space="preserve">Status: Akt obowiązujący </w:t>
      </w:r>
    </w:p>
    <w:p w:rsidR="00EB4059" w:rsidRPr="00B51FEE" w:rsidRDefault="001439A7">
      <w:pPr>
        <w:pStyle w:val="NormalStyle"/>
        <w:rPr>
          <w:sz w:val="22"/>
        </w:rPr>
      </w:pPr>
      <w:r w:rsidRPr="00B51FEE">
        <w:rPr>
          <w:sz w:val="22"/>
        </w:rPr>
        <w:t xml:space="preserve">Wersja od: 19 lipca 2018r. </w:t>
      </w:r>
    </w:p>
    <w:p w:rsidR="00EB4059" w:rsidRPr="00B51FEE" w:rsidRDefault="001439A7">
      <w:pPr>
        <w:spacing w:after="0"/>
        <w:rPr>
          <w:sz w:val="22"/>
        </w:rPr>
      </w:pPr>
      <w:r w:rsidRPr="00B51FEE">
        <w:rPr>
          <w:sz w:val="22"/>
        </w:rPr>
        <w:br/>
      </w:r>
      <w:r w:rsidRPr="00B51FEE">
        <w:rPr>
          <w:b/>
          <w:color w:val="000000"/>
          <w:sz w:val="22"/>
        </w:rPr>
        <w:t>Wejście w życie:</w:t>
      </w:r>
    </w:p>
    <w:p w:rsidR="00EB4059" w:rsidRPr="00B51FEE" w:rsidRDefault="001439A7">
      <w:pPr>
        <w:spacing w:after="0"/>
        <w:rPr>
          <w:sz w:val="22"/>
        </w:rPr>
      </w:pPr>
      <w:r w:rsidRPr="00B51FEE">
        <w:rPr>
          <w:color w:val="000000"/>
          <w:sz w:val="22"/>
        </w:rPr>
        <w:t>29 lipca 2017 r.</w:t>
      </w:r>
    </w:p>
    <w:p w:rsidR="00EB4059" w:rsidRPr="00B51FEE" w:rsidRDefault="00EB4059">
      <w:pPr>
        <w:spacing w:after="0"/>
        <w:rPr>
          <w:sz w:val="22"/>
        </w:rPr>
      </w:pP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DECYZJA Nr 145/MON</w:t>
      </w:r>
    </w:p>
    <w:p w:rsidR="00EB4059" w:rsidRPr="00B51FEE" w:rsidRDefault="001439A7">
      <w:pPr>
        <w:spacing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MINISTRA OBRONY NARODOWEJ</w:t>
      </w:r>
    </w:p>
    <w:p w:rsidR="00EB4059" w:rsidRPr="00B51FEE" w:rsidRDefault="001439A7">
      <w:pPr>
        <w:spacing w:before="80" w:after="0"/>
        <w:jc w:val="center"/>
        <w:rPr>
          <w:sz w:val="22"/>
        </w:rPr>
      </w:pPr>
      <w:r w:rsidRPr="00B51FEE">
        <w:rPr>
          <w:color w:val="000000"/>
          <w:sz w:val="22"/>
        </w:rPr>
        <w:t>z dnia 13 lipca 2017 r.</w:t>
      </w:r>
    </w:p>
    <w:p w:rsidR="00EB4059" w:rsidRPr="00B51FEE" w:rsidRDefault="001439A7">
      <w:pPr>
        <w:spacing w:before="80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w sprawie zasad postępowania w kontaktach z wykonawcami</w:t>
      </w:r>
    </w:p>
    <w:p w:rsidR="00EB4059" w:rsidRPr="00B51FEE" w:rsidRDefault="001439A7">
      <w:pPr>
        <w:spacing w:before="80" w:after="0"/>
        <w:jc w:val="center"/>
        <w:rPr>
          <w:sz w:val="22"/>
        </w:rPr>
      </w:pPr>
      <w:r w:rsidRPr="00B51FEE">
        <w:rPr>
          <w:color w:val="000000"/>
          <w:sz w:val="22"/>
        </w:rPr>
        <w:t>Biuro do Spraw Procedur Antykorupcyjnych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color w:val="000000"/>
          <w:sz w:val="22"/>
        </w:rPr>
        <w:t xml:space="preserve">Na podstawie </w:t>
      </w:r>
      <w:r w:rsidRPr="00B51FEE">
        <w:rPr>
          <w:color w:val="1B1B1B"/>
          <w:sz w:val="22"/>
        </w:rPr>
        <w:t>art. 2 pkt 1</w:t>
      </w:r>
      <w:r w:rsidRPr="00B51FEE">
        <w:rPr>
          <w:color w:val="000000"/>
          <w:sz w:val="22"/>
        </w:rPr>
        <w:t xml:space="preserve"> i </w:t>
      </w:r>
      <w:r w:rsidRPr="00B51FEE">
        <w:rPr>
          <w:color w:val="1B1B1B"/>
          <w:sz w:val="22"/>
        </w:rPr>
        <w:t>11</w:t>
      </w:r>
      <w:r w:rsidRPr="00B51FEE">
        <w:rPr>
          <w:color w:val="000000"/>
          <w:sz w:val="22"/>
        </w:rPr>
        <w:t xml:space="preserve"> ustawy z dnia 14 grudnia 1995 r. o urzędzie Ministra Obrony Narodowej (Dz. U. z 2013 r. poz. 189 i 852, z 2014 r. poz. 932 oraz z 2016 r. poz. 2138), w związku z </w:t>
      </w:r>
      <w:r w:rsidRPr="00B51FEE">
        <w:rPr>
          <w:color w:val="1B1B1B"/>
          <w:sz w:val="22"/>
        </w:rPr>
        <w:t>§ 2 pkt 14</w:t>
      </w:r>
      <w:r w:rsidRPr="00B51FEE">
        <w:rPr>
          <w:color w:val="000000"/>
          <w:sz w:val="22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1.  </w:t>
      </w:r>
      <w:r w:rsidRPr="00B51FEE">
        <w:rPr>
          <w:color w:val="000000"/>
          <w:sz w:val="22"/>
        </w:rPr>
        <w:t>Decyzja określa zasady postępowania w kontaktach z wykonawcami, zwane dalej "Zasadami postępowania w kontaktach z wykonawcami", które stanowią załącznik do decyzji.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2.  </w:t>
      </w:r>
      <w:r w:rsidRPr="00B51FEE">
        <w:rPr>
          <w:color w:val="000000"/>
          <w:sz w:val="22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3.  </w:t>
      </w:r>
      <w:r w:rsidRPr="00B51FEE">
        <w:rPr>
          <w:color w:val="000000"/>
          <w:sz w:val="22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4.  </w:t>
      </w:r>
      <w:r w:rsidRPr="00B51FEE">
        <w:rPr>
          <w:color w:val="000000"/>
          <w:sz w:val="22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5.  </w:t>
      </w:r>
      <w:r w:rsidRPr="00B51FEE">
        <w:rPr>
          <w:color w:val="000000"/>
          <w:sz w:val="22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lastRenderedPageBreak/>
        <w:t xml:space="preserve">§  6.  </w:t>
      </w:r>
      <w:r w:rsidRPr="00B51FEE">
        <w:rPr>
          <w:color w:val="000000"/>
          <w:sz w:val="22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7.  </w:t>
      </w:r>
      <w:r w:rsidRPr="00B51FEE">
        <w:rPr>
          <w:color w:val="000000"/>
          <w:sz w:val="22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8.  </w:t>
      </w:r>
      <w:r w:rsidRPr="00B51FEE">
        <w:rPr>
          <w:color w:val="000000"/>
          <w:sz w:val="22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9.   </w:t>
      </w:r>
      <w:r w:rsidRPr="00B51FEE">
        <w:rPr>
          <w:color w:val="000000"/>
          <w:sz w:val="22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10.  </w:t>
      </w:r>
      <w:r w:rsidRPr="00B51FEE">
        <w:rPr>
          <w:color w:val="000000"/>
          <w:sz w:val="22"/>
        </w:rPr>
        <w:t>Szef Inspektoratu Systemów Informacyjnych zapewni funkcjonowanie w wewnętrznej sieci elektronicznej (intranet) zakładki elektronicznej pod nazwą "kontakty z wykonawcami".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11.  </w:t>
      </w:r>
      <w:r w:rsidRPr="00B51FEE">
        <w:rPr>
          <w:color w:val="000000"/>
          <w:sz w:val="22"/>
        </w:rPr>
        <w:t xml:space="preserve">Traci moc </w:t>
      </w:r>
      <w:r w:rsidRPr="00B51FEE">
        <w:rPr>
          <w:color w:val="1B1B1B"/>
          <w:sz w:val="22"/>
        </w:rPr>
        <w:t>decyzja</w:t>
      </w:r>
      <w:r w:rsidRPr="00B51FEE">
        <w:rPr>
          <w:color w:val="000000"/>
          <w:sz w:val="22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12.  </w:t>
      </w:r>
      <w:r w:rsidRPr="00B51FEE">
        <w:rPr>
          <w:color w:val="000000"/>
          <w:sz w:val="22"/>
        </w:rPr>
        <w:t>Decyzja wchodzi w życie po upływie 14 dni od dnia ogłoszenia.</w:t>
      </w:r>
    </w:p>
    <w:p w:rsidR="00EB4059" w:rsidRPr="00B51FEE" w:rsidRDefault="001439A7">
      <w:pPr>
        <w:spacing w:before="80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ZAŁĄCZNIK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ZASADY POSTĘPOWANIA W KONTAKTACH Z WYKONAWCAMI</w:t>
      </w:r>
    </w:p>
    <w:p w:rsidR="00EB4059" w:rsidRPr="00B51FEE" w:rsidRDefault="00EB4059">
      <w:pPr>
        <w:spacing w:after="0"/>
        <w:rPr>
          <w:sz w:val="22"/>
        </w:rPr>
      </w:pP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1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Postanowienia ogólne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1.  </w:t>
      </w:r>
      <w:r w:rsidRPr="00B51FEE">
        <w:rPr>
          <w:color w:val="000000"/>
          <w:sz w:val="22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lastRenderedPageBreak/>
        <w:t>1) wykonujących na rzecz Skarbu Państwa lub państwowej osoby prawnej odpłatne umowy, w szczególności na dostawy, świadczenie usług lub roboty budowlane;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które z racji zakresu prowadzonej działalności mogą starać się o zawarcie umów, o których mowa w pkt 1;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które działają w imieniu lub na rzecz podmiotów wskazanych w pkt 1 lub 2, zwanych dalej "wykonawcami".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2.  </w:t>
      </w:r>
      <w:r w:rsidRPr="00B51FEE">
        <w:rPr>
          <w:color w:val="000000"/>
          <w:sz w:val="22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3.  </w:t>
      </w:r>
      <w:r w:rsidRPr="00B51FEE">
        <w:rPr>
          <w:color w:val="000000"/>
          <w:sz w:val="22"/>
        </w:rPr>
        <w:t>W kontaktach z wykonawcami należy kierować się zasadami: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godności i honoru;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zdrowego rozsądku i umiaru;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ochrony dobrego imienia Ministerstwa Obrony Narodowej i Sił Zbrojnych Rzeczypospolitej Polskiej;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4) pierwszeństwa interesów Ministerstwa Obrony Narodowej i Sił Zbrojnych Rzeczypospolitej Polskiej;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5) unikania sytuacji, które mogłyby wywoływać powstanie długu materialnego lub honorowego albo poczucia wdzięczności;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6) bezstronności oraz unikania zachowań faworyzujących konkretnego wykonawcę w stosunku do jego konkurencji.</w:t>
      </w:r>
    </w:p>
    <w:p w:rsidR="00EB4059" w:rsidRPr="00B51FEE" w:rsidRDefault="00EB4059">
      <w:pPr>
        <w:spacing w:after="0"/>
        <w:rPr>
          <w:sz w:val="22"/>
        </w:rPr>
      </w:pP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2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Rozliczanie kosztów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4.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Przy rozliczaniu kosztów poniesionych w związku z bezpośrednimi kontaktami z wykonawcami należy przyjąć zasadę "każdy płaci za siebie", w szczególności: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koszty podróży służbowych, w tym koszty dojazdów, wyżywienia i noclegów pokrywa się wyłącznie z budżetu, którego dysponentem jest Minister Obrony Narodowej;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2.  Niedopuszczalne jest korzystanie z fundowanego przez wykonawców wyżywienia, transportu, ani z pokrywania przez nich innych kosztów i zobowiązań z wyjątkiem: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drobnych poczęstunków serwowanych w trakcie podróży służbowych;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transportu związanego z wykonywaniem zadań w ramach podróży służbowych.</w:t>
      </w:r>
    </w:p>
    <w:p w:rsidR="00EB4059" w:rsidRPr="00B51FEE" w:rsidRDefault="00EB4059">
      <w:pPr>
        <w:spacing w:after="0"/>
        <w:rPr>
          <w:sz w:val="22"/>
        </w:rPr>
      </w:pP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3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Przedsięwzięcia i spotkania z udziałem wykonawców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5.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Dopuszczalne są przedsięwzięcia związane z zawarciem lub realizacją umowy, organizowane wspólnie przez komórki lub jednostki organizacyjne oraz wykonawców.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 xml:space="preserve">2.  Dopuszczalne jest udzielanie pomocy krajowym przedsiębiorstwom sektora obronnego w przedsięwzięciach promocyjnych skierowanych na rynki zagraniczne, w tym w ramach </w:t>
      </w:r>
      <w:r w:rsidRPr="00B51FEE">
        <w:rPr>
          <w:color w:val="000000"/>
          <w:sz w:val="22"/>
        </w:rPr>
        <w:lastRenderedPageBreak/>
        <w:t>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przedsięwzięciu z udziałem wykonawców, pisemną zgodę wydaje jego bezpośredni przełożony.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6.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Wszelkie spotkania z wykonawcami, jeżeli nie mają charakteru: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przedsięwzięć wymienionych w § 5 ust. 1-3, lub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konferencji, seminariów lub sympozjów wymienionych w § 5 ust. 4 i 5, lub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spotkań towarzyskich, odbywających się poza godzinami pracy, podczas których nie poruszano żadnych kwestii służbowych, lub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4) spotkań o charakterze jedynie organizacyjno-porządkowym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Zapis następuje za pomocą urządzeń i środków technicznych wykorzystujących technikę cyfrową, zapewniającą: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integralność zapisu;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kopiowanie zapisu pomiędzy urządzeniami, środkami technicznymi i informatycznymi nośnikami danych;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zabezpieczenie zapisu, w szczególności przed utratą lub nieuzasadnioną zmianą;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lastRenderedPageBreak/>
        <w:t>4) odtworzenie zapisu także przy użyciu urządzeń i środków technicznych korygujących lub wzmacniających utrwalony dźwięk lub obraz;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5) udostępnienie zapisu na informatycznym nośniku danych;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6) możliwość bieżącej kontroli dokonywanego zapisu.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4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Sponsorowanie przedsięwzięć</w:t>
      </w:r>
    </w:p>
    <w:p w:rsidR="00EB4059" w:rsidRPr="00B51FEE" w:rsidRDefault="001439A7">
      <w:pPr>
        <w:spacing w:before="26" w:after="240"/>
        <w:rPr>
          <w:sz w:val="22"/>
        </w:rPr>
      </w:pPr>
      <w:r w:rsidRPr="00B51FEE">
        <w:rPr>
          <w:b/>
          <w:color w:val="000000"/>
          <w:sz w:val="22"/>
        </w:rPr>
        <w:t xml:space="preserve">§  7.  </w:t>
      </w:r>
      <w:r w:rsidRPr="00B51FEE">
        <w:rPr>
          <w:color w:val="000000"/>
          <w:sz w:val="22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5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Prezenty, materiały promocyjne i informacyjne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8.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Niedopuszczalne jest przyjmowanie od wykonawców prezentów w postaci jakichkolwiek korzyści majątkowych lub osobistych.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2.  Dopuszczalne jest przyjmowanie materiałów promocyjnych o znikomej wartości handlowej.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Dopuszczalne i zalecane jest przyjmowanie materiałów informacyjnych.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Niewskazane jest używanie na terenie komórek i jednostek organizacyjnych materiałów i oznaczeń promujących wykonawców, w tym także materiałów biurowych.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6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Kontakty towarzyskie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9.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2.  W przypadkach innych niż określone w ust. 1, nie zaleca się nawiązywania kontaktów towarzyskich z wykonawcami.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7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Najem i użyczanie lokali oraz terenów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10.  </w:t>
      </w:r>
      <w:r w:rsidRPr="00B51FEE">
        <w:rPr>
          <w:color w:val="000000"/>
          <w:sz w:val="22"/>
        </w:rPr>
        <w:t>Dopuszczalne jest wynajmowanie lub użyczanie wykonawcom lokali i terenów resortu obrony narodowej w celu: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przeprowadzenia prezentacji lub pokazów na rzecz komórek lub jednostek organizacyjnych;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przeprowadzenia prezentacji lub pokazów organizowanych przez krajowe przedsiębiorstwa sektora obronnego dla odbiorców zagranicznych;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realizowania zadań przez Agencję Mienia Wojskowego, wynikających z odrębnych przepisów.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lastRenderedPageBreak/>
        <w:t xml:space="preserve">Rozdział  8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Prezentacje, pokazy i referencje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11.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2.  Wskazane jest, aby prezentacje lub pokazy odbywały się na terenie komórek i jednostek organizacyjnych lub podczas targów.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12.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Dopuszczalne jest udzielenie wykonawcy pozytywnych referencji (poświadczenia) w związku z należytym wykonaniem przez niego umowy.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2.  Referencji, o których mowa w ust. 1, udziela w formie pisemnej zamawiający po uprzednim ustaleniu należytego wykonania umowy.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9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Faworyzowanie i konflikt interesów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13.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Niedopuszczalne jest faworyzowanie wykonawcy, polegające w szczególności na: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wcześniejszym udzielaniu mu informacji,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nieuzasadnionym ograniczeniu innym wykonawcom dostępu do informacji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- które może stawiać go w uprzywilejowanej pozycji w stosunku do innych wykonawców.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lastRenderedPageBreak/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Przez konflikt interesów należy rozumieć, w szczególności posiadanie powiązań o charakterze finansowym, rodzinnym lub towarzyskim z wykonawcą.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Czynnością zaradczą, o której mowa w ust. 4, może być w szczególności: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wydanie dyspozycji o konieczności udziału minimum dwóch osób w realizacji określonych czynności (zasada "wielu par oczu"), lub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włączenie dodatkowych mechanizmów nadzorczych, w tym kontrolnych, lub sprawozdawczych w realizacji określonych czynności, lub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wyłączenie osoby pozostającej w konflikcie interesów z udziału w określonej czynności, lub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4) doprowadzenie do rozwiązania umowy cywilnoprawnej zawartej z osobą fizyczną, o której mowa w ust. 2.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10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Sprawozdawczość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14.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lastRenderedPageBreak/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Treść notatki zamieszcza się w terminie 14 dni od dnia przeprowadzenia kontaktu w wewnętrznej sieci elektronicznej w zakładce pod nazwą "kontakty z wykonawcami".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Obowiązek, o którym mowa w ust. 1 i 3, nie dotyczy: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3) kontaktów mających charakter oficjalnej korespondencji dokonywanej w formie pisemnej lub realizowanej przy pomocy faksu albo służbowej poczty elektronicznej;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5) kontaktów dotyczących jedynie zagadnień o charakterze organizacyjno- porządkowym;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6) kontaktów o charakterze wyłącznie towarzyskim, odbywających się poza godzinami pracy, w trakcie których nie poruszano żadnych kwestii służbowych;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7) prezentacji i pokazów organizowanych na podstawie § 11 ust. 5;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Pr="00B51FEE" w:rsidRDefault="001439A7">
      <w:pPr>
        <w:spacing w:before="26" w:after="0"/>
        <w:ind w:left="373"/>
        <w:rPr>
          <w:sz w:val="22"/>
        </w:rPr>
      </w:pPr>
      <w:r w:rsidRPr="00B51FEE">
        <w:rPr>
          <w:color w:val="000000"/>
          <w:sz w:val="22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Pr="00B51FEE" w:rsidRDefault="001439A7">
      <w:pPr>
        <w:spacing w:before="146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Rozdział  11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Wykładnia postanowień decyzji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b/>
          <w:color w:val="000000"/>
          <w:sz w:val="22"/>
        </w:rPr>
        <w:t xml:space="preserve">§  15.  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lastRenderedPageBreak/>
        <w:t>2.  Podmiot wnioskujący może zastrzec we wniosku, o którym mowa w ust. 1, anonimizację danych osobowych.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3.  Opinia ma charakter wiążący dla wszystkich komórek i jednostek organizacyjnych.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Pr="00B51FEE" w:rsidRDefault="001439A7">
      <w:pPr>
        <w:spacing w:before="26" w:after="0"/>
        <w:rPr>
          <w:sz w:val="22"/>
        </w:rPr>
      </w:pPr>
      <w:r w:rsidRPr="00B51FEE">
        <w:rPr>
          <w:color w:val="000000"/>
          <w:sz w:val="22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Pr="00B51FEE" w:rsidRDefault="00EB4059">
      <w:pPr>
        <w:spacing w:before="80" w:after="0"/>
        <w:rPr>
          <w:sz w:val="22"/>
        </w:rPr>
      </w:pPr>
    </w:p>
    <w:p w:rsidR="00EB4059" w:rsidRPr="00B51FEE" w:rsidRDefault="001439A7">
      <w:pPr>
        <w:spacing w:before="80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 xml:space="preserve">Załącznik Nr  1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WZÓR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ZAPYTANIE</w:t>
      </w:r>
    </w:p>
    <w:p w:rsidR="00EB4059" w:rsidRPr="00B51FEE" w:rsidRDefault="001439A7">
      <w:pPr>
        <w:spacing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zapytania kierowanego do wykonawcy - organizatora przedsięwzięcia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(miejscowość, data)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(imię i nazwisko lub nazwa komórki/jednostki organizacyjnej kierującej zapytanie)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(niezbędne dane kontaktowe)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(dane wykonawcy)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W związku ze skierowanym zaproszeniem do udziału Ministerstwa Obrony Narodowej/Sił Zbrojnych Rzeczypospolitej Polskiej w przedsięwzięciu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(nazwa, tytuł przedsięwzięcia)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uprzejmie proszę o przekazanie szczegółowych informacji, które umożliwią podjęcie decyzji, co do udziału w tym przedsięwzięciu.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W związku z tym proszę o: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1) wskazanie organizatora oraz osób zarządzających przedsięwzięciem;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2) szczegółowe określenie celu przedsięwzięcia;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3) szczegółowe określenie proponowanej formy zaangażowania się jednostek lub przedstawicieli Ministerstwa Obrony Narodowej lub Sił Zbrojnych Rzeczypospolitej Polskiej;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4) szczegółowe przedstawienie programu;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(data, czytelny podpis kierującego zapytanie)</w:t>
      </w:r>
    </w:p>
    <w:p w:rsidR="00EB4059" w:rsidRPr="00B51FEE" w:rsidRDefault="00EB4059">
      <w:pPr>
        <w:spacing w:before="80" w:after="0"/>
        <w:rPr>
          <w:sz w:val="22"/>
        </w:rPr>
      </w:pPr>
    </w:p>
    <w:p w:rsidR="001439A7" w:rsidRPr="00B51FEE" w:rsidRDefault="001439A7">
      <w:pPr>
        <w:spacing w:before="80" w:after="0"/>
        <w:jc w:val="center"/>
        <w:rPr>
          <w:b/>
          <w:color w:val="000000"/>
          <w:sz w:val="22"/>
        </w:rPr>
      </w:pPr>
    </w:p>
    <w:p w:rsidR="001439A7" w:rsidRPr="00B51FEE" w:rsidRDefault="001439A7">
      <w:pPr>
        <w:spacing w:before="80" w:after="0"/>
        <w:jc w:val="center"/>
        <w:rPr>
          <w:b/>
          <w:color w:val="000000"/>
          <w:sz w:val="22"/>
        </w:rPr>
      </w:pPr>
    </w:p>
    <w:p w:rsidR="00EB4059" w:rsidRPr="00B51FEE" w:rsidRDefault="001439A7">
      <w:pPr>
        <w:spacing w:before="80" w:after="0"/>
        <w:jc w:val="center"/>
        <w:rPr>
          <w:sz w:val="22"/>
        </w:rPr>
      </w:pPr>
      <w:bookmarkStart w:id="0" w:name="_GoBack"/>
      <w:bookmarkEnd w:id="0"/>
      <w:r w:rsidRPr="00B51FEE">
        <w:rPr>
          <w:b/>
          <w:color w:val="000000"/>
          <w:sz w:val="22"/>
        </w:rPr>
        <w:lastRenderedPageBreak/>
        <w:t xml:space="preserve">Załącznik Nr  2 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WZÓR</w:t>
      </w:r>
    </w:p>
    <w:p w:rsidR="00EB4059" w:rsidRPr="00B51FEE" w:rsidRDefault="001439A7">
      <w:pPr>
        <w:spacing w:before="25"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Notatka z organizacji przedsięwzięcia dotyczącego sprzętu wojskowego</w:t>
      </w:r>
    </w:p>
    <w:p w:rsidR="00EB4059" w:rsidRPr="00B51FEE" w:rsidRDefault="001439A7">
      <w:pPr>
        <w:spacing w:after="0"/>
        <w:jc w:val="center"/>
        <w:rPr>
          <w:sz w:val="22"/>
        </w:rPr>
      </w:pPr>
      <w:r w:rsidRPr="00B51FEE">
        <w:rPr>
          <w:b/>
          <w:color w:val="000000"/>
          <w:sz w:val="22"/>
        </w:rPr>
        <w:t>Notatki na temat organizacji przedsięwzięcia dotyczącego sprzętu wojskowego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NAZWA KOMÓRKI.............................................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(miejscowość, data)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LUB JEDNOSTKI ORGANIZACYJNEJ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</w:t>
      </w:r>
      <w:r w:rsidRPr="00B51FEE">
        <w:rPr>
          <w:b/>
          <w:color w:val="000000"/>
          <w:sz w:val="22"/>
        </w:rPr>
        <w:t>DYREKTOR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</w:t>
      </w:r>
      <w:r w:rsidRPr="00B51FEE">
        <w:rPr>
          <w:b/>
          <w:color w:val="000000"/>
          <w:sz w:val="22"/>
        </w:rPr>
        <w:t>DEPARTAMENTU POLITYKI ZBROJENIOWEJ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</w:t>
      </w:r>
      <w:r w:rsidRPr="00B51FEE">
        <w:rPr>
          <w:b/>
          <w:color w:val="000000"/>
          <w:sz w:val="22"/>
        </w:rPr>
        <w:t>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1. Organizator przedsięwzięcia: 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 w:rsidP="001439A7">
      <w:pPr>
        <w:spacing w:before="25" w:after="0"/>
        <w:rPr>
          <w:sz w:val="22"/>
        </w:rPr>
      </w:pPr>
      <w:r w:rsidRPr="00B51FEE">
        <w:rPr>
          <w:color w:val="000000"/>
          <w:sz w:val="22"/>
        </w:rPr>
        <w:t>2. Rodzaj przedsięwzięcia: 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Miejsce: 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Data: 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3. Program przedsięwzięcia: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4. Biorący udział</w:t>
      </w:r>
      <w:r w:rsidRPr="00B51FEE">
        <w:rPr>
          <w:color w:val="000000"/>
          <w:sz w:val="22"/>
          <w:vertAlign w:val="superscript"/>
        </w:rPr>
        <w:t xml:space="preserve"> (</w:t>
      </w:r>
      <w:r w:rsidRPr="00B51FEE">
        <w:rPr>
          <w:color w:val="000000"/>
          <w:sz w:val="22"/>
        </w:rPr>
        <w:t xml:space="preserve">  :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5. Sprzęt wojskowy wykorzystany podczas przedsięwzięcia: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6. Wnioski</w:t>
      </w:r>
      <w:r w:rsidRPr="00B51FEE">
        <w:rPr>
          <w:color w:val="000000"/>
          <w:sz w:val="22"/>
          <w:vertAlign w:val="superscript"/>
        </w:rPr>
        <w:t xml:space="preserve"> (</w:t>
      </w:r>
      <w:r w:rsidRPr="00B51FEE">
        <w:rPr>
          <w:color w:val="000000"/>
          <w:sz w:val="22"/>
        </w:rPr>
        <w:t xml:space="preserve">  :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EB4059" w:rsidRPr="00B51FEE" w:rsidRDefault="001439A7">
      <w:pPr>
        <w:spacing w:before="25" w:after="0"/>
        <w:jc w:val="both"/>
        <w:rPr>
          <w:color w:val="000000"/>
          <w:sz w:val="22"/>
        </w:rPr>
      </w:pPr>
      <w:r w:rsidRPr="00B51FEE">
        <w:rPr>
          <w:color w:val="000000"/>
          <w:sz w:val="22"/>
        </w:rPr>
        <w:t>......................................................................................................................................................</w:t>
      </w:r>
    </w:p>
    <w:p w:rsidR="001439A7" w:rsidRPr="00B51FEE" w:rsidRDefault="001439A7">
      <w:pPr>
        <w:spacing w:before="25" w:after="0"/>
        <w:jc w:val="both"/>
        <w:rPr>
          <w:sz w:val="22"/>
        </w:rPr>
      </w:pP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..................................................</w:t>
      </w:r>
    </w:p>
    <w:p w:rsidR="00EB4059" w:rsidRPr="00B51FEE" w:rsidRDefault="001439A7">
      <w:pPr>
        <w:spacing w:before="25" w:after="0"/>
        <w:jc w:val="both"/>
        <w:rPr>
          <w:sz w:val="22"/>
        </w:rPr>
      </w:pPr>
      <w:r w:rsidRPr="00B51FEE">
        <w:rPr>
          <w:color w:val="000000"/>
          <w:sz w:val="22"/>
        </w:rPr>
        <w:t> (podpis dyrektora</w:t>
      </w:r>
      <w:r w:rsidRPr="00B51FEE">
        <w:rPr>
          <w:color w:val="000000"/>
          <w:sz w:val="22"/>
          <w:vertAlign w:val="superscript"/>
        </w:rPr>
        <w:t xml:space="preserve"> (</w:t>
      </w:r>
      <w:r w:rsidRPr="00B51FEE">
        <w:rPr>
          <w:color w:val="000000"/>
          <w:sz w:val="22"/>
        </w:rPr>
        <w:t xml:space="preserve">  )</w:t>
      </w:r>
    </w:p>
    <w:sectPr w:rsidR="00EB4059" w:rsidRPr="00B51FEE" w:rsidSect="006177F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F2" w:rsidRDefault="006177F2" w:rsidP="006177F2">
      <w:pPr>
        <w:spacing w:after="0" w:line="240" w:lineRule="auto"/>
      </w:pPr>
      <w:r>
        <w:separator/>
      </w:r>
    </w:p>
  </w:endnote>
  <w:endnote w:type="continuationSeparator" w:id="0">
    <w:p w:rsidR="006177F2" w:rsidRDefault="006177F2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1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1FE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F2" w:rsidRDefault="006177F2" w:rsidP="006177F2">
      <w:pPr>
        <w:spacing w:after="0" w:line="240" w:lineRule="auto"/>
      </w:pPr>
      <w:r>
        <w:separator/>
      </w:r>
    </w:p>
  </w:footnote>
  <w:footnote w:type="continuationSeparator" w:id="0">
    <w:p w:rsidR="006177F2" w:rsidRDefault="006177F2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 w:val="22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51FEE">
          <w:rPr>
            <w:rFonts w:ascii="Arial" w:hAnsi="Arial" w:cs="Arial"/>
            <w:sz w:val="22"/>
            <w:szCs w:val="24"/>
          </w:rPr>
          <w:t>Załącznik nr 4</w:t>
        </w:r>
        <w:r w:rsidR="00B51FEE" w:rsidRPr="00B51FEE">
          <w:rPr>
            <w:rFonts w:ascii="Arial" w:hAnsi="Arial" w:cs="Arial"/>
            <w:sz w:val="22"/>
            <w:szCs w:val="24"/>
          </w:rPr>
          <w:t xml:space="preserve"> do umowy</w:t>
        </w:r>
      </w:sdtContent>
    </w:sdt>
  </w:p>
  <w:p w:rsidR="006177F2" w:rsidRDefault="0061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9"/>
    <w:rsid w:val="00136F5B"/>
    <w:rsid w:val="001439A7"/>
    <w:rsid w:val="001F6AF5"/>
    <w:rsid w:val="00250D2D"/>
    <w:rsid w:val="002D48EF"/>
    <w:rsid w:val="003533F7"/>
    <w:rsid w:val="004C4C66"/>
    <w:rsid w:val="006177F2"/>
    <w:rsid w:val="00695C47"/>
    <w:rsid w:val="007B7377"/>
    <w:rsid w:val="00B51FEE"/>
    <w:rsid w:val="00C368AA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872ACB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B0"/>
    <w:rsid w:val="00163B25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9AD76F-C5DF-4FC5-9E1E-163641BE12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4036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MON</Company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</dc:title>
  <dc:creator>Karmel Aleksandra</dc:creator>
  <cp:lastModifiedBy>Kaczor Renata</cp:lastModifiedBy>
  <cp:revision>3</cp:revision>
  <cp:lastPrinted>2021-07-21T14:53:00Z</cp:lastPrinted>
  <dcterms:created xsi:type="dcterms:W3CDTF">2023-05-22T10:36:00Z</dcterms:created>
  <dcterms:modified xsi:type="dcterms:W3CDTF">2024-09-05T10:17:00Z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nOEBhgO/B+U2x3wEyZ7ETKJYdgGICPXN</vt:lpwstr>
  </property>
  <property fmtid="{D5CDD505-2E9C-101B-9397-08002B2CF9AE}" pid="8" name="s5636:Creator type=author">
    <vt:lpwstr>Karmel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