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7BA8" w14:textId="77777777" w:rsidR="000161DA" w:rsidRPr="00D463FB" w:rsidRDefault="000161DA" w:rsidP="000161DA">
      <w:pPr>
        <w:ind w:right="-2"/>
        <w:jc w:val="right"/>
        <w:rPr>
          <w:rFonts w:ascii="Source Sans Pro" w:hAnsi="Source Sans Pro" w:cs="Arial"/>
          <w:b/>
          <w:sz w:val="22"/>
          <w:szCs w:val="22"/>
        </w:rPr>
      </w:pPr>
      <w:r w:rsidRPr="00D463FB">
        <w:rPr>
          <w:rFonts w:ascii="Source Sans Pro" w:hAnsi="Source Sans Pro" w:cs="Arial"/>
          <w:b/>
          <w:sz w:val="22"/>
          <w:szCs w:val="22"/>
        </w:rPr>
        <w:tab/>
        <w:t xml:space="preserve">     Załącznik nr 8 do SWZ</w:t>
      </w:r>
    </w:p>
    <w:p w14:paraId="63ECC737" w14:textId="77777777" w:rsidR="000161DA" w:rsidRPr="00D463FB" w:rsidRDefault="000161DA" w:rsidP="000161DA">
      <w:pPr>
        <w:ind w:right="-2"/>
        <w:jc w:val="both"/>
        <w:rPr>
          <w:rFonts w:ascii="Source Sans Pro" w:hAnsi="Source Sans Pro" w:cs="Arial"/>
          <w:b/>
          <w:sz w:val="22"/>
          <w:szCs w:val="22"/>
        </w:rPr>
      </w:pPr>
      <w:r w:rsidRPr="00D463FB">
        <w:rPr>
          <w:rFonts w:ascii="Source Sans Pro" w:hAnsi="Source Sans Pro" w:cs="Arial"/>
          <w:b/>
          <w:sz w:val="22"/>
          <w:szCs w:val="22"/>
        </w:rPr>
        <w:t>Znak postępowania: CEZAMAT/ZP19/2023</w:t>
      </w:r>
    </w:p>
    <w:p w14:paraId="0DA37B40" w14:textId="77777777" w:rsidR="000161DA" w:rsidRPr="00D463FB" w:rsidRDefault="000161DA" w:rsidP="000161DA">
      <w:pPr>
        <w:ind w:right="-2"/>
        <w:jc w:val="both"/>
        <w:rPr>
          <w:rFonts w:ascii="Source Sans Pro" w:hAnsi="Source Sans Pro" w:cs="Arial"/>
          <w:b/>
          <w:sz w:val="22"/>
          <w:szCs w:val="22"/>
        </w:rPr>
      </w:pPr>
    </w:p>
    <w:p w14:paraId="53BBF9CD" w14:textId="77777777" w:rsidR="000161DA" w:rsidRPr="00D463FB" w:rsidRDefault="000161DA" w:rsidP="000161DA">
      <w:pPr>
        <w:ind w:left="2832" w:hanging="3538"/>
        <w:jc w:val="center"/>
        <w:rPr>
          <w:rFonts w:ascii="Source Sans Pro" w:hAnsi="Source Sans Pro" w:cs="Times New Roman"/>
          <w:bCs/>
          <w:sz w:val="22"/>
          <w:szCs w:val="22"/>
        </w:rPr>
      </w:pPr>
    </w:p>
    <w:p w14:paraId="6D6B061C" w14:textId="77777777" w:rsidR="000161DA" w:rsidRPr="00D463FB" w:rsidRDefault="000161DA" w:rsidP="000161DA">
      <w:pPr>
        <w:ind w:left="2832" w:hanging="3538"/>
        <w:jc w:val="center"/>
        <w:rPr>
          <w:rFonts w:ascii="Source Sans Pro" w:hAnsi="Source Sans Pro"/>
          <w:b/>
          <w:sz w:val="22"/>
          <w:szCs w:val="22"/>
        </w:rPr>
      </w:pPr>
    </w:p>
    <w:p w14:paraId="3DD65BCE" w14:textId="77777777" w:rsidR="000161DA" w:rsidRPr="00D463FB" w:rsidRDefault="000161DA" w:rsidP="000161DA">
      <w:pPr>
        <w:ind w:left="2832" w:hanging="3538"/>
        <w:jc w:val="center"/>
        <w:rPr>
          <w:rFonts w:ascii="Source Sans Pro" w:hAnsi="Source Sans Pro"/>
          <w:b/>
          <w:sz w:val="22"/>
          <w:szCs w:val="22"/>
        </w:rPr>
      </w:pPr>
      <w:r w:rsidRPr="00D463FB">
        <w:rPr>
          <w:rFonts w:ascii="Source Sans Pro" w:hAnsi="Source Sans Pro"/>
          <w:b/>
          <w:sz w:val="22"/>
          <w:szCs w:val="22"/>
        </w:rPr>
        <w:t>OPIS TECHNICZNY OFEROWANEGO URZĄDZENIA</w:t>
      </w:r>
    </w:p>
    <w:p w14:paraId="638CBC95" w14:textId="77777777" w:rsidR="000161DA" w:rsidRPr="00D463FB" w:rsidRDefault="000161DA" w:rsidP="000161DA">
      <w:pPr>
        <w:ind w:left="2832" w:hanging="3538"/>
        <w:jc w:val="center"/>
        <w:rPr>
          <w:rFonts w:ascii="Source Sans Pro" w:hAnsi="Source Sans Pro"/>
          <w:b/>
          <w:bCs/>
          <w:sz w:val="22"/>
          <w:szCs w:val="22"/>
        </w:rPr>
      </w:pPr>
    </w:p>
    <w:p w14:paraId="292B9CA9" w14:textId="77777777" w:rsidR="000161DA" w:rsidRPr="00D463FB" w:rsidRDefault="000161DA" w:rsidP="000161DA">
      <w:pPr>
        <w:ind w:left="2832" w:firstLine="708"/>
        <w:rPr>
          <w:rFonts w:ascii="Source Sans Pro" w:hAnsi="Source Sans Pro"/>
          <w:b/>
          <w:bCs/>
          <w:sz w:val="22"/>
          <w:szCs w:val="22"/>
        </w:rPr>
      </w:pPr>
    </w:p>
    <w:p w14:paraId="0925D4E4" w14:textId="77777777" w:rsidR="000161DA" w:rsidRPr="00D463FB" w:rsidRDefault="000161DA" w:rsidP="000161DA">
      <w:pPr>
        <w:pStyle w:val="Tekstpodstawowywcity33"/>
        <w:ind w:left="708" w:right="-2" w:hanging="708"/>
        <w:jc w:val="both"/>
        <w:rPr>
          <w:rFonts w:ascii="Source Sans Pro" w:hAnsi="Source Sans Pro" w:cs="Arial"/>
          <w:sz w:val="22"/>
          <w:szCs w:val="22"/>
        </w:rPr>
      </w:pPr>
      <w:r w:rsidRPr="00D463FB">
        <w:rPr>
          <w:rFonts w:ascii="Source Sans Pro" w:hAnsi="Source Sans Pro" w:cs="Arial"/>
          <w:b/>
          <w:bCs/>
          <w:sz w:val="22"/>
          <w:szCs w:val="22"/>
        </w:rPr>
        <w:t>Nazwa podmiotu</w:t>
      </w:r>
      <w:r w:rsidRPr="00D463FB">
        <w:rPr>
          <w:rFonts w:ascii="Source Sans Pro" w:hAnsi="Source Sans Pro" w:cs="Arial"/>
          <w:sz w:val="22"/>
          <w:szCs w:val="22"/>
        </w:rPr>
        <w:t>:...................................................................................................................</w:t>
      </w:r>
    </w:p>
    <w:p w14:paraId="0B64EBF9" w14:textId="77777777" w:rsidR="000161DA" w:rsidRPr="00D463FB" w:rsidRDefault="000161DA" w:rsidP="000161DA">
      <w:pPr>
        <w:pStyle w:val="Tekstpodstawowywcity33"/>
        <w:ind w:left="0" w:right="-2"/>
        <w:jc w:val="both"/>
        <w:rPr>
          <w:rFonts w:ascii="Source Sans Pro" w:hAnsi="Source Sans Pro" w:cs="Arial"/>
          <w:sz w:val="22"/>
          <w:szCs w:val="22"/>
        </w:rPr>
      </w:pPr>
      <w:r w:rsidRPr="00D463FB">
        <w:rPr>
          <w:rFonts w:ascii="Source Sans Pro" w:hAnsi="Source Sans Pro" w:cs="Arial"/>
          <w:b/>
          <w:bCs/>
          <w:sz w:val="22"/>
          <w:szCs w:val="22"/>
        </w:rPr>
        <w:t>siedziba podmiotu:</w:t>
      </w:r>
      <w:r w:rsidRPr="00D463FB">
        <w:rPr>
          <w:rFonts w:ascii="Source Sans Pro" w:hAnsi="Source Sans Pro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39BD6B53" w14:textId="77777777" w:rsidR="000161DA" w:rsidRPr="00D463FB" w:rsidRDefault="000161DA" w:rsidP="000161DA">
      <w:pPr>
        <w:pStyle w:val="Tekstpodstawowywcity33"/>
        <w:ind w:left="0" w:right="-2"/>
        <w:jc w:val="both"/>
        <w:rPr>
          <w:rFonts w:ascii="Source Sans Pro" w:hAnsi="Source Sans Pro" w:cs="Arial"/>
          <w:sz w:val="22"/>
          <w:szCs w:val="22"/>
        </w:rPr>
      </w:pPr>
      <w:r w:rsidRPr="00D463FB">
        <w:rPr>
          <w:rFonts w:ascii="Source Sans Pro" w:hAnsi="Source Sans Pro" w:cs="Arial"/>
          <w:sz w:val="22"/>
          <w:szCs w:val="22"/>
        </w:rPr>
        <w:t>Tel.: …………………………………….. e-mail: ………………………………………………………………………..</w:t>
      </w:r>
    </w:p>
    <w:p w14:paraId="32CB2E03" w14:textId="77777777" w:rsidR="000161DA" w:rsidRPr="00D463FB" w:rsidRDefault="000161DA" w:rsidP="000161DA">
      <w:pPr>
        <w:ind w:right="23"/>
        <w:jc w:val="both"/>
        <w:rPr>
          <w:rFonts w:ascii="Source Sans Pro" w:hAnsi="Source Sans Pro" w:cs="Arial"/>
          <w:sz w:val="22"/>
          <w:szCs w:val="22"/>
        </w:rPr>
      </w:pPr>
    </w:p>
    <w:p w14:paraId="37B10148" w14:textId="77777777" w:rsidR="000161DA" w:rsidRPr="00D463FB" w:rsidRDefault="000161DA" w:rsidP="000161DA">
      <w:pPr>
        <w:ind w:right="23"/>
        <w:jc w:val="both"/>
        <w:rPr>
          <w:rFonts w:ascii="Source Sans Pro" w:hAnsi="Source Sans Pro" w:cs="Arial"/>
          <w:b/>
          <w:sz w:val="22"/>
          <w:szCs w:val="22"/>
        </w:rPr>
      </w:pPr>
      <w:r w:rsidRPr="00D463FB">
        <w:rPr>
          <w:rFonts w:ascii="Source Sans Pro" w:hAnsi="Source Sans Pro" w:cs="Arial"/>
          <w:sz w:val="22"/>
          <w:szCs w:val="22"/>
        </w:rPr>
        <w:t>W postępowaniu o udzielenie zamówienia publicznego, którego przedmiotem jest</w:t>
      </w:r>
      <w:r w:rsidRPr="00D463FB">
        <w:rPr>
          <w:rFonts w:ascii="Source Sans Pro" w:hAnsi="Source Sans Pro" w:cs="Arial"/>
          <w:b/>
          <w:sz w:val="22"/>
          <w:szCs w:val="22"/>
        </w:rPr>
        <w:t xml:space="preserve"> </w:t>
      </w:r>
    </w:p>
    <w:p w14:paraId="1C8AF8FB" w14:textId="77777777" w:rsidR="000161DA" w:rsidRPr="00D463FB" w:rsidRDefault="000161DA" w:rsidP="000161DA">
      <w:pPr>
        <w:tabs>
          <w:tab w:val="left" w:pos="720"/>
        </w:tabs>
        <w:spacing w:before="120"/>
        <w:rPr>
          <w:rFonts w:ascii="Source Sans Pro" w:hAnsi="Source Sans Pro" w:cs="Times New Roman"/>
          <w:sz w:val="22"/>
          <w:szCs w:val="22"/>
          <w:u w:val="single"/>
        </w:rPr>
      </w:pPr>
    </w:p>
    <w:p w14:paraId="1A7E7626" w14:textId="77777777" w:rsidR="000161DA" w:rsidRPr="00D463FB" w:rsidRDefault="000161DA" w:rsidP="000161DA">
      <w:pPr>
        <w:jc w:val="center"/>
        <w:rPr>
          <w:rFonts w:ascii="Source Sans Pro" w:hAnsi="Source Sans Pro" w:cs="Arial"/>
          <w:b/>
        </w:rPr>
      </w:pPr>
      <w:bookmarkStart w:id="0" w:name="_Hlk135140755"/>
      <w:r w:rsidRPr="00D463FB">
        <w:rPr>
          <w:rFonts w:ascii="Source Sans Pro" w:hAnsi="Source Sans Pro" w:cs="Arial"/>
          <w:b/>
        </w:rPr>
        <w:t>„Dostawa  wirówki laboratoryjnej”</w:t>
      </w:r>
    </w:p>
    <w:bookmarkEnd w:id="0"/>
    <w:p w14:paraId="008755CB" w14:textId="77777777" w:rsidR="000161DA" w:rsidRPr="00D463FB" w:rsidRDefault="000161DA" w:rsidP="000161DA">
      <w:pPr>
        <w:ind w:right="-2"/>
        <w:jc w:val="center"/>
        <w:rPr>
          <w:rFonts w:ascii="Source Sans Pro" w:eastAsia="Times New Roman" w:hAnsi="Source Sans Pro" w:cs="Calibri"/>
          <w:b/>
          <w:bCs/>
          <w:sz w:val="22"/>
          <w:szCs w:val="22"/>
        </w:rPr>
      </w:pPr>
    </w:p>
    <w:p w14:paraId="62F2F2E2" w14:textId="77777777" w:rsidR="000161DA" w:rsidRPr="00D463FB" w:rsidRDefault="000161DA" w:rsidP="000161DA">
      <w:pPr>
        <w:tabs>
          <w:tab w:val="left" w:pos="540"/>
        </w:tabs>
        <w:spacing w:line="360" w:lineRule="auto"/>
        <w:rPr>
          <w:rFonts w:ascii="Source Sans Pro" w:eastAsia="Arial Unicode MS" w:hAnsi="Source Sans Pro" w:cs="Times New Roman"/>
          <w:sz w:val="22"/>
          <w:szCs w:val="22"/>
        </w:rPr>
      </w:pPr>
      <w:r w:rsidRPr="00D463FB">
        <w:rPr>
          <w:rFonts w:ascii="Source Sans Pro" w:hAnsi="Source Sans Pro"/>
          <w:sz w:val="22"/>
          <w:szCs w:val="22"/>
        </w:rPr>
        <w:t>oferujemy wykonanie zamówienia, spełniającego poniższe wymagania:</w:t>
      </w:r>
    </w:p>
    <w:p w14:paraId="1D5CB367" w14:textId="77777777" w:rsidR="000161DA" w:rsidRPr="00D463FB" w:rsidRDefault="000161DA" w:rsidP="000161DA">
      <w:pPr>
        <w:pStyle w:val="Akapitzlist"/>
        <w:spacing w:before="120" w:after="120"/>
        <w:ind w:left="0"/>
        <w:jc w:val="both"/>
        <w:rPr>
          <w:rFonts w:ascii="Source Sans Pro" w:hAnsi="Source Sans Pro"/>
          <w:sz w:val="22"/>
          <w:szCs w:val="22"/>
        </w:rPr>
      </w:pPr>
    </w:p>
    <w:p w14:paraId="085B398F" w14:textId="77777777" w:rsidR="000161DA" w:rsidRPr="00D463FB" w:rsidRDefault="000161DA" w:rsidP="000161DA">
      <w:pPr>
        <w:pStyle w:val="Akapitzlist"/>
        <w:spacing w:before="120" w:after="120"/>
        <w:ind w:left="0"/>
        <w:jc w:val="both"/>
        <w:rPr>
          <w:rFonts w:ascii="Source Sans Pro" w:hAnsi="Source Sans Pro"/>
          <w:sz w:val="22"/>
          <w:szCs w:val="22"/>
        </w:rPr>
      </w:pPr>
    </w:p>
    <w:p w14:paraId="2EBBCCD6" w14:textId="77777777" w:rsidR="000161DA" w:rsidRPr="00D463FB" w:rsidRDefault="000161DA" w:rsidP="000161DA">
      <w:pPr>
        <w:pStyle w:val="Akapitzlist"/>
        <w:spacing w:before="120" w:after="120"/>
        <w:ind w:left="0"/>
        <w:jc w:val="both"/>
        <w:rPr>
          <w:rFonts w:ascii="Source Sans Pro" w:hAnsi="Source Sans Pro"/>
          <w:sz w:val="22"/>
          <w:szCs w:val="22"/>
        </w:rPr>
      </w:pPr>
    </w:p>
    <w:p w14:paraId="75ADF5D2" w14:textId="77777777" w:rsidR="000161DA" w:rsidRPr="00D463FB" w:rsidRDefault="000161DA" w:rsidP="000161DA">
      <w:pPr>
        <w:pStyle w:val="Akapitzlist"/>
        <w:spacing w:before="120" w:after="120"/>
        <w:ind w:left="0"/>
        <w:jc w:val="both"/>
        <w:rPr>
          <w:rFonts w:ascii="Source Sans Pro" w:hAnsi="Source Sans Pro"/>
          <w:sz w:val="22"/>
          <w:szCs w:val="22"/>
        </w:rPr>
      </w:pPr>
    </w:p>
    <w:p w14:paraId="2DBC6F74" w14:textId="77777777" w:rsidR="000161DA" w:rsidRPr="00D463FB" w:rsidRDefault="000161DA" w:rsidP="000161DA">
      <w:pPr>
        <w:spacing w:line="360" w:lineRule="auto"/>
        <w:ind w:right="-2"/>
        <w:jc w:val="both"/>
        <w:rPr>
          <w:rFonts w:ascii="Source Sans Pro" w:hAnsi="Source Sans Pro"/>
          <w:b/>
          <w:bCs/>
          <w:sz w:val="22"/>
          <w:szCs w:val="22"/>
        </w:rPr>
      </w:pPr>
      <w:r w:rsidRPr="00D463FB">
        <w:rPr>
          <w:rFonts w:ascii="Source Sans Pro" w:hAnsi="Source Sans Pro" w:cs="Calibri"/>
          <w:b/>
          <w:bCs/>
          <w:sz w:val="22"/>
          <w:szCs w:val="22"/>
        </w:rPr>
        <w:t>Specyfikacja techniczna wirówki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24"/>
        <w:gridCol w:w="7686"/>
        <w:gridCol w:w="1891"/>
      </w:tblGrid>
      <w:tr w:rsidR="000161DA" w:rsidRPr="00D463FB" w14:paraId="15F0C553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79DA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953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79C8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Należy wpisać wartość/wielkość parametru lub odpowiednio skreślić tak/nie</w:t>
            </w:r>
          </w:p>
        </w:tc>
      </w:tr>
      <w:tr w:rsidR="000161DA" w:rsidRPr="00D463FB" w14:paraId="4152E0AE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C88F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F3C3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="Arial"/>
                <w:sz w:val="20"/>
                <w:szCs w:val="20"/>
              </w:rPr>
              <w:t>Osi</w:t>
            </w:r>
            <w:r w:rsidRPr="00D463FB">
              <w:rPr>
                <w:rFonts w:ascii="Source Sans Pro" w:hAnsi="Source Sans Pro" w:cs="Adagio_Slab Light"/>
                <w:sz w:val="20"/>
                <w:szCs w:val="20"/>
              </w:rPr>
              <w:t>ą</w:t>
            </w:r>
            <w:r w:rsidRPr="00D463FB">
              <w:rPr>
                <w:rFonts w:ascii="Source Sans Pro" w:hAnsi="Source Sans Pro" w:cs="Arial"/>
                <w:sz w:val="20"/>
                <w:szCs w:val="20"/>
              </w:rPr>
              <w:t>gana pr</w:t>
            </w:r>
            <w:r w:rsidRPr="00D463FB">
              <w:rPr>
                <w:rFonts w:ascii="Source Sans Pro" w:hAnsi="Source Sans Pro" w:cs="Adagio_Slab Light"/>
                <w:sz w:val="20"/>
                <w:szCs w:val="20"/>
              </w:rPr>
              <w:t>ę</w:t>
            </w:r>
            <w:r w:rsidRPr="00D463FB">
              <w:rPr>
                <w:rFonts w:ascii="Source Sans Pro" w:hAnsi="Source Sans Pro" w:cs="Arial"/>
                <w:sz w:val="20"/>
                <w:szCs w:val="20"/>
              </w:rPr>
              <w:t>dko</w:t>
            </w:r>
            <w:r w:rsidRPr="00D463FB">
              <w:rPr>
                <w:rFonts w:ascii="Source Sans Pro" w:hAnsi="Source Sans Pro" w:cs="Adagio_Slab Light"/>
                <w:sz w:val="20"/>
                <w:szCs w:val="20"/>
              </w:rPr>
              <w:t>ść</w:t>
            </w:r>
            <w:r w:rsidRPr="00D463FB">
              <w:rPr>
                <w:rFonts w:ascii="Source Sans Pro" w:hAnsi="Source Sans Pro" w:cs="Arial"/>
                <w:sz w:val="20"/>
                <w:szCs w:val="20"/>
              </w:rPr>
              <w:t xml:space="preserve"> wirowania nie mniejsza ni</w:t>
            </w:r>
            <w:r w:rsidRPr="00D463FB">
              <w:rPr>
                <w:rFonts w:ascii="Source Sans Pro" w:hAnsi="Source Sans Pro" w:cs="Adagio_Slab Light"/>
                <w:sz w:val="20"/>
                <w:szCs w:val="20"/>
              </w:rPr>
              <w:t>ż</w:t>
            </w:r>
            <w:r w:rsidRPr="00D463FB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rcf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22132 x g (14 000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rpm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4333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5C6C5B28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554B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EF2B" w14:textId="77777777" w:rsidR="000161DA" w:rsidRPr="00D463FB" w:rsidRDefault="000161DA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Możliwość regulacji prędkości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rpm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w zakresie 10-14000 ze skokiem 1</w:t>
            </w:r>
            <w:r w:rsidRPr="00D463FB">
              <w:rPr>
                <w:rFonts w:ascii="Source Sans Pro" w:hAnsi="Source Sans Pro" w:cs="Calibri"/>
                <w:sz w:val="20"/>
                <w:szCs w:val="20"/>
              </w:rPr>
              <w:t> 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rpm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; w zakresie 1 – 22132</w:t>
            </w:r>
            <w:r w:rsidRPr="00D463FB">
              <w:rPr>
                <w:rFonts w:ascii="Source Sans Pro" w:hAnsi="Source Sans Pro" w:cs="Calibri"/>
                <w:sz w:val="20"/>
                <w:szCs w:val="20"/>
              </w:rPr>
              <w:t> 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x</w:t>
            </w:r>
            <w:r w:rsidRPr="00D463FB">
              <w:rPr>
                <w:rFonts w:ascii="Source Sans Pro" w:hAnsi="Source Sans Pro" w:cs="Calibri"/>
                <w:sz w:val="20"/>
                <w:szCs w:val="20"/>
              </w:rPr>
              <w:t> 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g ze skokiem 1 x 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50F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b/>
                <w:bCs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55A3D003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FBE7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95C0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Wymiary zewnętrzne (szer. x głęb. x wys.)  nie większe niż 75 x 50 x 40 cm przy zamkniętej pokrywie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F81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color w:val="000000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50758E21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EF5D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8852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Wysokość z otwartą pokrywą wynosząca nie więcej niż 85 cm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AD7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4CF38A7E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63ED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5010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Możliwość ustawienia promienia dla każdego stosowanego adaptera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7543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55AEB137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E70E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D169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Pobór mocy nie większy niż 1650 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45D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1F40EA99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675E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5990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Automatyczne powiadamianie w przypadku źle wyważonego rotora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D00A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694F3804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B6B1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663D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Możliwość wprowadzenia przynajmniej 10 prędkości rozpędzania i hamowania rotora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601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20F6C8E6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E1C6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271E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Funkcja uruchamiania zegara po osiągnięciu 95% ustawionej prędkości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A0F5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618FA47D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D6A1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A55F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Możliwość instalacji co najmniej 10 rotorów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00E8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7DFA615E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1F0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BEEC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Maksymalna pojemność 4 x 1000 ml/4 x 5 MTP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2B71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35AD14A1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52C1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767B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Możliwość stosowania rotorów uniwersalnych bez konieczności zmieniania koszy czy samych rotorów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0149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FF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5DF5228F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266D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F771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Awaryjne otwieranie pokrywy w przypadku braku zasilania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8DB5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5169BBD3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9E92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99E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Możliwość ustawienia czasu w zakresie 10 s – 99 h 59 min z funkcją pracy ciągłej i funkcją szybkiego zwirowania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ED2D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091FBD49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7DBE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D80A" w14:textId="77777777" w:rsidR="000161DA" w:rsidRPr="00D463FB" w:rsidRDefault="000161DA">
            <w:pPr>
              <w:jc w:val="both"/>
              <w:rPr>
                <w:rFonts w:ascii="Source Sans Pro" w:eastAsia="Calibri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eastAsia="Calibri" w:hAnsi="Source Sans Pro" w:cstheme="majorHAnsi"/>
                <w:sz w:val="20"/>
                <w:szCs w:val="20"/>
              </w:rPr>
              <w:t>Waga urządzenia nie większa niż 110 kg (waga bez rotorów)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AE55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3C3B2AE7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5B29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EBDE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Możliwość regulacji temperatury w zakresie przynajmniej od -10</w:t>
            </w:r>
            <w:r w:rsidRPr="00D463FB">
              <w:rPr>
                <w:rFonts w:ascii="Source Sans Pro" w:hAnsi="Source Sans Pro" w:cstheme="majorHAnsi"/>
                <w:sz w:val="20"/>
                <w:szCs w:val="20"/>
                <w:vertAlign w:val="superscript"/>
              </w:rPr>
              <w:t>o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C do +40</w:t>
            </w:r>
            <w:r w:rsidRPr="00D463FB">
              <w:rPr>
                <w:rFonts w:ascii="Source Sans Pro" w:hAnsi="Source Sans Pro" w:cstheme="majorHAnsi"/>
                <w:sz w:val="20"/>
                <w:szCs w:val="20"/>
                <w:vertAlign w:val="superscript"/>
              </w:rPr>
              <w:t>o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716D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58FCD9CA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C49F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E665" w14:textId="77777777" w:rsidR="000161DA" w:rsidRPr="00D463FB" w:rsidRDefault="000161DA">
            <w:pPr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D463FB">
              <w:rPr>
                <w:rFonts w:ascii="Source Sans Pro" w:hAnsi="Source Sans Pro" w:cs="Arial"/>
                <w:sz w:val="20"/>
                <w:szCs w:val="20"/>
              </w:rPr>
              <w:t>Możliwość wprowadzenia i zapamiętania przynajmniej 99 programów użytkownika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9A57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18531A0B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0095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4B0A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Wirówka posiada certyfikat 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A2AA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09398461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DA02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598A" w14:textId="77777777" w:rsidR="000161DA" w:rsidRPr="00D463FB" w:rsidRDefault="000161DA">
            <w:pPr>
              <w:tabs>
                <w:tab w:val="left" w:pos="960"/>
              </w:tabs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Nie wymaga podłączenia do innych mediów oprócz zasilania 230V/50-60Hz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E2AB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79F1F7A6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30EF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4DC4" w14:textId="77777777" w:rsidR="000161DA" w:rsidRPr="00D463FB" w:rsidRDefault="000161DA">
            <w:pPr>
              <w:tabs>
                <w:tab w:val="left" w:pos="1185"/>
              </w:tabs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Wirówka wyposażona w przycisk szybkiego, wstępnego schładzania komory wirowania, z możliwością zaprogramowania dnia i godziny (harmonogram pracy)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254E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75D058FB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519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8B6B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Możliwość ustawiania zarówno wartości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rpm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jak i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rcf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oraz szybkiego konwertowania tych wartości między sobą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71D2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12D34389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9144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AFBF" w14:textId="77777777" w:rsidR="000161DA" w:rsidRPr="00D463FB" w:rsidRDefault="000161DA">
            <w:pPr>
              <w:tabs>
                <w:tab w:val="left" w:pos="3525"/>
              </w:tabs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Możliwość wirowania bez ograniczenia czasowego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2E9E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2753837F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93F8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6996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Utrzymywanie temperatury komory w trybie „stand-by” do momentu otwarcia pokrywy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66D3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2C4026CF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669E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A02D" w14:textId="77777777" w:rsidR="000161DA" w:rsidRPr="00D463FB" w:rsidRDefault="000161DA">
            <w:pPr>
              <w:tabs>
                <w:tab w:val="left" w:pos="1440"/>
              </w:tabs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Funkcja automatycznego wyłączenia po 8 godzinach bezczynności (możliwość zmiany ustawień)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C3F4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5856C1C1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8B66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845F" w14:textId="77777777" w:rsidR="000161DA" w:rsidRPr="00D463FB" w:rsidRDefault="000161DA">
            <w:pPr>
              <w:tabs>
                <w:tab w:val="left" w:pos="945"/>
              </w:tabs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Funkcja automatycznego rozpoznawania zainstalowanego rotora, oraz ograniczania prędkości wirowania ze względów bezpieczeństwa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12D2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41472AC1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DD30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646" w14:textId="77777777" w:rsidR="000161DA" w:rsidRPr="00D463FB" w:rsidRDefault="000161DA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Dotykowy wyświetlacz przynajmniej 7”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08DF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4D241458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FC7D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2119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Funkcje dokumentacji i zarządzania użytkownikami oraz dokumentacja wszystkich cykli pracy i działań użytkownika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A62F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5D49A721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4171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8535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Zabezpieczenie hasłem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3784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0119F639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9792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29.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9C2C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Eksport danych w formacie PDF/CSV z użyciem portu USB lub oprogramowania producenta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1F9F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39669750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ABEB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30.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2D97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Funkcje zarządzania użytkownikami i dokumentacją spełniają wymogi GLP/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GxP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C948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618F5178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AED5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31.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E1E5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W zestawie akcesoria:</w:t>
            </w:r>
          </w:p>
          <w:p w14:paraId="5D08D0BA" w14:textId="77777777" w:rsidR="000161DA" w:rsidRPr="00D463FB" w:rsidRDefault="000161DA">
            <w:pPr>
              <w:ind w:left="400"/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- rotor wychylny z uniwersalnymi koszami i adapterami na: 68 probówek 5/15 ml, 36 probówek 50 ml, 4 butelki 175-250ml i</w:t>
            </w:r>
            <w:r w:rsidRPr="00D463FB">
              <w:rPr>
                <w:rFonts w:ascii="Source Sans Pro" w:hAnsi="Source Sans Pro" w:cs="Calibri"/>
                <w:sz w:val="20"/>
                <w:szCs w:val="20"/>
              </w:rPr>
              <w:t> 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płytki, v. max przynajmniej 4500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rpm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(4347 x g)</w:t>
            </w:r>
          </w:p>
          <w:p w14:paraId="363C54CD" w14:textId="59EC1DD8" w:rsidR="000161DA" w:rsidRPr="00D463FB" w:rsidRDefault="000161DA">
            <w:pPr>
              <w:ind w:left="400"/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- rotor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stałokątowy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aerozoloszczelny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na 6 probówek 50</w:t>
            </w:r>
            <w:r w:rsidRPr="00D463FB">
              <w:rPr>
                <w:rFonts w:ascii="Source Sans Pro" w:hAnsi="Source Sans Pro" w:cs="Calibri"/>
                <w:sz w:val="20"/>
                <w:szCs w:val="20"/>
              </w:rPr>
              <w:t> 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ml, v. max. przynajmniej 12</w:t>
            </w:r>
            <w:r w:rsidR="00D463FB">
              <w:rPr>
                <w:rFonts w:ascii="Source Sans Pro" w:hAnsi="Source Sans Pro" w:cstheme="majorHAnsi"/>
                <w:sz w:val="20"/>
                <w:szCs w:val="20"/>
              </w:rPr>
              <w:t> 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000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rpm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(20</w:t>
            </w:r>
            <w:r w:rsidRPr="00D463FB">
              <w:rPr>
                <w:rFonts w:ascii="Source Sans Pro" w:hAnsi="Source Sans Pro" w:cs="Calibri"/>
                <w:sz w:val="20"/>
                <w:szCs w:val="20"/>
              </w:rPr>
              <w:t> 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130 x g), z adapterami na probówki 15ml (6 szt.)</w:t>
            </w:r>
          </w:p>
          <w:p w14:paraId="438DFF29" w14:textId="77777777" w:rsidR="000161DA" w:rsidRPr="00D463FB" w:rsidRDefault="000161DA">
            <w:pPr>
              <w:ind w:left="400"/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- rotor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stałokątowy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aerozoloszczelny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na 30 probówek 1,5/2ml, v.</w:t>
            </w:r>
            <w:r w:rsidRPr="00D463FB">
              <w:rPr>
                <w:rFonts w:ascii="Source Sans Pro" w:hAnsi="Source Sans Pro" w:cs="Calibri"/>
                <w:sz w:val="20"/>
                <w:szCs w:val="20"/>
              </w:rPr>
              <w:t> 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max. przynajmniej 13</w:t>
            </w:r>
            <w:r w:rsidRPr="00D463FB">
              <w:rPr>
                <w:rFonts w:ascii="Source Sans Pro" w:hAnsi="Source Sans Pro" w:cs="Calibri"/>
                <w:sz w:val="20"/>
                <w:szCs w:val="20"/>
              </w:rPr>
              <w:t> </w:t>
            </w: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500</w:t>
            </w:r>
            <w:r w:rsidRPr="00D463FB">
              <w:rPr>
                <w:rFonts w:ascii="Source Sans Pro" w:hAnsi="Source Sans Pro" w:cs="Calibri"/>
                <w:sz w:val="20"/>
                <w:szCs w:val="20"/>
              </w:rPr>
              <w:t> </w:t>
            </w:r>
            <w:proofErr w:type="spellStart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rpm</w:t>
            </w:r>
            <w:proofErr w:type="spellEnd"/>
            <w:r w:rsidRPr="00D463FB">
              <w:rPr>
                <w:rFonts w:ascii="Source Sans Pro" w:hAnsi="Source Sans Pro" w:cstheme="majorHAnsi"/>
                <w:sz w:val="20"/>
                <w:szCs w:val="20"/>
              </w:rPr>
              <w:t xml:space="preserve"> (20984 x g), z adapterami na probówki 0,2ml (30 szt.)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4B2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color w:val="000000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  <w:tr w:rsidR="000161DA" w:rsidRPr="00D463FB" w14:paraId="7E584654" w14:textId="77777777" w:rsidTr="000161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5C82" w14:textId="77777777" w:rsidR="000161DA" w:rsidRPr="00D463FB" w:rsidRDefault="000161DA">
            <w:pPr>
              <w:jc w:val="both"/>
              <w:rPr>
                <w:rFonts w:ascii="Source Sans Pro" w:hAnsi="Source Sans Pro" w:cstheme="majorHAnsi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sz w:val="20"/>
                <w:szCs w:val="20"/>
              </w:rPr>
              <w:t>32.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C0FD" w14:textId="77777777" w:rsidR="000161DA" w:rsidRPr="00D463FB" w:rsidRDefault="000161DA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D463FB">
              <w:rPr>
                <w:rFonts w:ascii="Source Sans Pro" w:hAnsi="Source Sans Pro"/>
                <w:sz w:val="20"/>
                <w:szCs w:val="20"/>
              </w:rPr>
              <w:t>Wirówka umożliwia pracę z rotorem FA-6x250 (</w:t>
            </w:r>
            <w:proofErr w:type="spellStart"/>
            <w:r w:rsidRPr="00D463FB">
              <w:rPr>
                <w:rFonts w:ascii="Source Sans Pro" w:hAnsi="Source Sans Pro"/>
                <w:sz w:val="20"/>
                <w:szCs w:val="20"/>
              </w:rPr>
              <w:t>Eppendorf</w:t>
            </w:r>
            <w:proofErr w:type="spellEnd"/>
            <w:r w:rsidRPr="00D463FB">
              <w:rPr>
                <w:rFonts w:ascii="Source Sans Pro" w:hAnsi="Source Sans Pro" w:cs="Calibri"/>
                <w:sz w:val="20"/>
                <w:szCs w:val="20"/>
              </w:rPr>
              <w:t>®</w:t>
            </w:r>
            <w:r w:rsidRPr="00D463FB">
              <w:rPr>
                <w:rFonts w:ascii="Source Sans Pro" w:hAnsi="Source Sans Pro"/>
                <w:sz w:val="20"/>
                <w:szCs w:val="20"/>
              </w:rPr>
              <w:t xml:space="preserve"> 5895175007).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9AFA" w14:textId="77777777" w:rsidR="000161DA" w:rsidRPr="00D463FB" w:rsidRDefault="000161DA">
            <w:pPr>
              <w:jc w:val="both"/>
              <w:rPr>
                <w:rFonts w:ascii="Source Sans Pro" w:eastAsia="Arial Unicode MS" w:hAnsi="Source Sans Pro" w:cstheme="majorHAnsi"/>
                <w:color w:val="000000"/>
                <w:kern w:val="2"/>
                <w:sz w:val="20"/>
                <w:szCs w:val="20"/>
              </w:rPr>
            </w:pPr>
            <w:r w:rsidRPr="00D463FB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tak /nie</w:t>
            </w:r>
          </w:p>
        </w:tc>
      </w:tr>
    </w:tbl>
    <w:p w14:paraId="1B8EF8BB" w14:textId="77777777" w:rsidR="000161DA" w:rsidRPr="00D463FB" w:rsidRDefault="000161DA" w:rsidP="000161DA">
      <w:pPr>
        <w:tabs>
          <w:tab w:val="left" w:pos="540"/>
        </w:tabs>
        <w:rPr>
          <w:rFonts w:ascii="Source Sans Pro" w:eastAsia="Arial Unicode MS" w:hAnsi="Source Sans Pro" w:cs="Times New Roman"/>
          <w:kern w:val="2"/>
          <w:sz w:val="20"/>
          <w:szCs w:val="20"/>
          <w:lang w:eastAsia="pl-PL"/>
        </w:rPr>
      </w:pPr>
    </w:p>
    <w:p w14:paraId="56E8ED48" w14:textId="77777777" w:rsidR="000161DA" w:rsidRPr="00D463FB" w:rsidRDefault="000161DA" w:rsidP="000161DA">
      <w:pPr>
        <w:pStyle w:val="Akapitzlist"/>
        <w:ind w:left="0"/>
        <w:jc w:val="both"/>
        <w:rPr>
          <w:rFonts w:ascii="Source Sans Pro" w:hAnsi="Source Sans Pro"/>
          <w:b/>
          <w:bCs/>
          <w:sz w:val="20"/>
          <w:szCs w:val="20"/>
        </w:rPr>
      </w:pPr>
    </w:p>
    <w:p w14:paraId="40E3CAB5" w14:textId="77777777" w:rsidR="000161DA" w:rsidRPr="00D463FB" w:rsidRDefault="000161DA" w:rsidP="000161DA">
      <w:pPr>
        <w:pStyle w:val="Akapitzlist"/>
        <w:ind w:left="0"/>
        <w:jc w:val="both"/>
        <w:rPr>
          <w:rFonts w:ascii="Source Sans Pro" w:hAnsi="Source Sans Pro"/>
          <w:b/>
          <w:bCs/>
          <w:sz w:val="20"/>
          <w:szCs w:val="20"/>
        </w:rPr>
      </w:pPr>
    </w:p>
    <w:p w14:paraId="7DE45CA3" w14:textId="77777777" w:rsidR="000161DA" w:rsidRPr="00D463FB" w:rsidRDefault="000161DA" w:rsidP="000161DA">
      <w:pPr>
        <w:pStyle w:val="Akapitzlist"/>
        <w:spacing w:after="60"/>
        <w:ind w:left="284"/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3CC2E615" w14:textId="77777777" w:rsidR="000161DA" w:rsidRPr="00D463FB" w:rsidRDefault="000161DA" w:rsidP="000161DA">
      <w:pPr>
        <w:jc w:val="both"/>
        <w:rPr>
          <w:rFonts w:ascii="Source Sans Pro" w:eastAsia="Times New Roman" w:hAnsi="Source Sans Pro"/>
          <w:sz w:val="22"/>
          <w:szCs w:val="22"/>
        </w:rPr>
      </w:pPr>
    </w:p>
    <w:p w14:paraId="1C0179B0" w14:textId="77777777" w:rsidR="000161DA" w:rsidRPr="00D463FB" w:rsidRDefault="000161DA" w:rsidP="000161DA">
      <w:pPr>
        <w:tabs>
          <w:tab w:val="left" w:pos="540"/>
        </w:tabs>
        <w:spacing w:line="360" w:lineRule="auto"/>
        <w:rPr>
          <w:rFonts w:ascii="Source Sans Pro" w:eastAsia="Arial Unicode MS" w:hAnsi="Source Sans Pro"/>
          <w:sz w:val="22"/>
          <w:szCs w:val="22"/>
        </w:rPr>
      </w:pPr>
    </w:p>
    <w:p w14:paraId="7FA62867" w14:textId="77777777" w:rsidR="000161DA" w:rsidRPr="00D463FB" w:rsidRDefault="000161DA" w:rsidP="000161DA">
      <w:pPr>
        <w:tabs>
          <w:tab w:val="left" w:pos="540"/>
        </w:tabs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246904F6" w14:textId="77777777" w:rsidR="000161DA" w:rsidRPr="00D463FB" w:rsidRDefault="000161DA" w:rsidP="000161DA">
      <w:pPr>
        <w:spacing w:line="276" w:lineRule="auto"/>
        <w:ind w:left="284"/>
        <w:jc w:val="center"/>
        <w:rPr>
          <w:rFonts w:ascii="Source Sans Pro" w:hAnsi="Source Sans Pro" w:cs="Calibri"/>
          <w:bCs/>
          <w:color w:val="FF0000"/>
          <w:spacing w:val="-2"/>
          <w:sz w:val="22"/>
          <w:szCs w:val="22"/>
        </w:rPr>
      </w:pPr>
      <w:r w:rsidRPr="00D463FB">
        <w:rPr>
          <w:rFonts w:ascii="Source Sans Pro" w:hAnsi="Source Sans Pro" w:cs="Calibri"/>
          <w:bCs/>
          <w:color w:val="FF0000"/>
          <w:sz w:val="22"/>
          <w:szCs w:val="22"/>
        </w:rPr>
        <w:t xml:space="preserve">WYPEŁNIONY DOKUMENT NALEŻY OPATRZEĆ PODPISEM OSOBISTYM, </w:t>
      </w:r>
      <w:r w:rsidRPr="00D463FB">
        <w:rPr>
          <w:rFonts w:ascii="Source Sans Pro" w:hAnsi="Source Sans Pro" w:cs="Calibri"/>
          <w:bCs/>
          <w:color w:val="FF0000"/>
          <w:spacing w:val="-2"/>
          <w:sz w:val="22"/>
          <w:szCs w:val="22"/>
        </w:rPr>
        <w:t>PODPISEM ZAUFANYM LUB KWALIFIKOWANYM PODPISEM ELEKTRONICZNYM</w:t>
      </w:r>
    </w:p>
    <w:p w14:paraId="6BF0097C" w14:textId="77777777" w:rsidR="000161DA" w:rsidRPr="00D463FB" w:rsidRDefault="000161DA" w:rsidP="000161DA">
      <w:pPr>
        <w:spacing w:line="276" w:lineRule="auto"/>
        <w:ind w:left="-142" w:firstLine="142"/>
        <w:jc w:val="center"/>
        <w:rPr>
          <w:rFonts w:ascii="Source Sans Pro" w:hAnsi="Source Sans Pro" w:cs="Arial"/>
          <w:i/>
          <w:sz w:val="22"/>
          <w:szCs w:val="22"/>
        </w:rPr>
      </w:pPr>
    </w:p>
    <w:p w14:paraId="31FB8AE6" w14:textId="006D3FE2" w:rsidR="00786440" w:rsidRPr="00D463FB" w:rsidRDefault="00786440" w:rsidP="000161DA">
      <w:pPr>
        <w:rPr>
          <w:rFonts w:ascii="Source Sans Pro" w:hAnsi="Source Sans Pro"/>
        </w:rPr>
      </w:pPr>
    </w:p>
    <w:sectPr w:rsidR="00786440" w:rsidRPr="00D463FB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590A9D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161DA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6114F"/>
    <w:rsid w:val="00566856"/>
    <w:rsid w:val="00584918"/>
    <w:rsid w:val="00590A9D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41097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463FB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customStyle="1" w:styleId="Tekstpodstawowywcity33">
    <w:name w:val="Tekst podstawowy wcięty 33"/>
    <w:basedOn w:val="Normalny"/>
    <w:rsid w:val="000161DA"/>
    <w:pPr>
      <w:widowControl w:val="0"/>
      <w:suppressAutoHyphens/>
      <w:autoSpaceDE w:val="0"/>
      <w:autoSpaceDN w:val="0"/>
      <w:spacing w:after="120"/>
      <w:ind w:left="283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2023-08-30T08:42:00Z</dcterms:created>
  <dcterms:modified xsi:type="dcterms:W3CDTF">2023-08-30T08:42:00Z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