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3F256D">
        <w:rPr>
          <w:rFonts w:ascii="Arial" w:eastAsia="Times New Roman" w:hAnsi="Arial" w:cs="Arial"/>
          <w:bCs/>
          <w:kern w:val="2"/>
        </w:rPr>
        <w:t>mówień publicznych (Dz.U. z 2021 r. poz. 1</w:t>
      </w:r>
      <w:r w:rsidRPr="00E46A34">
        <w:rPr>
          <w:rFonts w:ascii="Arial" w:eastAsia="Times New Roman" w:hAnsi="Arial" w:cs="Arial"/>
          <w:bCs/>
          <w:kern w:val="2"/>
        </w:rPr>
        <w:t>1</w:t>
      </w:r>
      <w:r w:rsidR="003F256D">
        <w:rPr>
          <w:rFonts w:ascii="Arial" w:eastAsia="Times New Roman" w:hAnsi="Arial" w:cs="Arial"/>
          <w:bCs/>
          <w:kern w:val="2"/>
        </w:rPr>
        <w:t>2</w:t>
      </w:r>
      <w:bookmarkStart w:id="2" w:name="_GoBack"/>
      <w:bookmarkEnd w:id="2"/>
      <w:r w:rsidRPr="00E46A34">
        <w:rPr>
          <w:rFonts w:ascii="Arial" w:eastAsia="Times New Roman" w:hAnsi="Arial" w:cs="Arial"/>
          <w:bCs/>
          <w:kern w:val="2"/>
        </w:rPr>
        <w:t>9 ze zm.),</w:t>
      </w:r>
    </w:p>
    <w:p w:rsidR="00FD572D" w:rsidRPr="00FD572D" w:rsidRDefault="00A80D40" w:rsidP="00FD572D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  <w:lang w:val="pl"/>
        </w:rPr>
      </w:pPr>
      <w:r w:rsidRPr="00E46A34">
        <w:rPr>
          <w:rFonts w:ascii="Arial" w:eastAsia="Times New Roman" w:hAnsi="Arial" w:cs="Arial"/>
          <w:bCs/>
          <w:kern w:val="2"/>
        </w:rPr>
        <w:t>zwanej dalej „ustawą”, w postępowaniu na</w:t>
      </w:r>
      <w:r w:rsidRPr="00A249AA">
        <w:rPr>
          <w:rFonts w:ascii="Arial" w:eastAsia="Times New Roman" w:hAnsi="Arial" w:cs="Arial"/>
          <w:kern w:val="2"/>
        </w:rPr>
        <w:t xml:space="preserve"> </w:t>
      </w:r>
      <w:r>
        <w:rPr>
          <w:rFonts w:ascii="Arial" w:eastAsia="Times New Roman" w:hAnsi="Arial" w:cs="Arial"/>
          <w:kern w:val="2"/>
        </w:rPr>
        <w:br/>
      </w:r>
      <w:r w:rsidR="00FD572D" w:rsidRPr="00FD572D">
        <w:rPr>
          <w:rFonts w:ascii="Arial" w:eastAsia="Times New Roman" w:hAnsi="Arial" w:cs="Arial"/>
          <w:b/>
          <w:bCs/>
          <w:i/>
          <w:iCs/>
          <w:kern w:val="2"/>
          <w:lang w:val="pl"/>
        </w:rPr>
        <w:t>„Wykonanie remontu dróg gruntowych na terenie Miasta i Gminy Jelcz-Laskowice.”</w:t>
      </w:r>
    </w:p>
    <w:p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</w:rPr>
      </w:pPr>
    </w:p>
    <w:bookmarkEnd w:id="1"/>
    <w:p w:rsidR="00A80D40" w:rsidRPr="00A249AA" w:rsidRDefault="00A80D40" w:rsidP="00A80D40">
      <w:pPr>
        <w:textAlignment w:val="baseline"/>
        <w:rPr>
          <w:rFonts w:ascii="Arial" w:eastAsia="Times New Roman" w:hAnsi="Arial" w:cs="Arial"/>
          <w:kern w:val="2"/>
        </w:rPr>
      </w:pPr>
    </w:p>
    <w:p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3" w:name="_Hlk61824093"/>
      <w:bookmarkStart w:id="4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3"/>
      <w:r>
        <w:rPr>
          <w:rFonts w:ascii="Arial" w:eastAsia="Times New Roman" w:hAnsi="Arial" w:cs="Arial"/>
          <w:kern w:val="2"/>
        </w:rPr>
        <w:t xml:space="preserve">, 5 i 7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4"/>
      <w:r w:rsidRPr="00A249AA">
        <w:rPr>
          <w:rFonts w:ascii="Arial" w:eastAsia="Times New Roman" w:hAnsi="Arial" w:cs="Arial"/>
          <w:kern w:val="2"/>
        </w:rPr>
        <w:t xml:space="preserve">: 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 xml:space="preserve">Wszystkie podane powyżej informacje są aktualne i zgodne z prawdą oraz zostały przedstawione z pełną świadomością konsekwencji wprowadzenia Zamawiającego w błąd przy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>przedstawianiu informacji.</w:t>
      </w:r>
    </w:p>
    <w:p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5" w:name="_Hlk61534876"/>
      <w:r w:rsidRPr="00C0156B">
        <w:rPr>
          <w:rFonts w:ascii="Arial" w:hAnsi="Arial" w:cs="Arial"/>
          <w:i/>
          <w:sz w:val="19"/>
          <w:szCs w:val="19"/>
        </w:rPr>
        <w:lastRenderedPageBreak/>
        <w:t xml:space="preserve">*   </w:t>
      </w:r>
      <w:bookmarkStart w:id="6" w:name="_Hlk61825033"/>
      <w:bookmarkStart w:id="7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6"/>
    </w:p>
    <w:bookmarkEnd w:id="7"/>
    <w:p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5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6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 xml:space="preserve">który w sposób zawiniony poważnie naruszył obowiązki zawodowe, co podważa jego uczciwość, w szczególności gdy wykonawca w wyniku zamierzonego działania lub rażącego niedbalstwa nie </w:t>
      </w:r>
      <w:r w:rsidRPr="00A80D40">
        <w:rPr>
          <w:rFonts w:ascii="Arial" w:hAnsi="Arial" w:cs="Arial"/>
          <w:i/>
          <w:iCs/>
          <w:sz w:val="19"/>
          <w:szCs w:val="19"/>
        </w:rPr>
        <w:lastRenderedPageBreak/>
        <w:t>wykonał lub nienależycie wykonał zamówienie, co zamawiający jest w stanie wykazać za pomocą stosownych dowodów;</w:t>
      </w:r>
    </w:p>
    <w:p w:rsidR="002238F3" w:rsidRPr="002238F3" w:rsidRDefault="002238F3" w:rsidP="002238F3">
      <w:pPr>
        <w:pStyle w:val="Akapitzlist"/>
        <w:numPr>
          <w:ilvl w:val="0"/>
          <w:numId w:val="1"/>
        </w:numPr>
        <w:rPr>
          <w:i/>
        </w:rPr>
      </w:pPr>
      <w:r w:rsidRPr="002238F3">
        <w:rPr>
          <w:i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40"/>
    <w:rsid w:val="002238F3"/>
    <w:rsid w:val="003F256D"/>
    <w:rsid w:val="0061551A"/>
    <w:rsid w:val="00A80D40"/>
    <w:rsid w:val="00FD3A14"/>
    <w:rsid w:val="00FD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slvpn.um.warszawa.pl/lex/,DanaInfo=.alfzCyrF3i02-m9oO52+index.rp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1249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5</cp:revision>
  <dcterms:created xsi:type="dcterms:W3CDTF">2021-02-24T21:44:00Z</dcterms:created>
  <dcterms:modified xsi:type="dcterms:W3CDTF">2022-03-14T08:23:00Z</dcterms:modified>
</cp:coreProperties>
</file>