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F940AA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F75C52">
        <w:rPr>
          <w:rFonts w:ascii="Arial" w:eastAsia="Times New Roman" w:hAnsi="Arial" w:cs="Arial"/>
          <w:bCs/>
          <w:snapToGrid w:val="0"/>
          <w:lang w:eastAsia="pl-PL"/>
        </w:rPr>
        <w:t>100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A76C68" w14:textId="20423B5F" w:rsidR="00923A81" w:rsidRPr="00237D99" w:rsidRDefault="0020799D" w:rsidP="00F75C52">
      <w:pPr>
        <w:pStyle w:val="Tekstpodstawowy"/>
        <w:spacing w:line="240" w:lineRule="auto"/>
        <w:jc w:val="both"/>
        <w:rPr>
          <w:b/>
          <w:szCs w:val="24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r w:rsidR="00F75C52" w:rsidRPr="00F75C52">
        <w:rPr>
          <w:rFonts w:ascii="Arial" w:hAnsi="Arial" w:cs="Arial"/>
          <w:b/>
          <w:bCs/>
          <w:sz w:val="22"/>
          <w:szCs w:val="22"/>
          <w:lang w:eastAsia="pl-PL"/>
        </w:rPr>
        <w:t>Utworzenie numerycznej mapy gleb chronionych dla obszaru gminy Jadów</w:t>
      </w:r>
    </w:p>
    <w:bookmarkEnd w:id="0"/>
    <w:p w14:paraId="3EDA6D78" w14:textId="0CF6985E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72620922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F75C52">
        <w:rPr>
          <w:rFonts w:ascii="Arial" w:eastAsia="Calibri" w:hAnsi="Arial" w:cs="Arial"/>
        </w:rPr>
        <w:t>29.000,00</w:t>
      </w:r>
      <w:r w:rsidR="00923A81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A1517"/>
    <w:rsid w:val="00464BC2"/>
    <w:rsid w:val="004F1602"/>
    <w:rsid w:val="005D70BA"/>
    <w:rsid w:val="00705558"/>
    <w:rsid w:val="007461BD"/>
    <w:rsid w:val="007721F4"/>
    <w:rsid w:val="00923A81"/>
    <w:rsid w:val="00931224"/>
    <w:rsid w:val="00AB1F4E"/>
    <w:rsid w:val="00AD333E"/>
    <w:rsid w:val="00AD543C"/>
    <w:rsid w:val="00C3227B"/>
    <w:rsid w:val="00DD32B7"/>
    <w:rsid w:val="00DE16EA"/>
    <w:rsid w:val="00F53264"/>
    <w:rsid w:val="00F75C52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2023-01-31T09:14:00Z</cp:lastPrinted>
  <dcterms:created xsi:type="dcterms:W3CDTF">2023-06-30T07:17:00Z</dcterms:created>
  <dcterms:modified xsi:type="dcterms:W3CDTF">2023-06-30T07:17:00Z</dcterms:modified>
</cp:coreProperties>
</file>