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4561639A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450A31" w:rsidRPr="00450A31">
        <w:rPr>
          <w:rFonts w:ascii="Calibri Light" w:hAnsi="Calibri Light" w:cs="Calibri Light"/>
          <w:color w:val="002060"/>
          <w:sz w:val="22"/>
          <w:szCs w:val="22"/>
        </w:rPr>
        <w:t>Uroczysta kolacja w trakcie Szkoły Letniej, numer referencyjny: ZP.U.MG.36.2023</w:t>
      </w:r>
      <w:bookmarkStart w:id="1" w:name="_GoBack"/>
      <w:bookmarkEnd w:id="1"/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70C3CDF6" w14:textId="06ADD7AD" w:rsidR="001F0859" w:rsidRPr="000E25B2" w:rsidRDefault="004916D7" w:rsidP="000E25B2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0E25B2">
        <w:rPr>
          <w:rFonts w:ascii="Calibri Light" w:eastAsia="Calibri" w:hAnsi="Calibri Light" w:cs="Calibri Light"/>
          <w:sz w:val="22"/>
          <w:szCs w:val="22"/>
        </w:rPr>
        <w:t>.</w:t>
      </w: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E25B2"/>
    <w:rsid w:val="001E2294"/>
    <w:rsid w:val="001F0859"/>
    <w:rsid w:val="00411F44"/>
    <w:rsid w:val="00450A31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FD88-CED7-4DB1-84FF-8031DFBA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19</cp:revision>
  <cp:lastPrinted>2022-11-22T07:57:00Z</cp:lastPrinted>
  <dcterms:created xsi:type="dcterms:W3CDTF">2022-08-05T08:44:00Z</dcterms:created>
  <dcterms:modified xsi:type="dcterms:W3CDTF">2023-08-01T07:19:00Z</dcterms:modified>
</cp:coreProperties>
</file>