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</w:t>
      </w:r>
      <w:r>
        <w:t>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</w:t>
      </w:r>
      <w:r w:rsidR="000746F2">
        <w:t xml:space="preserve">zenia robót przy oczyszczaniu </w:t>
      </w:r>
      <w:r>
        <w:t>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</w:t>
      </w:r>
      <w:r w:rsidR="000746F2">
        <w:t>szonych - warstwy niebitumiczne.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0746F2" w:rsidP="00EF5727">
      <w:pPr>
        <w:pStyle w:val="TEKST1Tre"/>
        <w:spacing w:before="0"/>
      </w:pPr>
      <w:r>
        <w:t>Nie dotyczy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0" w:name="_Toc407069672"/>
      <w:bookmarkStart w:id="1" w:name="_Toc407081637"/>
      <w:bookmarkStart w:id="2" w:name="_Toc407081780"/>
      <w:bookmarkStart w:id="3" w:name="_Toc407083436"/>
      <w:bookmarkStart w:id="4" w:name="_Toc407084270"/>
      <w:bookmarkStart w:id="5" w:name="_Toc407085389"/>
      <w:bookmarkStart w:id="6" w:name="_Toc407085532"/>
      <w:bookmarkStart w:id="7" w:name="_Toc407085675"/>
      <w:bookmarkStart w:id="8" w:name="_Toc407086123"/>
      <w:r>
        <w:t>Sprzęt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9" w:name="_Toc407069673"/>
      <w:bookmarkStart w:id="10" w:name="_Toc407081638"/>
      <w:bookmarkStart w:id="11" w:name="_Toc407081781"/>
      <w:bookmarkStart w:id="12" w:name="_Toc407083437"/>
      <w:bookmarkStart w:id="13" w:name="_Toc407084271"/>
      <w:bookmarkStart w:id="14" w:name="_Toc407085390"/>
      <w:bookmarkStart w:id="15" w:name="_Toc407085533"/>
      <w:bookmarkStart w:id="16" w:name="_Toc407085676"/>
      <w:bookmarkStart w:id="17" w:name="_Toc407086124"/>
      <w:r>
        <w:t>Ogólne wymagania dotyczące sprzętu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8" w:name="_Toc407069674"/>
      <w:bookmarkStart w:id="19" w:name="_Toc407081639"/>
      <w:bookmarkStart w:id="20" w:name="_Toc407081782"/>
      <w:bookmarkStart w:id="21" w:name="_Toc407083438"/>
      <w:bookmarkStart w:id="22" w:name="_Toc407084272"/>
      <w:bookmarkStart w:id="23" w:name="_Toc407085391"/>
      <w:bookmarkStart w:id="24" w:name="_Toc407085534"/>
      <w:bookmarkStart w:id="25" w:name="_Toc407085677"/>
      <w:bookmarkStart w:id="26" w:name="_Toc407086125"/>
      <w:r>
        <w:t>Sprzęt do oczyszczania warstw nawierzchni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0746F2" w:rsidP="00EF5727">
      <w:pPr>
        <w:pStyle w:val="TEKST1Tre"/>
        <w:spacing w:before="0"/>
      </w:pPr>
      <w:r>
        <w:t>Nie dotyczy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lastRenderedPageBreak/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</w:t>
      </w:r>
      <w:r w:rsidR="000746F2">
        <w:t>cach trudno dostępnych nal</w:t>
      </w:r>
      <w:r>
        <w:t>eży używać szczotek ręcznych. W razie potrzeby, na terenach niezabudowanych, bezpośrednio przed skropieniem warstwa powinna być oczyszczona z kurzu przy użyciu sprężonego powietrza.</w:t>
      </w:r>
    </w:p>
    <w:p w:rsidR="000746F2" w:rsidRDefault="000746F2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bookmarkStart w:id="27" w:name="_GoBack"/>
      <w:bookmarkEnd w:id="27"/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 w:rsidR="000746F2">
        <w:t xml:space="preserve"> powierzchni oczyszczonej </w:t>
      </w:r>
      <w:r>
        <w:t>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</w:t>
      </w:r>
      <w:r w:rsidR="000746F2">
        <w:t xml:space="preserve">go oczyszczenia </w:t>
      </w:r>
      <w:r>
        <w:t xml:space="preserve">należy przyjmować zgodnie </w:t>
      </w:r>
      <w:r>
        <w:br/>
        <w:t>z obmiarem,</w:t>
      </w:r>
      <w:r w:rsidR="000746F2">
        <w:t xml:space="preserve"> oceną jakości wykonanych robót.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0746F2" w:rsidP="00EF5727">
      <w:pPr>
        <w:spacing w:after="0"/>
        <w:jc w:val="both"/>
        <w:rPr>
          <w:rFonts w:cs="Arial"/>
        </w:rPr>
      </w:pPr>
      <w:r>
        <w:rPr>
          <w:rFonts w:cs="Arial"/>
        </w:rPr>
        <w:t>Nie dotyczy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0746F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656" w:rsidRDefault="00632656" w:rsidP="00EF5727">
      <w:pPr>
        <w:spacing w:after="0" w:line="240" w:lineRule="auto"/>
      </w:pPr>
      <w:r>
        <w:separator/>
      </w:r>
    </w:p>
  </w:endnote>
  <w:endnote w:type="continuationSeparator" w:id="0">
    <w:p w:rsidR="00632656" w:rsidRDefault="00632656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0746F2">
          <w:rPr>
            <w:rFonts w:ascii="Arial" w:hAnsi="Arial" w:cs="Arial"/>
            <w:noProof/>
            <w:sz w:val="20"/>
          </w:rPr>
          <w:t>1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656" w:rsidRDefault="00632656" w:rsidP="00EF5727">
      <w:pPr>
        <w:spacing w:after="0" w:line="240" w:lineRule="auto"/>
      </w:pPr>
      <w:r>
        <w:separator/>
      </w:r>
    </w:p>
  </w:footnote>
  <w:footnote w:type="continuationSeparator" w:id="0">
    <w:p w:rsidR="00632656" w:rsidRDefault="00632656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0D6F"/>
    <w:rsid w:val="000746F2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37B3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2656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44F3"/>
    <w:rsid w:val="0071717D"/>
    <w:rsid w:val="0071767F"/>
    <w:rsid w:val="00723B02"/>
    <w:rsid w:val="007247EC"/>
    <w:rsid w:val="0072701E"/>
    <w:rsid w:val="007330CF"/>
    <w:rsid w:val="0073771B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3C3A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0A6E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21</cp:revision>
  <dcterms:created xsi:type="dcterms:W3CDTF">2014-04-01T14:20:00Z</dcterms:created>
  <dcterms:modified xsi:type="dcterms:W3CDTF">2020-08-22T14:08:00Z</dcterms:modified>
</cp:coreProperties>
</file>