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A6E1" w14:textId="73017AFE" w:rsidR="00280DAA" w:rsidRPr="00444FA7" w:rsidRDefault="00280DAA" w:rsidP="00280DAA">
      <w:pPr>
        <w:jc w:val="center"/>
        <w:rPr>
          <w:b/>
          <w:sz w:val="28"/>
          <w:szCs w:val="28"/>
        </w:rPr>
      </w:pPr>
      <w:r w:rsidRPr="00444FA7">
        <w:rPr>
          <w:b/>
          <w:sz w:val="28"/>
          <w:szCs w:val="28"/>
        </w:rPr>
        <w:t>OPIS PRZEDMIOTU ZAMÓWIENIA</w:t>
      </w:r>
      <w:r w:rsidR="007E7AFD">
        <w:rPr>
          <w:b/>
          <w:sz w:val="28"/>
          <w:szCs w:val="28"/>
        </w:rPr>
        <w:t xml:space="preserve"> – CZĘŚĆ 3</w:t>
      </w:r>
    </w:p>
    <w:p w14:paraId="2F716C23" w14:textId="3BA5248A" w:rsidR="00FF6717" w:rsidRDefault="00280DAA" w:rsidP="00FF6717">
      <w:pPr>
        <w:spacing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Pompa próżniowa</w:t>
      </w:r>
      <w:r w:rsidR="00896623">
        <w:rPr>
          <w:rFonts w:eastAsia="Calibri" w:cstheme="minorHAnsi"/>
          <w:b/>
        </w:rPr>
        <w:t xml:space="preserve"> olejowa</w:t>
      </w:r>
    </w:p>
    <w:p w14:paraId="06F69BC9" w14:textId="0DA695BD" w:rsidR="00D87221" w:rsidRPr="00CC22A9" w:rsidRDefault="00D87221" w:rsidP="00D87221">
      <w:pPr>
        <w:pStyle w:val="Akapitzlist"/>
        <w:numPr>
          <w:ilvl w:val="0"/>
          <w:numId w:val="27"/>
        </w:numPr>
        <w:spacing w:after="0" w:line="240" w:lineRule="auto"/>
        <w:ind w:left="426" w:hanging="426"/>
      </w:pPr>
      <w:r w:rsidRPr="00102549">
        <w:rPr>
          <w:noProof/>
        </w:rPr>
        <w:t xml:space="preserve">Pompa </w:t>
      </w:r>
      <w:r>
        <w:rPr>
          <w:noProof/>
        </w:rPr>
        <w:t xml:space="preserve">próżniowa </w:t>
      </w:r>
      <w:r w:rsidR="00C3207F">
        <w:rPr>
          <w:noProof/>
        </w:rPr>
        <w:t xml:space="preserve">olejowa </w:t>
      </w:r>
      <w:r w:rsidR="00F24197" w:rsidRPr="00F24197">
        <w:rPr>
          <w:b/>
          <w:bCs/>
          <w:noProof/>
        </w:rPr>
        <w:t>VWR RV2.5</w:t>
      </w:r>
      <w:r w:rsidR="00F24197">
        <w:rPr>
          <w:noProof/>
        </w:rPr>
        <w:t xml:space="preserve"> </w:t>
      </w:r>
      <w:r w:rsidRPr="00102549">
        <w:t xml:space="preserve"> </w:t>
      </w:r>
      <w:r>
        <w:t xml:space="preserve">lub równoważna, </w:t>
      </w:r>
      <w:r>
        <w:rPr>
          <w:b/>
          <w:bCs/>
        </w:rPr>
        <w:t>1</w:t>
      </w:r>
      <w:r w:rsidRPr="004E6461">
        <w:rPr>
          <w:b/>
          <w:bCs/>
        </w:rPr>
        <w:t>szt</w:t>
      </w:r>
      <w:r>
        <w:t>. ,</w:t>
      </w:r>
      <w:r w:rsidRPr="004E6461">
        <w:t>spełniająca poniższe wymagania minimalne:</w:t>
      </w:r>
    </w:p>
    <w:p w14:paraId="5129C070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dwustopniowa,</w:t>
      </w:r>
    </w:p>
    <w:p w14:paraId="49C86C91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 xml:space="preserve">gotowa do pracy, napełniona olejem, </w:t>
      </w:r>
    </w:p>
    <w:p w14:paraId="28F9D563" w14:textId="3B8FFFEE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objętość oleju - maksymalna 0,</w:t>
      </w:r>
      <w:r>
        <w:t>5</w:t>
      </w:r>
      <w:r w:rsidRPr="00490A68">
        <w:t>l</w:t>
      </w:r>
    </w:p>
    <w:p w14:paraId="137C0139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objętościowe natężenie przepływu przynajmniej 2,3 m</w:t>
      </w:r>
      <w:r w:rsidRPr="00490A68">
        <w:rPr>
          <w:vertAlign w:val="superscript"/>
        </w:rPr>
        <w:t>3</w:t>
      </w:r>
      <w:r w:rsidRPr="00490A68">
        <w:t xml:space="preserve">/h przy częstotliwości 50 </w:t>
      </w:r>
      <w:proofErr w:type="spellStart"/>
      <w:r w:rsidRPr="00490A68">
        <w:t>Hz</w:t>
      </w:r>
      <w:proofErr w:type="spellEnd"/>
    </w:p>
    <w:p w14:paraId="17479B69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ciśnienie końcowe (cząstkowe) bez gazu balastowego nie większe niż 4 </w:t>
      </w:r>
      <w:r w:rsidRPr="00490A68">
        <w:sym w:font="Symbol" w:char="F0B4"/>
      </w:r>
      <w:r w:rsidRPr="00490A68">
        <w:t> 10</w:t>
      </w:r>
      <w:r w:rsidRPr="00490A68">
        <w:rPr>
          <w:vertAlign w:val="superscript"/>
        </w:rPr>
        <w:t>-4</w:t>
      </w:r>
      <w:r w:rsidRPr="00490A68">
        <w:t xml:space="preserve"> </w:t>
      </w:r>
      <w:proofErr w:type="spellStart"/>
      <w:r w:rsidRPr="00490A68">
        <w:t>mbar</w:t>
      </w:r>
      <w:proofErr w:type="spellEnd"/>
    </w:p>
    <w:p w14:paraId="3121CB5C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ciśnienie końcowe (całkowite) nie większe niż:</w:t>
      </w:r>
    </w:p>
    <w:p w14:paraId="78835572" w14:textId="1B9367CA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 xml:space="preserve">bez gazu balastowego - </w:t>
      </w:r>
      <w:r>
        <w:t>3</w:t>
      </w:r>
      <w:r w:rsidRPr="00490A68">
        <w:t> </w:t>
      </w:r>
      <w:r w:rsidRPr="00490A68">
        <w:sym w:font="Symbol" w:char="F0B4"/>
      </w:r>
      <w:r w:rsidRPr="00490A68">
        <w:t> 10</w:t>
      </w:r>
      <w:r w:rsidRPr="00490A68">
        <w:rPr>
          <w:vertAlign w:val="superscript"/>
        </w:rPr>
        <w:t>-3</w:t>
      </w:r>
      <w:r w:rsidRPr="00490A68">
        <w:t xml:space="preserve"> </w:t>
      </w:r>
      <w:proofErr w:type="spellStart"/>
      <w:r w:rsidRPr="00490A68">
        <w:t>mbar</w:t>
      </w:r>
      <w:proofErr w:type="spellEnd"/>
      <w:r w:rsidRPr="00490A68">
        <w:t>,</w:t>
      </w:r>
    </w:p>
    <w:p w14:paraId="6171EC20" w14:textId="14EAD388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z gazem balastowym- 1 </w:t>
      </w:r>
      <w:r w:rsidRPr="00490A68">
        <w:sym w:font="Symbol" w:char="F0B4"/>
      </w:r>
      <w:r w:rsidRPr="00490A68">
        <w:t> 10</w:t>
      </w:r>
      <w:r w:rsidRPr="00490A68">
        <w:rPr>
          <w:vertAlign w:val="superscript"/>
        </w:rPr>
        <w:t>-</w:t>
      </w:r>
      <w:r>
        <w:rPr>
          <w:vertAlign w:val="superscript"/>
        </w:rPr>
        <w:t>1</w:t>
      </w:r>
      <w:r w:rsidRPr="00490A68">
        <w:t xml:space="preserve"> </w:t>
      </w:r>
      <w:proofErr w:type="spellStart"/>
      <w:r w:rsidRPr="00490A68">
        <w:t>mbar</w:t>
      </w:r>
      <w:proofErr w:type="spellEnd"/>
      <w:r>
        <w:t>,</w:t>
      </w:r>
      <w:r w:rsidRPr="00490A68">
        <w:t xml:space="preserve"> </w:t>
      </w:r>
    </w:p>
    <w:p w14:paraId="6A7C6F40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 xml:space="preserve">tolerancja pary wodnej przynajmniej 40 </w:t>
      </w:r>
      <w:proofErr w:type="spellStart"/>
      <w:r w:rsidRPr="00490A68">
        <w:t>mbar</w:t>
      </w:r>
      <w:proofErr w:type="spellEnd"/>
    </w:p>
    <w:p w14:paraId="42C4CC1B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pojemność pary wodnej przynajmniej 65g/h</w:t>
      </w:r>
    </w:p>
    <w:p w14:paraId="12D70A31" w14:textId="77777777" w:rsidR="00490A68" w:rsidRPr="00490A68" w:rsidRDefault="00490A68" w:rsidP="00490A68">
      <w:pPr>
        <w:pStyle w:val="Nagwek3"/>
        <w:numPr>
          <w:ilvl w:val="0"/>
          <w:numId w:val="28"/>
        </w:numP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490A68">
        <w:rPr>
          <w:rFonts w:ascii="Times New Roman" w:hAnsi="Times New Roman"/>
          <w:color w:val="auto"/>
          <w:sz w:val="22"/>
          <w:szCs w:val="22"/>
        </w:rPr>
        <w:t>dopuszczalny zakres temperatury otoczenia dla pracy nie węższy niż 12-40°C</w:t>
      </w:r>
    </w:p>
    <w:p w14:paraId="5EAEC03B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złącze przy wlocie (małe złącze kołnierzowe) 16NW</w:t>
      </w:r>
    </w:p>
    <w:p w14:paraId="71118DBE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złącze przy wylocie (końcówka wylotowa węża) 10NW</w:t>
      </w:r>
    </w:p>
    <w:p w14:paraId="4977AAF5" w14:textId="17238159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 xml:space="preserve">waga nie większa niż </w:t>
      </w:r>
      <w:r w:rsidR="00DA4469">
        <w:t>20</w:t>
      </w:r>
      <w:r w:rsidRPr="00490A68">
        <w:t>kg</w:t>
      </w:r>
    </w:p>
    <w:p w14:paraId="0EE65971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zabezpieczenie przed przeciążeniem</w:t>
      </w:r>
    </w:p>
    <w:p w14:paraId="3601EEC3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przewód zasilający z wtyczką</w:t>
      </w:r>
    </w:p>
    <w:p w14:paraId="033176DA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włącznik</w:t>
      </w:r>
    </w:p>
    <w:p w14:paraId="1BA92BAA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małe złącze kołnierzowe</w:t>
      </w:r>
    </w:p>
    <w:p w14:paraId="43FCE184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pierścienie centrujący i zaciskowy do wlotu</w:t>
      </w:r>
    </w:p>
    <w:p w14:paraId="57645DBE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wszelkie materiały i akcesoria niezbędne do montażu, uruchomienia i pracy zgodnie z przeznaczeniem,</w:t>
      </w:r>
    </w:p>
    <w:p w14:paraId="406D253B" w14:textId="7B1A9728" w:rsidR="00490A68" w:rsidRPr="00490A68" w:rsidRDefault="00490A68" w:rsidP="00490A68">
      <w:pPr>
        <w:pStyle w:val="Nagwek3"/>
        <w:numPr>
          <w:ilvl w:val="0"/>
          <w:numId w:val="28"/>
        </w:numP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490A68">
        <w:rPr>
          <w:rFonts w:ascii="Times New Roman" w:hAnsi="Times New Roman"/>
          <w:color w:val="auto"/>
          <w:sz w:val="22"/>
          <w:szCs w:val="22"/>
        </w:rPr>
        <w:t>stopień ochrony IP40</w:t>
      </w:r>
      <w:r w:rsidR="00DA4469">
        <w:rPr>
          <w:rFonts w:ascii="Times New Roman" w:hAnsi="Times New Roman"/>
          <w:color w:val="auto"/>
          <w:sz w:val="22"/>
          <w:szCs w:val="22"/>
        </w:rPr>
        <w:t xml:space="preserve"> lub lepszy</w:t>
      </w:r>
    </w:p>
    <w:p w14:paraId="363A0ECB" w14:textId="4BCE88CA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 xml:space="preserve">generowany hałas nie większy niż </w:t>
      </w:r>
      <w:r w:rsidR="00DA4469">
        <w:t>50</w:t>
      </w:r>
      <w:r w:rsidRPr="00490A68">
        <w:t>dBA</w:t>
      </w:r>
    </w:p>
    <w:p w14:paraId="6C564AB9" w14:textId="77777777" w:rsidR="00490A68" w:rsidRPr="00490A68" w:rsidRDefault="00490A68" w:rsidP="00490A68">
      <w:pPr>
        <w:numPr>
          <w:ilvl w:val="0"/>
          <w:numId w:val="28"/>
        </w:numPr>
        <w:spacing w:after="0" w:line="240" w:lineRule="auto"/>
      </w:pPr>
      <w:r w:rsidRPr="00490A68">
        <w:t>certyfikat ISO 9001 producenta</w:t>
      </w:r>
    </w:p>
    <w:p w14:paraId="74E6B699" w14:textId="44316B89" w:rsidR="00D87221" w:rsidRDefault="00490A68" w:rsidP="00693828">
      <w:pPr>
        <w:numPr>
          <w:ilvl w:val="0"/>
          <w:numId w:val="28"/>
        </w:numPr>
        <w:spacing w:after="0" w:line="240" w:lineRule="auto"/>
      </w:pPr>
      <w:bookmarkStart w:id="0" w:name="_GoBack"/>
      <w:bookmarkEnd w:id="0"/>
      <w:r w:rsidRPr="004A68B3">
        <w:t>instalacja wykonana przez autoryzowany serwis</w:t>
      </w:r>
    </w:p>
    <w:p w14:paraId="36F72E41" w14:textId="77777777" w:rsidR="00490A68" w:rsidRDefault="00490A68" w:rsidP="00490A68">
      <w:pPr>
        <w:spacing w:after="0" w:line="240" w:lineRule="auto"/>
        <w:ind w:left="720"/>
      </w:pPr>
    </w:p>
    <w:p w14:paraId="48184417" w14:textId="12F068DB" w:rsidR="00D87221" w:rsidRPr="00D9436D" w:rsidRDefault="00D87221" w:rsidP="00D87221">
      <w:pPr>
        <w:spacing w:after="0"/>
        <w:rPr>
          <w:b/>
          <w:bCs/>
        </w:rPr>
      </w:pPr>
      <w:r w:rsidRPr="00D9436D">
        <w:rPr>
          <w:b/>
          <w:bCs/>
        </w:rPr>
        <w:t xml:space="preserve">Termin realizacji: </w:t>
      </w:r>
      <w:r w:rsidRPr="00D87221">
        <w:t xml:space="preserve">nie dłuższy niż </w:t>
      </w:r>
      <w:r w:rsidR="00F24197">
        <w:t>14</w:t>
      </w:r>
      <w:r w:rsidRPr="00D87221">
        <w:t xml:space="preserve"> dni</w:t>
      </w:r>
    </w:p>
    <w:p w14:paraId="14CDD53E" w14:textId="1E298C0A" w:rsidR="00D87221" w:rsidRPr="008D5409" w:rsidRDefault="00D87221" w:rsidP="00D87221">
      <w:pPr>
        <w:spacing w:after="0" w:line="240" w:lineRule="auto"/>
        <w:rPr>
          <w:rFonts w:cs="Calibri"/>
          <w:b/>
          <w:bCs/>
        </w:rPr>
      </w:pPr>
      <w:r w:rsidRPr="00D9436D">
        <w:rPr>
          <w:b/>
          <w:bCs/>
        </w:rPr>
        <w:t xml:space="preserve">Gwarancja – </w:t>
      </w:r>
      <w:r w:rsidRPr="00D87221">
        <w:t xml:space="preserve">okres gwarancji nie krótszy niż </w:t>
      </w:r>
      <w:r w:rsidR="00F24197">
        <w:t>24</w:t>
      </w:r>
      <w:r w:rsidRPr="00D87221">
        <w:t xml:space="preserve"> miesiące</w:t>
      </w:r>
      <w:r w:rsidRPr="00D87221">
        <w:rPr>
          <w:rFonts w:cs="Calibri"/>
        </w:rPr>
        <w:t>,</w:t>
      </w:r>
      <w:r>
        <w:rPr>
          <w:rFonts w:cs="Calibri"/>
          <w:b/>
          <w:bCs/>
        </w:rPr>
        <w:t xml:space="preserve"> </w:t>
      </w:r>
      <w:r w:rsidRPr="008D5409">
        <w:rPr>
          <w:rFonts w:cs="Calibri"/>
        </w:rPr>
        <w:t>lecz nie krótszy niż producenta.</w:t>
      </w:r>
      <w:r w:rsidRPr="008D5409">
        <w:rPr>
          <w:rFonts w:cs="Calibri"/>
          <w:b/>
          <w:bCs/>
        </w:rPr>
        <w:t xml:space="preserve"> </w:t>
      </w:r>
    </w:p>
    <w:p w14:paraId="5E8EFFC0" w14:textId="77777777" w:rsidR="00F24197" w:rsidRDefault="00F24197" w:rsidP="00D87221">
      <w:pPr>
        <w:spacing w:after="0"/>
        <w:rPr>
          <w:u w:val="single"/>
        </w:rPr>
      </w:pPr>
    </w:p>
    <w:p w14:paraId="1F5DAF40" w14:textId="3AEE2F07" w:rsidR="00D87221" w:rsidRPr="00D9436D" w:rsidRDefault="00D87221" w:rsidP="00D87221">
      <w:pPr>
        <w:spacing w:after="0"/>
        <w:rPr>
          <w:u w:val="single"/>
        </w:rPr>
      </w:pPr>
      <w:r w:rsidRPr="00D9436D">
        <w:rPr>
          <w:u w:val="single"/>
        </w:rPr>
        <w:t xml:space="preserve">Miejsce dostawy i instalacji: </w:t>
      </w:r>
    </w:p>
    <w:p w14:paraId="6818DA94" w14:textId="23491055" w:rsidR="00D87221" w:rsidRPr="00D9436D" w:rsidRDefault="00F24197" w:rsidP="00F24197">
      <w:r w:rsidRPr="00CB1C2B">
        <w:t xml:space="preserve">Politechnika Warszawska, Wydział Chemiczny, Gmach </w:t>
      </w:r>
      <w:r>
        <w:t>Chemii</w:t>
      </w:r>
      <w:r w:rsidRPr="00CB1C2B">
        <w:t xml:space="preserve">, </w:t>
      </w:r>
      <w:r>
        <w:t xml:space="preserve">3 piętro, </w:t>
      </w:r>
      <w:r w:rsidRPr="00CB1C2B">
        <w:t>00-66</w:t>
      </w:r>
      <w:r>
        <w:t>4</w:t>
      </w:r>
      <w:r w:rsidRPr="00CB1C2B">
        <w:t xml:space="preserve"> Warszawa,</w:t>
      </w:r>
      <w:r>
        <w:t xml:space="preserve"> ul. Noakowskiego 3, 00-664 Warszawa</w:t>
      </w:r>
    </w:p>
    <w:sectPr w:rsidR="00D87221" w:rsidRPr="00D9436D" w:rsidSect="00E66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D2D0" w14:textId="77777777" w:rsidR="000B551D" w:rsidRDefault="000B551D" w:rsidP="007E7AFD">
      <w:pPr>
        <w:spacing w:after="0" w:line="240" w:lineRule="auto"/>
      </w:pPr>
      <w:r>
        <w:separator/>
      </w:r>
    </w:p>
  </w:endnote>
  <w:endnote w:type="continuationSeparator" w:id="0">
    <w:p w14:paraId="747FEBA4" w14:textId="77777777" w:rsidR="000B551D" w:rsidRDefault="000B551D" w:rsidP="007E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4689" w14:textId="77777777" w:rsidR="000B551D" w:rsidRDefault="000B551D" w:rsidP="007E7AFD">
      <w:pPr>
        <w:spacing w:after="0" w:line="240" w:lineRule="auto"/>
      </w:pPr>
      <w:r>
        <w:separator/>
      </w:r>
    </w:p>
  </w:footnote>
  <w:footnote w:type="continuationSeparator" w:id="0">
    <w:p w14:paraId="4CEADB58" w14:textId="77777777" w:rsidR="000B551D" w:rsidRDefault="000B551D" w:rsidP="007E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86DB" w14:textId="43C59B48" w:rsidR="007E7AFD" w:rsidRPr="00D172E0" w:rsidRDefault="007E7AFD" w:rsidP="007E7AFD">
    <w:pPr>
      <w:autoSpaceDE w:val="0"/>
      <w:autoSpaceDN w:val="0"/>
      <w:adjustRightInd w:val="0"/>
      <w:spacing w:after="0" w:line="259" w:lineRule="auto"/>
      <w:jc w:val="right"/>
      <w:rPr>
        <w:rFonts w:ascii="Times New Roman" w:eastAsia="Calibri" w:hAnsi="Times New Roman" w:cs="Times New Roman"/>
        <w:i/>
        <w:sz w:val="18"/>
      </w:rPr>
    </w:pPr>
    <w:r>
      <w:rPr>
        <w:rFonts w:ascii="Times New Roman" w:eastAsia="Calibri" w:hAnsi="Times New Roman" w:cs="Times New Roman"/>
        <w:i/>
        <w:sz w:val="18"/>
      </w:rPr>
      <w:t>Załącznik nr 1c</w:t>
    </w:r>
    <w:r w:rsidRPr="00D172E0">
      <w:rPr>
        <w:rFonts w:ascii="Times New Roman" w:eastAsia="Calibri" w:hAnsi="Times New Roman" w:cs="Times New Roman"/>
        <w:i/>
        <w:sz w:val="18"/>
      </w:rPr>
      <w:t xml:space="preserve"> do Zaproszenia </w:t>
    </w:r>
  </w:p>
  <w:p w14:paraId="23B248C4" w14:textId="77777777" w:rsidR="007E7AFD" w:rsidRPr="00D172E0" w:rsidRDefault="007E7AFD" w:rsidP="007E7AFD">
    <w:pPr>
      <w:autoSpaceDE w:val="0"/>
      <w:autoSpaceDN w:val="0"/>
      <w:adjustRightInd w:val="0"/>
      <w:spacing w:after="160" w:line="259" w:lineRule="auto"/>
      <w:jc w:val="right"/>
      <w:rPr>
        <w:rFonts w:ascii="Times New Roman" w:eastAsia="Calibri" w:hAnsi="Times New Roman" w:cs="Times New Roman"/>
        <w:i/>
      </w:rPr>
    </w:pP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nr postęp. WCh</w:t>
    </w:r>
    <w:r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.262.09</w:t>
    </w:r>
    <w:r w:rsidRPr="00D172E0">
      <w:rPr>
        <w:rFonts w:ascii="Times New Roman" w:eastAsia="Calibri" w:hAnsi="Times New Roman" w:cs="Times New Roman"/>
        <w:bCs/>
        <w:i/>
        <w:color w:val="242424"/>
        <w:sz w:val="18"/>
        <w:szCs w:val="18"/>
        <w:shd w:val="clear" w:color="auto" w:fill="FFFFFF"/>
      </w:rPr>
      <w:t>.2022</w:t>
    </w:r>
    <w:r w:rsidRPr="00D172E0">
      <w:rPr>
        <w:rFonts w:ascii="Times New Roman" w:eastAsia="Calibri" w:hAnsi="Times New Roman" w:cs="Times New Roman"/>
        <w:i/>
        <w:color w:val="242424"/>
        <w:sz w:val="18"/>
        <w:szCs w:val="18"/>
        <w:shd w:val="clear" w:color="auto" w:fill="FFFFFF"/>
      </w:rPr>
      <w:t> </w:t>
    </w:r>
  </w:p>
  <w:p w14:paraId="02B3B17B" w14:textId="77777777" w:rsidR="007E7AFD" w:rsidRDefault="007E7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424"/>
    <w:multiLevelType w:val="multilevel"/>
    <w:tmpl w:val="A1DCF2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6765FC"/>
    <w:multiLevelType w:val="hybridMultilevel"/>
    <w:tmpl w:val="9B7A155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D25F1"/>
    <w:multiLevelType w:val="hybridMultilevel"/>
    <w:tmpl w:val="6C84A2E6"/>
    <w:lvl w:ilvl="0" w:tplc="B5B697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769B2"/>
    <w:multiLevelType w:val="hybridMultilevel"/>
    <w:tmpl w:val="8AD4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304C"/>
    <w:multiLevelType w:val="hybridMultilevel"/>
    <w:tmpl w:val="B510C49E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3428"/>
    <w:multiLevelType w:val="hybridMultilevel"/>
    <w:tmpl w:val="541AFD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558"/>
    <w:multiLevelType w:val="hybridMultilevel"/>
    <w:tmpl w:val="2BD6FD6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AD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43A57"/>
    <w:multiLevelType w:val="hybridMultilevel"/>
    <w:tmpl w:val="2D2A0EE2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C5186"/>
    <w:multiLevelType w:val="hybridMultilevel"/>
    <w:tmpl w:val="9D5ED06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766AE"/>
    <w:multiLevelType w:val="hybridMultilevel"/>
    <w:tmpl w:val="C1C2D322"/>
    <w:lvl w:ilvl="0" w:tplc="0A6AC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41A02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572E4"/>
    <w:multiLevelType w:val="hybridMultilevel"/>
    <w:tmpl w:val="7AC684F4"/>
    <w:lvl w:ilvl="0" w:tplc="C1FC562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97826"/>
    <w:multiLevelType w:val="hybridMultilevel"/>
    <w:tmpl w:val="DA5C792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0A4AD3"/>
    <w:multiLevelType w:val="hybridMultilevel"/>
    <w:tmpl w:val="57E0B7FC"/>
    <w:lvl w:ilvl="0" w:tplc="ED6E3E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B0ADE"/>
    <w:multiLevelType w:val="hybridMultilevel"/>
    <w:tmpl w:val="E6141210"/>
    <w:lvl w:ilvl="0" w:tplc="DD545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35ABD"/>
    <w:multiLevelType w:val="hybridMultilevel"/>
    <w:tmpl w:val="CF242D8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578FB"/>
    <w:multiLevelType w:val="hybridMultilevel"/>
    <w:tmpl w:val="FA16D58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5"/>
  </w:num>
  <w:num w:numId="8">
    <w:abstractNumId w:val="11"/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2"/>
  </w:num>
  <w:num w:numId="14">
    <w:abstractNumId w:val="3"/>
  </w:num>
  <w:num w:numId="15">
    <w:abstractNumId w:val="20"/>
  </w:num>
  <w:num w:numId="16">
    <w:abstractNumId w:val="14"/>
  </w:num>
  <w:num w:numId="17">
    <w:abstractNumId w:val="13"/>
  </w:num>
  <w:num w:numId="18">
    <w:abstractNumId w:val="10"/>
  </w:num>
  <w:num w:numId="19">
    <w:abstractNumId w:val="5"/>
  </w:num>
  <w:num w:numId="20">
    <w:abstractNumId w:val="7"/>
  </w:num>
  <w:num w:numId="21">
    <w:abstractNumId w:val="24"/>
  </w:num>
  <w:num w:numId="22">
    <w:abstractNumId w:val="12"/>
  </w:num>
  <w:num w:numId="23">
    <w:abstractNumId w:val="1"/>
  </w:num>
  <w:num w:numId="24">
    <w:abstractNumId w:val="16"/>
  </w:num>
  <w:num w:numId="25">
    <w:abstractNumId w:val="0"/>
  </w:num>
  <w:num w:numId="26">
    <w:abstractNumId w:val="27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3412C"/>
    <w:rsid w:val="00034A3C"/>
    <w:rsid w:val="00045CB4"/>
    <w:rsid w:val="00077A74"/>
    <w:rsid w:val="000A1818"/>
    <w:rsid w:val="000B551D"/>
    <w:rsid w:val="000C5FEE"/>
    <w:rsid w:val="00124210"/>
    <w:rsid w:val="00135985"/>
    <w:rsid w:val="00175C49"/>
    <w:rsid w:val="001B0423"/>
    <w:rsid w:val="001C2E26"/>
    <w:rsid w:val="001C64DA"/>
    <w:rsid w:val="001E167F"/>
    <w:rsid w:val="0020314A"/>
    <w:rsid w:val="002073E0"/>
    <w:rsid w:val="00235CAD"/>
    <w:rsid w:val="00280DAA"/>
    <w:rsid w:val="002A6E9F"/>
    <w:rsid w:val="002C1F50"/>
    <w:rsid w:val="002D0420"/>
    <w:rsid w:val="003C4FAD"/>
    <w:rsid w:val="003D1A43"/>
    <w:rsid w:val="0040507B"/>
    <w:rsid w:val="004359E0"/>
    <w:rsid w:val="00444ADC"/>
    <w:rsid w:val="00446CD2"/>
    <w:rsid w:val="00490A68"/>
    <w:rsid w:val="004B5BD1"/>
    <w:rsid w:val="004C5487"/>
    <w:rsid w:val="00566A1E"/>
    <w:rsid w:val="005B1F1E"/>
    <w:rsid w:val="005C37AE"/>
    <w:rsid w:val="005C7BD6"/>
    <w:rsid w:val="00601579"/>
    <w:rsid w:val="006061A8"/>
    <w:rsid w:val="006074BC"/>
    <w:rsid w:val="0062419C"/>
    <w:rsid w:val="006572E6"/>
    <w:rsid w:val="00682097"/>
    <w:rsid w:val="006B5C4A"/>
    <w:rsid w:val="006E7656"/>
    <w:rsid w:val="007D680B"/>
    <w:rsid w:val="007E0F09"/>
    <w:rsid w:val="007E7AFD"/>
    <w:rsid w:val="00805545"/>
    <w:rsid w:val="00844742"/>
    <w:rsid w:val="00845A17"/>
    <w:rsid w:val="00870180"/>
    <w:rsid w:val="00875F44"/>
    <w:rsid w:val="0088258C"/>
    <w:rsid w:val="00882F2E"/>
    <w:rsid w:val="00896623"/>
    <w:rsid w:val="008D003A"/>
    <w:rsid w:val="008D5409"/>
    <w:rsid w:val="00912F4C"/>
    <w:rsid w:val="00926FFA"/>
    <w:rsid w:val="009329E7"/>
    <w:rsid w:val="0097544B"/>
    <w:rsid w:val="00980C86"/>
    <w:rsid w:val="009900F9"/>
    <w:rsid w:val="009C105D"/>
    <w:rsid w:val="00A01F3A"/>
    <w:rsid w:val="00A1377B"/>
    <w:rsid w:val="00A433C3"/>
    <w:rsid w:val="00A5742D"/>
    <w:rsid w:val="00A6372C"/>
    <w:rsid w:val="00A93497"/>
    <w:rsid w:val="00AC68FA"/>
    <w:rsid w:val="00AD7A2B"/>
    <w:rsid w:val="00AF6DE7"/>
    <w:rsid w:val="00B13B77"/>
    <w:rsid w:val="00B16493"/>
    <w:rsid w:val="00B21033"/>
    <w:rsid w:val="00B235EB"/>
    <w:rsid w:val="00B30155"/>
    <w:rsid w:val="00B51805"/>
    <w:rsid w:val="00B84838"/>
    <w:rsid w:val="00B93301"/>
    <w:rsid w:val="00BD2EEC"/>
    <w:rsid w:val="00BF57FF"/>
    <w:rsid w:val="00BF7E4F"/>
    <w:rsid w:val="00C3207F"/>
    <w:rsid w:val="00CA3C64"/>
    <w:rsid w:val="00CC27B4"/>
    <w:rsid w:val="00CF7F34"/>
    <w:rsid w:val="00D121FD"/>
    <w:rsid w:val="00D86121"/>
    <w:rsid w:val="00D87221"/>
    <w:rsid w:val="00DA4469"/>
    <w:rsid w:val="00DB382C"/>
    <w:rsid w:val="00DD2BCD"/>
    <w:rsid w:val="00DE5C90"/>
    <w:rsid w:val="00DF0A30"/>
    <w:rsid w:val="00E510AB"/>
    <w:rsid w:val="00E664E6"/>
    <w:rsid w:val="00E945AC"/>
    <w:rsid w:val="00EC0D49"/>
    <w:rsid w:val="00EE7A89"/>
    <w:rsid w:val="00EF0F59"/>
    <w:rsid w:val="00F24197"/>
    <w:rsid w:val="00F35F05"/>
    <w:rsid w:val="00F47460"/>
    <w:rsid w:val="00F73C1B"/>
    <w:rsid w:val="00FA328F"/>
    <w:rsid w:val="00FB2D6E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1"/>
    <w:uiPriority w:val="99"/>
    <w:qFormat/>
    <w:rsid w:val="00280DAA"/>
    <w:pPr>
      <w:spacing w:before="480" w:after="0" w:line="360" w:lineRule="atLeast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280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"/>
    <w:rsid w:val="00280DAA"/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AFD"/>
  </w:style>
  <w:style w:type="paragraph" w:styleId="Stopka">
    <w:name w:val="footer"/>
    <w:basedOn w:val="Normalny"/>
    <w:link w:val="StopkaZnak"/>
    <w:uiPriority w:val="99"/>
    <w:unhideWhenUsed/>
    <w:rsid w:val="007E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12</cp:revision>
  <cp:lastPrinted>2021-03-03T11:49:00Z</cp:lastPrinted>
  <dcterms:created xsi:type="dcterms:W3CDTF">2021-05-14T13:19:00Z</dcterms:created>
  <dcterms:modified xsi:type="dcterms:W3CDTF">2022-10-12T13:40:00Z</dcterms:modified>
</cp:coreProperties>
</file>