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7E" w:rsidRDefault="00524B7E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Opis przedmiotu zamówienia </w:t>
      </w:r>
    </w:p>
    <w:p w:rsidR="00C43F7E" w:rsidRDefault="00524B7E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Dostawa </w:t>
      </w:r>
      <w:r w:rsidR="007572DA"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zmotoryzowanych </w:t>
      </w:r>
      <w:r w:rsidR="00332346"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>manipulatorów</w:t>
      </w:r>
      <w:r w:rsidR="007572DA"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 typu </w:t>
      </w:r>
      <w:proofErr w:type="spellStart"/>
      <w:r w:rsidR="007572DA"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>gimbal</w:t>
      </w:r>
      <w:proofErr w:type="spellEnd"/>
    </w:p>
    <w:p w:rsidR="00C43F7E" w:rsidRDefault="00524B7E">
      <w:pPr>
        <w:pStyle w:val="Tekst"/>
        <w:jc w:val="center"/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>dla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 lasera na swobodnych elektronach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>PolFEL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val="pl-PL" w:eastAsia="en-US"/>
        </w:rPr>
        <w:t xml:space="preserve"> </w:t>
      </w:r>
    </w:p>
    <w:p w:rsidR="00C43F7E" w:rsidRDefault="00524B7E">
      <w:pPr>
        <w:spacing w:after="160" w:line="360" w:lineRule="auto"/>
        <w:rPr>
          <w:lang w:val="pl-PL"/>
        </w:rPr>
      </w:pPr>
      <w:r>
        <w:rPr>
          <w:lang w:val="pl-PL"/>
        </w:rPr>
        <w:t xml:space="preserve">Przedmiotem zamówienia jest dostawa trzech sztuk </w:t>
      </w:r>
      <w:r w:rsidR="009501B8">
        <w:rPr>
          <w:lang w:val="pl-PL"/>
        </w:rPr>
        <w:t xml:space="preserve">zmotoryzowanych </w:t>
      </w:r>
      <w:r w:rsidR="00332346">
        <w:rPr>
          <w:lang w:val="pl-PL"/>
        </w:rPr>
        <w:t>manipulator</w:t>
      </w:r>
      <w:r>
        <w:rPr>
          <w:lang w:val="pl-PL"/>
        </w:rPr>
        <w:t xml:space="preserve">ów typu </w:t>
      </w:r>
      <w:proofErr w:type="spellStart"/>
      <w:r>
        <w:rPr>
          <w:lang w:val="pl-PL"/>
        </w:rPr>
        <w:t>gimbal</w:t>
      </w:r>
      <w:proofErr w:type="spellEnd"/>
      <w:r>
        <w:rPr>
          <w:lang w:val="pl-PL"/>
        </w:rPr>
        <w:t xml:space="preserve"> wraz z akcesoriami. Uchwyty przeznaczone są do montażu specjalistycznych zwierciadeł w wyrzutniach elektronów lasera na swobodnych elektronach.</w:t>
      </w:r>
    </w:p>
    <w:p w:rsidR="00C43F7E" w:rsidRDefault="00524B7E">
      <w:pPr>
        <w:spacing w:after="160" w:line="360" w:lineRule="auto"/>
        <w:rPr>
          <w:lang w:val="pl-PL"/>
        </w:rPr>
      </w:pPr>
      <w:r>
        <w:rPr>
          <w:lang w:val="pl-PL"/>
        </w:rPr>
        <w:t>Proponowane urządzenia powinny spełniać wymogi techniczne przedstawione poniżej. Urządzenia powinny być dostarczone do odbiorcy w terminie 5 miesięcy od daty podpisania umowy. Brak spełnienia wymogów technicznych stanowi podstawę do odrzucenia oferty.</w:t>
      </w:r>
    </w:p>
    <w:p w:rsidR="00C43F7E" w:rsidRDefault="00C43F7E">
      <w:pPr>
        <w:spacing w:after="160" w:line="360" w:lineRule="auto"/>
        <w:rPr>
          <w:lang w:val="pl-PL"/>
        </w:rPr>
      </w:pPr>
    </w:p>
    <w:p w:rsidR="00C43F7E" w:rsidRDefault="00524B7E">
      <w:pPr>
        <w:pStyle w:val="Akapitzlist"/>
        <w:numPr>
          <w:ilvl w:val="0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Wymogi ogólne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Oferowane urządzenia powinny być objęte minimum 12-miesięczną gwarancją producenta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Oferowane urządzenia powinny być dostarczone do odbiorcy w terminie do 5 miesięcy od daty podpisania umowy.</w:t>
      </w:r>
    </w:p>
    <w:p w:rsidR="00C43F7E" w:rsidRDefault="00524B7E">
      <w:pPr>
        <w:pStyle w:val="Akapitzlist"/>
        <w:numPr>
          <w:ilvl w:val="0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Specyfikacja techniczna – manipulator typu </w:t>
      </w:r>
      <w:proofErr w:type="spellStart"/>
      <w:r>
        <w:rPr>
          <w:lang w:val="pl-PL"/>
        </w:rPr>
        <w:t>gimbal</w:t>
      </w:r>
      <w:proofErr w:type="spellEnd"/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Rodzaj urządzenia: manipulator piezoelektryczny typu </w:t>
      </w:r>
      <w:proofErr w:type="spellStart"/>
      <w:r>
        <w:rPr>
          <w:lang w:val="pl-PL"/>
        </w:rPr>
        <w:t>gimbal</w:t>
      </w:r>
      <w:proofErr w:type="spellEnd"/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Zakres obrotów wokół osi </w:t>
      </w:r>
      <w:proofErr w:type="gramStart"/>
      <w:r>
        <w:rPr>
          <w:lang w:val="pl-PL"/>
        </w:rPr>
        <w:t>X:  co</w:t>
      </w:r>
      <w:proofErr w:type="gramEnd"/>
      <w:r>
        <w:rPr>
          <w:lang w:val="pl-PL"/>
        </w:rPr>
        <w:t xml:space="preserve"> najmniej 180 stopni kątowych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Zakres obrotów wokół osi </w:t>
      </w:r>
      <w:proofErr w:type="gramStart"/>
      <w:r>
        <w:rPr>
          <w:lang w:val="pl-PL"/>
        </w:rPr>
        <w:t>Y:  co</w:t>
      </w:r>
      <w:proofErr w:type="gramEnd"/>
      <w:r>
        <w:rPr>
          <w:lang w:val="pl-PL"/>
        </w:rPr>
        <w:t xml:space="preserve"> najmniej 180 stopni kątowych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Dokładność ustalenia położenia (w pętli zamkniętej): co najmniej 0,5 </w:t>
      </w:r>
      <w:proofErr w:type="spellStart"/>
      <w:r>
        <w:rPr>
          <w:lang w:val="pl-PL"/>
        </w:rPr>
        <w:t>μrad</w:t>
      </w:r>
      <w:proofErr w:type="spellEnd"/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Kompatybilność z warunkami </w:t>
      </w:r>
      <w:proofErr w:type="spellStart"/>
      <w:r>
        <w:rPr>
          <w:lang w:val="pl-PL"/>
        </w:rPr>
        <w:t>ultrawysokiej</w:t>
      </w:r>
      <w:proofErr w:type="spellEnd"/>
      <w:r>
        <w:rPr>
          <w:lang w:val="pl-PL"/>
        </w:rPr>
        <w:t xml:space="preserve"> próżni (UHV)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Wykonanie z materiałów niemagnetycznych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Konstrukcja umożliwiająca montaż lustra o średnicy w zakresie 0,5 – 1 cal</w:t>
      </w:r>
    </w:p>
    <w:p w:rsidR="00C43F7E" w:rsidRDefault="00524B7E">
      <w:pPr>
        <w:pStyle w:val="Akapitzlist"/>
        <w:numPr>
          <w:ilvl w:val="0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Specyfikacja techniczna – </w:t>
      </w:r>
      <w:proofErr w:type="spellStart"/>
      <w:r>
        <w:rPr>
          <w:lang w:val="pl-PL"/>
        </w:rPr>
        <w:t>flansza</w:t>
      </w:r>
      <w:proofErr w:type="spellEnd"/>
      <w:r>
        <w:rPr>
          <w:lang w:val="pl-PL"/>
        </w:rPr>
        <w:t xml:space="preserve"> próżniowa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Rodzaj elementu: </w:t>
      </w:r>
      <w:proofErr w:type="spellStart"/>
      <w:r>
        <w:rPr>
          <w:lang w:val="pl-PL"/>
        </w:rPr>
        <w:t>flansza</w:t>
      </w:r>
      <w:proofErr w:type="spellEnd"/>
      <w:r>
        <w:rPr>
          <w:lang w:val="pl-PL"/>
        </w:rPr>
        <w:t xml:space="preserve"> próżniowa </w:t>
      </w:r>
      <w:r w:rsidR="00405607">
        <w:rPr>
          <w:lang w:val="pl-PL"/>
        </w:rPr>
        <w:t xml:space="preserve">DN200CF </w:t>
      </w:r>
      <w:r>
        <w:rPr>
          <w:lang w:val="pl-PL"/>
        </w:rPr>
        <w:t>wykonana według załączonego rysunku technicznego</w:t>
      </w:r>
    </w:p>
    <w:p w:rsidR="00C43F7E" w:rsidRDefault="00524B7E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Materiał: stal niemagnetyczna 1.4404 (AISI 316L)</w:t>
      </w:r>
    </w:p>
    <w:p w:rsidR="00FB1D22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Wyposażona w niemagnetyczne elektryczne przepusty próżniowe służące do podłączenia przewodów sterująco-kontrolnych manipulatora</w:t>
      </w:r>
    </w:p>
    <w:p w:rsidR="00FB1D22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Wyposażona w złącze próżniowe DN40CF</w:t>
      </w:r>
    </w:p>
    <w:p w:rsidR="00FB1D22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Wyposażona w złącze próżniowe DN63CF</w:t>
      </w:r>
    </w:p>
    <w:p w:rsidR="00C43F7E" w:rsidRDefault="00524B7E">
      <w:pPr>
        <w:pStyle w:val="Akapitzlist"/>
        <w:numPr>
          <w:ilvl w:val="0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Specyfikacja techniczna – </w:t>
      </w:r>
      <w:r w:rsidR="00FB1D22">
        <w:rPr>
          <w:lang w:val="pl-PL"/>
        </w:rPr>
        <w:t>moduł sterująco-kontrolny</w:t>
      </w:r>
    </w:p>
    <w:p w:rsidR="00FB1D22" w:rsidRPr="00D21B8C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Szuflada montażowa do szaf typu </w:t>
      </w:r>
      <w:proofErr w:type="spellStart"/>
      <w:r>
        <w:rPr>
          <w:lang w:val="pl-PL"/>
        </w:rPr>
        <w:t>Rack</w:t>
      </w:r>
      <w:proofErr w:type="spellEnd"/>
      <w:r>
        <w:rPr>
          <w:lang w:val="pl-PL"/>
        </w:rPr>
        <w:t>, umożliwiająca montaż modułów sterująco-kontrolnych do obsługi manipulatorów</w:t>
      </w:r>
      <w:r w:rsidR="00F01B2E">
        <w:rPr>
          <w:lang w:val="pl-PL"/>
        </w:rPr>
        <w:t xml:space="preserve">, </w:t>
      </w:r>
      <w:r>
        <w:rPr>
          <w:lang w:val="pl-PL"/>
        </w:rPr>
        <w:t>wyposażona we własne źródło zasilania.</w:t>
      </w:r>
    </w:p>
    <w:p w:rsidR="00FB1D22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 xml:space="preserve">Moduł lub moduły sterująco-kontrolne obsługujące wszystkie stopnie swobody manipulatorów typu </w:t>
      </w:r>
      <w:proofErr w:type="spellStart"/>
      <w:r>
        <w:rPr>
          <w:lang w:val="pl-PL"/>
        </w:rPr>
        <w:t>gimbal</w:t>
      </w:r>
      <w:proofErr w:type="spellEnd"/>
      <w:r>
        <w:rPr>
          <w:lang w:val="pl-PL"/>
        </w:rPr>
        <w:t>, wyposażone w złącze Ethernet, mocowane w kompatybilnej szufladzie montażowej.</w:t>
      </w:r>
    </w:p>
    <w:p w:rsidR="00C43F7E" w:rsidRDefault="00FB1D22" w:rsidP="00FB1D22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Przewód zasilający z wtyczką w standardzie EU, pełna dokumentacja techniczna, sterowniki do systemu Linux.</w:t>
      </w:r>
    </w:p>
    <w:p w:rsidR="009501B8" w:rsidRDefault="009501B8" w:rsidP="009501B8">
      <w:pPr>
        <w:pStyle w:val="Akapitzlist"/>
        <w:numPr>
          <w:ilvl w:val="0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Specyfikacja techniczna – przewody sterująco-kontrolne</w:t>
      </w:r>
    </w:p>
    <w:p w:rsidR="009501B8" w:rsidRDefault="009501B8" w:rsidP="00655BA8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 w:rsidRPr="009501B8">
        <w:rPr>
          <w:lang w:val="pl-PL"/>
        </w:rPr>
        <w:lastRenderedPageBreak/>
        <w:t xml:space="preserve">Przewody sterująco-kontrolne umożliwiające podłączenie manipulatorów z </w:t>
      </w:r>
      <w:proofErr w:type="spellStart"/>
      <w:r w:rsidRPr="009501B8">
        <w:rPr>
          <w:lang w:val="pl-PL"/>
        </w:rPr>
        <w:t>flanszą</w:t>
      </w:r>
      <w:proofErr w:type="spellEnd"/>
      <w:r w:rsidRPr="009501B8">
        <w:rPr>
          <w:lang w:val="pl-PL"/>
        </w:rPr>
        <w:t xml:space="preserve"> próżniową, oraz </w:t>
      </w:r>
      <w:proofErr w:type="spellStart"/>
      <w:r w:rsidRPr="009501B8">
        <w:rPr>
          <w:lang w:val="pl-PL"/>
        </w:rPr>
        <w:t>flanszy</w:t>
      </w:r>
      <w:proofErr w:type="spellEnd"/>
      <w:r w:rsidRPr="009501B8">
        <w:rPr>
          <w:lang w:val="pl-PL"/>
        </w:rPr>
        <w:t xml:space="preserve"> próżniowej z modułem sterującym, wyposażone w odpowiednie złącza lub przejściówki oraz niezbędne akcesoria</w:t>
      </w:r>
    </w:p>
    <w:p w:rsidR="009501B8" w:rsidRPr="009501B8" w:rsidRDefault="009501B8" w:rsidP="00655BA8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bookmarkStart w:id="0" w:name="_GoBack"/>
      <w:bookmarkEnd w:id="0"/>
      <w:r w:rsidRPr="009501B8">
        <w:rPr>
          <w:lang w:val="pl-PL"/>
        </w:rPr>
        <w:t xml:space="preserve">Przewody powinny być wykonane z materiałów o podwyższonej odporności na promieniowanie jonizujące, a przewody po stronie próżniowej powinny być przeznaczone do pracy w warunkach </w:t>
      </w:r>
      <w:proofErr w:type="spellStart"/>
      <w:r w:rsidRPr="009501B8">
        <w:rPr>
          <w:lang w:val="pl-PL"/>
        </w:rPr>
        <w:t>ultrawysokiej</w:t>
      </w:r>
      <w:proofErr w:type="spellEnd"/>
      <w:r w:rsidRPr="009501B8">
        <w:rPr>
          <w:lang w:val="pl-PL"/>
        </w:rPr>
        <w:t xml:space="preserve"> próżni.</w:t>
      </w:r>
    </w:p>
    <w:p w:rsidR="009501B8" w:rsidRPr="009501B8" w:rsidRDefault="009501B8" w:rsidP="009501B8">
      <w:pPr>
        <w:pStyle w:val="Akapitzlist"/>
        <w:numPr>
          <w:ilvl w:val="1"/>
          <w:numId w:val="1"/>
        </w:numPr>
        <w:spacing w:after="160" w:line="360" w:lineRule="auto"/>
        <w:rPr>
          <w:lang w:val="pl-PL"/>
        </w:rPr>
      </w:pPr>
      <w:r>
        <w:rPr>
          <w:lang w:val="pl-PL"/>
        </w:rPr>
        <w:t>Łączna długość przewodów po stronie próżniowej powinna być nie mniejsza niż 60cm, a po stronie nie próżniowej – nie mniejsza niż 25m</w:t>
      </w:r>
    </w:p>
    <w:sectPr w:rsidR="009501B8" w:rsidRPr="009501B8">
      <w:footerReference w:type="default" r:id="rId8"/>
      <w:pgSz w:w="11906" w:h="16838"/>
      <w:pgMar w:top="1417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9D" w:rsidRDefault="00EE789D">
      <w:pPr>
        <w:spacing w:after="0" w:line="240" w:lineRule="auto"/>
      </w:pPr>
      <w:r>
        <w:separator/>
      </w:r>
    </w:p>
  </w:endnote>
  <w:endnote w:type="continuationSeparator" w:id="0">
    <w:p w:rsidR="00EE789D" w:rsidRDefault="00EE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7E" w:rsidRDefault="00524B7E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9501B8">
      <w:rPr>
        <w:noProof/>
        <w:lang w:val="pl-PL"/>
      </w:rPr>
      <w:t>2</w:t>
    </w:r>
    <w:r>
      <w:rPr>
        <w:lang w:val="pl-PL"/>
      </w:rPr>
      <w:fldChar w:fldCharType="end"/>
    </w:r>
  </w:p>
  <w:p w:rsidR="00C43F7E" w:rsidRDefault="00C43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9D" w:rsidRDefault="00EE789D">
      <w:pPr>
        <w:spacing w:after="0" w:line="240" w:lineRule="auto"/>
      </w:pPr>
      <w:r>
        <w:separator/>
      </w:r>
    </w:p>
  </w:footnote>
  <w:footnote w:type="continuationSeparator" w:id="0">
    <w:p w:rsidR="00EE789D" w:rsidRDefault="00EE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7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B913E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94C5ECF"/>
    <w:multiLevelType w:val="multilevel"/>
    <w:tmpl w:val="E16EB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7E"/>
    <w:rsid w:val="00332346"/>
    <w:rsid w:val="00405607"/>
    <w:rsid w:val="00524B7E"/>
    <w:rsid w:val="00580E04"/>
    <w:rsid w:val="007572DA"/>
    <w:rsid w:val="009501B8"/>
    <w:rsid w:val="00C43F7E"/>
    <w:rsid w:val="00EE789D"/>
    <w:rsid w:val="00F01B2E"/>
    <w:rsid w:val="00F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05B9"/>
  <w15:docId w15:val="{A6DFDD79-7FEF-43BE-B008-E04795B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A3A"/>
    <w:pPr>
      <w:spacing w:after="200" w:line="276" w:lineRule="auto"/>
    </w:pPr>
    <w:rPr>
      <w:rFonts w:ascii="Times New Roman" w:eastAsia="Batang" w:hAnsi="Times New Roman"/>
      <w:sz w:val="20"/>
      <w:lang w:val="en-US"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17CD4"/>
    <w:pPr>
      <w:keepNext/>
      <w:keepLines/>
      <w:spacing w:after="0"/>
      <w:jc w:val="center"/>
      <w:outlineLvl w:val="0"/>
    </w:pPr>
    <w:rPr>
      <w:rFonts w:eastAsia="Times New Roman"/>
      <w:bCs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0B9A"/>
    <w:pPr>
      <w:keepNext/>
      <w:keepLines/>
      <w:spacing w:before="200" w:after="0"/>
      <w:outlineLvl w:val="1"/>
    </w:pPr>
    <w:rPr>
      <w:rFonts w:eastAsia="Times New Roman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717CD4"/>
    <w:rPr>
      <w:rFonts w:ascii="Times New Roman" w:eastAsia="Times New Roman" w:hAnsi="Times New Roman"/>
      <w:bCs/>
      <w:sz w:val="40"/>
      <w:szCs w:val="4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A60B9A"/>
    <w:rPr>
      <w:rFonts w:ascii="Times New Roman" w:hAnsi="Times New Roman" w:cs="Times New Roman"/>
      <w:bCs/>
      <w:sz w:val="26"/>
      <w:szCs w:val="26"/>
      <w:lang w:val="en-US"/>
    </w:rPr>
  </w:style>
  <w:style w:type="character" w:styleId="Odwoaniedelikatne">
    <w:name w:val="Subtle Reference"/>
    <w:basedOn w:val="Domylnaczcionkaakapitu"/>
    <w:uiPriority w:val="99"/>
    <w:qFormat/>
    <w:rsid w:val="00050ACE"/>
    <w:rPr>
      <w:rFonts w:ascii="Courier New" w:hAnsi="Courier New" w:cs="Times New Roman"/>
      <w:smallCaps/>
      <w:color w:val="auto"/>
      <w:sz w:val="16"/>
      <w:u w:val="single"/>
    </w:rPr>
  </w:style>
  <w:style w:type="character" w:styleId="Wyrnienieintensywne">
    <w:name w:val="Intense Emphasis"/>
    <w:basedOn w:val="Domylnaczcionkaakapitu"/>
    <w:uiPriority w:val="99"/>
    <w:qFormat/>
    <w:rsid w:val="00AA29CC"/>
    <w:rPr>
      <w:rFonts w:ascii="Arial" w:hAnsi="Arial" w:cs="Times New Roman"/>
      <w:bCs/>
      <w:iCs/>
      <w:color w:val="auto"/>
      <w:sz w:val="16"/>
    </w:rPr>
  </w:style>
  <w:style w:type="character" w:customStyle="1" w:styleId="normalchar1">
    <w:name w:val="normal__char1"/>
    <w:basedOn w:val="Domylnaczcionkaakapitu"/>
    <w:uiPriority w:val="99"/>
    <w:qFormat/>
    <w:rsid w:val="008C2933"/>
    <w:rPr>
      <w:rFonts w:ascii="Calibri" w:hAnsi="Calibri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35164"/>
    <w:rPr>
      <w:rFonts w:ascii="Tahoma" w:eastAsia="Batang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0165D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0165DE"/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0165DE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01072"/>
    <w:rPr>
      <w:rFonts w:ascii="Times New Roman" w:eastAsia="Batang" w:hAnsi="Times New Roman" w:cs="Times New Roman"/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01072"/>
    <w:rPr>
      <w:rFonts w:ascii="Times New Roman" w:eastAsia="Batang" w:hAnsi="Times New Roman" w:cs="Times New Roman"/>
      <w:sz w:val="20"/>
      <w:lang w:val="en-US"/>
    </w:rPr>
  </w:style>
  <w:style w:type="character" w:customStyle="1" w:styleId="q4iawc">
    <w:name w:val="q4iawc"/>
    <w:basedOn w:val="Domylnaczcionkaakapitu"/>
    <w:qFormat/>
    <w:rsid w:val="00900C1B"/>
  </w:style>
  <w:style w:type="paragraph" w:styleId="Nagwek">
    <w:name w:val="header"/>
    <w:basedOn w:val="Normalny"/>
    <w:next w:val="Tekstpodstawowy"/>
    <w:link w:val="NagwekZnak"/>
    <w:uiPriority w:val="99"/>
    <w:rsid w:val="00A010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A29CC"/>
    <w:pPr>
      <w:ind w:left="720"/>
      <w:contextualSpacing/>
    </w:pPr>
  </w:style>
  <w:style w:type="paragraph" w:styleId="Bezodstpw">
    <w:name w:val="No Spacing"/>
    <w:uiPriority w:val="99"/>
    <w:qFormat/>
    <w:rsid w:val="00317E38"/>
    <w:rPr>
      <w:rFonts w:ascii="Times New Roman" w:hAnsi="Times New Roman"/>
      <w:sz w:val="20"/>
      <w:lang w:val="en-US" w:eastAsia="en-US"/>
    </w:rPr>
  </w:style>
  <w:style w:type="paragraph" w:customStyle="1" w:styleId="Default">
    <w:name w:val="Default"/>
    <w:uiPriority w:val="99"/>
    <w:qFormat/>
    <w:rsid w:val="00317E38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165DE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165DE"/>
    <w:rPr>
      <w:b/>
      <w:bCs/>
    </w:rPr>
  </w:style>
  <w:style w:type="paragraph" w:styleId="Stopka">
    <w:name w:val="footer"/>
    <w:basedOn w:val="Normalny"/>
    <w:link w:val="StopkaZnak"/>
    <w:uiPriority w:val="99"/>
    <w:rsid w:val="00A0107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">
    <w:name w:val="Tekst"/>
    <w:basedOn w:val="Normalny"/>
    <w:qFormat/>
    <w:rsid w:val="00900C1B"/>
    <w:pPr>
      <w:spacing w:after="0" w:line="360" w:lineRule="auto"/>
      <w:ind w:left="851"/>
      <w:jc w:val="both"/>
    </w:pPr>
    <w:rPr>
      <w:rFonts w:asciiTheme="minorHAnsi" w:eastAsia="Times New Roman" w:hAnsiTheme="minorHAnsi"/>
      <w:color w:val="00000A"/>
      <w:sz w:val="22"/>
      <w:szCs w:val="24"/>
      <w:lang w:eastAsia="pl-PL"/>
    </w:rPr>
  </w:style>
  <w:style w:type="table" w:styleId="Tabela-Siatka">
    <w:name w:val="Table Grid"/>
    <w:basedOn w:val="Standardowy"/>
    <w:uiPriority w:val="39"/>
    <w:rsid w:val="00317E38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A400-ED2A-405C-9894-EF99669D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Techniczny opis zasilaczy prądu stałego przeznaczonych dla magnesów synchrotronu Solaris</vt:lpstr>
    </vt:vector>
  </TitlesOfParts>
  <Company>MAX-lab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Techniczny opis zasilaczy prądu stałego przeznaczonych dla magnesów synchrotronu Solaris</dc:title>
  <dc:subject/>
  <dc:creator>Robert Nietubyc</dc:creator>
  <dc:description/>
  <cp:lastModifiedBy>Kwiatkowski Roch</cp:lastModifiedBy>
  <cp:revision>11</cp:revision>
  <cp:lastPrinted>2013-10-22T14:27:00Z</cp:lastPrinted>
  <dcterms:created xsi:type="dcterms:W3CDTF">2023-09-06T11:25:00Z</dcterms:created>
  <dcterms:modified xsi:type="dcterms:W3CDTF">2023-09-19T12:11:00Z</dcterms:modified>
  <dc:language>en-GB</dc:language>
</cp:coreProperties>
</file>