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2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suppressAutoHyphens w:val="true"/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>załącznik nr 1.</w:t>
      </w:r>
      <w:r>
        <w:rPr>
          <w:rFonts w:ascii="Arial" w:hAnsi="Arial"/>
          <w:sz w:val="22"/>
          <w:szCs w:val="22"/>
          <w:lang w:val="pl-PL"/>
        </w:rPr>
        <w:t>2</w:t>
      </w:r>
      <w:r>
        <w:rPr>
          <w:rFonts w:ascii="Arial" w:hAnsi="Arial"/>
          <w:sz w:val="22"/>
          <w:szCs w:val="22"/>
          <w:lang w:val="pl-PL"/>
        </w:rPr>
        <w:t>.</w:t>
      </w:r>
      <w:r>
        <w:rPr>
          <w:rFonts w:ascii="Arial" w:hAnsi="Arial"/>
          <w:sz w:val="22"/>
          <w:szCs w:val="22"/>
          <w:lang w:val="pl-PL"/>
        </w:rPr>
        <w:t>3</w:t>
      </w:r>
      <w:r>
        <w:rPr>
          <w:rFonts w:ascii="Arial" w:hAnsi="Arial"/>
          <w:sz w:val="22"/>
          <w:szCs w:val="22"/>
          <w:lang w:val="pl-PL"/>
        </w:rPr>
        <w:t xml:space="preserve">.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znak: Rz.271.</w:t>
      </w:r>
      <w:r>
        <w:rPr>
          <w:sz w:val="22"/>
          <w:szCs w:val="22"/>
          <w:lang w:val="pl-PL"/>
        </w:rPr>
        <w:t>58</w:t>
      </w:r>
      <w:r>
        <w:rPr>
          <w:sz w:val="22"/>
          <w:szCs w:val="22"/>
          <w:lang w:val="pl-PL"/>
        </w:rPr>
        <w:t>.202</w:t>
      </w:r>
      <w:r>
        <w:rPr>
          <w:sz w:val="22"/>
          <w:szCs w:val="22"/>
          <w:lang w:val="pl-PL"/>
        </w:rPr>
        <w:t>2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Opisypl"/>
        <w:suppressAutoHyphens w:val="true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Reprezentowany przez:</w: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object>
          <v:shape id="control_shape_1" o:allowincell="t" style="width:199.5pt;height:19.8pt" type="#_x0000_t75"/>
          <w:control r:id="rId3" w:name="Podstawa do reprezentacji" w:shapeid="control_shape_1"/>
        </w:object>
      </w:r>
    </w:p>
    <w:p>
      <w:pPr>
        <w:pStyle w:val="Opisypl"/>
        <w:suppressAutoHyphens w:val="true"/>
        <w:bidi w:val="0"/>
        <w:spacing w:lineRule="auto" w:line="360" w:before="240" w:after="120"/>
        <w:ind w:start="0" w:end="0" w:hanging="0"/>
        <w:jc w:val="start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</w:pPr>
      <w:r>
        <w:rPr>
          <w:rFonts w:eastAsia="Arial" w:cs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(imię, nazwisko, stanowisko/podstawa do reprezentacji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Sposób wyliczania kosztów drukowania stron dla monochromatycznej drukarki laserowej A4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Należy podać przyjęte do obliczeń ceny detaliczne bębnów i tonerów dopuszczonych przez producenta – tej samej firmy co producent, jako średnią arytmetyczną cen od dwóch dostawców. Należy też podać źródło cen bębnów i tonerów.</w:t>
      </w:r>
    </w:p>
    <w:p>
      <w:pPr>
        <w:pStyle w:val="Nagwek2"/>
        <w:bidi w:val="0"/>
        <w:spacing w:lineRule="auto" w:line="360"/>
        <w:ind w:start="0" w:end="0" w:hanging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Tonery:</w:t>
      </w:r>
    </w:p>
    <w:p>
      <w:pPr>
        <w:pStyle w:val="Tretekstu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Nazwa tonera: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" o:allowincell="t" style="width:396.8pt;height:25.45pt" type="#_x0000_t75"/>
          <w:control r:id="rId4" w:name="Nazwa tonera" w:shapeid="control_shape_2"/>
        </w:object>
      </w:r>
    </w:p>
    <w:p>
      <w:pPr>
        <w:pStyle w:val="Tretekstu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Dostawca:</w:t>
      </w:r>
    </w:p>
    <w:p>
      <w:pPr>
        <w:pStyle w:val="Tretekstu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3" o:allowincell="t" style="width:396.8pt;height:25.45pt" type="#_x0000_t75"/>
          <w:control r:id="rId5" w:name="Pierwszy dostawca tonerów" w:shapeid="control_shape_3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4" o:allowincell="t" style="width:396.8pt;height:25.45pt" type="#_x0000_t75"/>
          <w:control r:id="rId6" w:name="Drugi dostawca tonerów" w:shapeid="control_shape_4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Wydajność przy 5% pokryciu strony A4: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5" o:allowincell="t" style="width:396.8pt;height:25.45pt" type="#_x0000_t75"/>
          <w:control r:id="rId7" w:name="Wydajność tonera od pierwszego dostawcy przy 5% pokryciu strony A4." w:shapeid="control_shape_5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6" o:allowincell="t" style="width:396.8pt;height:25.45pt" type="#_x0000_t75"/>
          <w:control r:id="rId8" w:name="Wydajność tonera od drugiego dostawcy przy 5% pokryciu strony A4." w:shapeid="control_shape_6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Cena tonera brutto: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7" o:allowincell="t" style="width:396.8pt;height:25.45pt" type="#_x0000_t75"/>
          <w:control r:id="rId9" w:name="Cena tonera brutto u pierwszego dostawcy." w:shapeid="control_shape_7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8" o:allowincell="t" style="width:396.8pt;height:25.45pt" type="#_x0000_t75"/>
          <w:control r:id="rId10" w:name="Cena tonera brutto u drugiego dostawcy." w:shapeid="control_shape_8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Ilość tonerów potrzebna do wydrukowania 100 000 stron A4 o pokryciu 5%: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9" o:allowincell="t" style="width:396.8pt;height:25.45pt" type="#_x0000_t75"/>
          <w:control r:id="rId11" w:name="Ilość tonerów od pierwszego dostawcy potrzebna do wydrukowania 100 000 stron A4 o pokryciu 5%" w:shapeid="control_shape_9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0" o:allowincell="t" style="width:396.8pt;height:25.45pt" type="#_x0000_t75"/>
          <w:control r:id="rId12" w:name="Ilość tonerów od drugiego dostawcy potrzebna do wydrukowania 100 000 stron A4 o pokryciu 5%" w:shapeid="control_shape_10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Koszt wydrukowania 100 000 stron A4 o pokryciu 5%: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1" o:allowincell="t" style="width:396.8pt;height:25.45pt" type="#_x0000_t75"/>
          <w:control r:id="rId13" w:name="Koszt wydrukowania 100 000 stron A4 o pokryciu 5% u pierwszego dostawcy." w:shapeid="control_shape_11"/>
        </w:objec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2" o:allowincell="t" style="width:396.8pt;height:25.45pt" type="#_x0000_t75"/>
          <w:control r:id="rId14" w:name="Koszt wydrukowania 100 000 stron A4 o pokryciu 5% u drugiego dostawcy." w:shapeid="control_shape_12"/>
        </w:objec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Średni koszt tonerów brutto:</w:t>
      </w:r>
    </w:p>
    <w:p>
      <w:pPr>
        <w:pStyle w:val="Normal"/>
        <w:numPr>
          <w:ilvl w:val="1"/>
          <w:numId w:val="3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3" o:allowincell="t" style="width:396.8pt;height:25.45pt" type="#_x0000_t75"/>
          <w:control r:id="rId15" w:name="Średni koszt tonerów brutto" w:shapeid="control_shape_13"/>
        </w:object>
      </w:r>
    </w:p>
    <w:p>
      <w:pPr>
        <w:pStyle w:val="Nagwek2"/>
        <w:bidi w:val="0"/>
        <w:spacing w:lineRule="auto" w:line="36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Bębny:</w:t>
      </w:r>
    </w:p>
    <w:p>
      <w:pPr>
        <w:pStyle w:val="Tretekstu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pl-PL"/>
        </w:rPr>
        <w:t xml:space="preserve">Nazwa </w:t>
      </w:r>
      <w:r>
        <w:rPr>
          <w:rFonts w:ascii="Arial" w:hAnsi="Arial"/>
          <w:sz w:val="22"/>
          <w:szCs w:val="22"/>
          <w:lang w:val="pl-PL"/>
        </w:rPr>
        <w:t>bębna:</w: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4" o:allowincell="t" style="width:396.8pt;height:25.45pt" type="#_x0000_t75"/>
          <w:control r:id="rId16" w:name="Nazwa bębna" w:shapeid="control_shape_14"/>
        </w:object>
      </w:r>
    </w:p>
    <w:p>
      <w:pPr>
        <w:pStyle w:val="Tretekstu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Dostawca:</w:t>
      </w:r>
    </w:p>
    <w:p>
      <w:pPr>
        <w:pStyle w:val="Tretekstu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5" o:allowincell="t" style="width:396.8pt;height:25.45pt" type="#_x0000_t75"/>
          <w:control r:id="rId17" w:name="Pierwszy dostawca bębnów" w:shapeid="control_shape_15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6" o:allowincell="t" style="width:396.8pt;height:25.45pt" type="#_x0000_t75"/>
          <w:control r:id="rId18" w:name="Drugi dostawca bębnów" w:shapeid="control_shape_16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Wydajność przy 5% pokryciu strony A4: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7" o:allowincell="t" style="width:396.8pt;height:25.45pt" type="#_x0000_t75"/>
          <w:control r:id="rId19" w:name="Wydajność bębna od pierwszego dostawcy przy 5% pokryciu strony A4." w:shapeid="control_shape_17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8" o:allowincell="t" style="width:396.8pt;height:25.45pt" type="#_x0000_t75"/>
          <w:control r:id="rId20" w:name="Wydajność bębna od drugiego dostawcy przy 5% pokryciu strony A4." w:shapeid="control_shape_18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Cena </w:t>
      </w:r>
      <w:r>
        <w:rPr>
          <w:rFonts w:ascii="Arial" w:hAnsi="Arial"/>
          <w:sz w:val="22"/>
          <w:szCs w:val="22"/>
          <w:lang w:val="pl-PL"/>
        </w:rPr>
        <w:t>bębna</w:t>
      </w:r>
      <w:r>
        <w:rPr>
          <w:rFonts w:ascii="Arial" w:hAnsi="Arial"/>
          <w:sz w:val="22"/>
          <w:szCs w:val="22"/>
          <w:lang w:val="pl-PL"/>
        </w:rPr>
        <w:t xml:space="preserve"> brutto: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19" o:allowincell="t" style="width:396.8pt;height:25.45pt" type="#_x0000_t75"/>
          <w:control r:id="rId21" w:name="Cena bębna brutto u pierwszego dostawcy." w:shapeid="control_shape_19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0" o:allowincell="t" style="width:396.8pt;height:25.45pt" type="#_x0000_t75"/>
          <w:control r:id="rId22" w:name="Cena bębna brutto u drugiego dostawcy." w:shapeid="control_shape_20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Ilość </w:t>
      </w:r>
      <w:r>
        <w:rPr>
          <w:rFonts w:ascii="Arial" w:hAnsi="Arial"/>
          <w:sz w:val="22"/>
          <w:szCs w:val="22"/>
          <w:lang w:val="pl-PL"/>
        </w:rPr>
        <w:t>bębnów</w:t>
      </w:r>
      <w:r>
        <w:rPr>
          <w:rFonts w:ascii="Arial" w:hAnsi="Arial"/>
          <w:sz w:val="22"/>
          <w:szCs w:val="22"/>
          <w:lang w:val="pl-PL"/>
        </w:rPr>
        <w:t xml:space="preserve"> potrzebna do wydrukowania 100 000 stron A4 o pokryciu 5%: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1" o:allowincell="t" style="width:396.8pt;height:25.45pt" type="#_x0000_t75"/>
          <w:control r:id="rId23" w:name="Ilość bębnów od pierwszego dostawcy potrzebna do wydrukowania 100 000 stron A4 o pokryciu 5%." w:shapeid="control_shape_21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2" o:allowincell="t" style="width:396.8pt;height:25.45pt" type="#_x0000_t75"/>
          <w:control r:id="rId24" w:name="Ilość bębnów od drugiego dostawcy potrzebna do wydrukowania 100 000 stron A4 o pokryciu 5%." w:shapeid="control_shape_22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Koszt wydrukowania 100 000 stron A4 o pokryciu 5%: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3" o:allowincell="t" style="width:396.8pt;height:25.45pt" type="#_x0000_t75"/>
          <w:control r:id="rId25" w:name="Koszt wydrukowania 100 000 stron A4 o pokryciu 5% u pierwszego dostawcy." w:shapeid="control_shape_23"/>
        </w:objec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4" o:allowincell="t" style="width:396.8pt;height:25.45pt" type="#_x0000_t75"/>
          <w:control r:id="rId26" w:name="Koszt wydrukowania 100 000 stron A4 o pokryciu 5% u drugiego dostawcy." w:shapeid="control_shape_24"/>
        </w:objec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Średni koszt </w:t>
      </w:r>
      <w:r>
        <w:rPr>
          <w:rFonts w:ascii="Arial" w:hAnsi="Arial"/>
          <w:sz w:val="22"/>
          <w:szCs w:val="22"/>
          <w:lang w:val="pl-PL"/>
        </w:rPr>
        <w:t>bębnów</w:t>
      </w:r>
      <w:r>
        <w:rPr>
          <w:rFonts w:ascii="Arial" w:hAnsi="Arial"/>
          <w:sz w:val="22"/>
          <w:szCs w:val="22"/>
          <w:lang w:val="pl-PL"/>
        </w:rPr>
        <w:t xml:space="preserve"> brutto:</w:t>
      </w:r>
    </w:p>
    <w:p>
      <w:pPr>
        <w:pStyle w:val="Normal"/>
        <w:numPr>
          <w:ilvl w:val="1"/>
          <w:numId w:val="4"/>
        </w:numPr>
        <w:bidi w:val="0"/>
        <w:spacing w:lineRule="auto" w:line="36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object>
          <v:shape id="control_shape_25" o:allowincell="t" style="width:396.8pt;height:25.45pt" type="#_x0000_t75"/>
          <w:control r:id="rId27" w:name="Średni koszt bębnów brutto" w:shapeid="control_shape_25"/>
        </w:object>
      </w:r>
    </w:p>
    <w:p>
      <w:pPr>
        <w:pStyle w:val="Nagwek3"/>
        <w:bidi w:val="0"/>
        <w:spacing w:lineRule="auto" w:line="360"/>
        <w:ind w:start="0" w:end="0" w:hanging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Wzór do obliczenia nominalnego</w:t>
      </w:r>
      <w:r>
        <w:rPr>
          <w:sz w:val="22"/>
          <w:szCs w:val="22"/>
        </w:rPr>
        <w:t xml:space="preserve"> koszt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wydruku 1 strony A4 o pokryciu 5%:</w:t>
      </w:r>
    </w:p>
    <w:p>
      <w:pPr>
        <w:pStyle w:val="Tretekstu"/>
        <w:numPr>
          <w:ilvl w:val="0"/>
          <w:numId w:val="0"/>
        </w:numPr>
        <w:bidi w:val="0"/>
        <w:spacing w:lineRule="auto" w:line="360" w:before="0" w:after="142"/>
        <w:ind w:start="0" w:end="0" w:hanging="0"/>
        <w:jc w:val="start"/>
        <w:outlineLvl w:val="2"/>
        <w:rPr>
          <w:rFonts w:ascii="Arial" w:hAnsi="Arial"/>
          <w:b w:val="false"/>
          <w:b w:val="false"/>
          <w:bCs w:val="false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[koszt drukarki / żywotność drukarki] + [koszt średni tonerów + koszt średni bębnów / 100000] =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object>
          <v:shape id="control_shape_26" o:allowincell="t" style="width:146.55pt;height:25.45pt" type="#_x0000_t75"/>
          <w:control r:id="rId28" w:name="Pole tekstowe 1" w:shapeid="control_shape_26"/>
        </w:objec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zł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U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waga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Formularz </w:t>
      </w:r>
      <w:r>
        <w:rPr>
          <w:rFonts w:ascii="Arial" w:hAnsi="Arial"/>
          <w:b/>
          <w:bCs/>
          <w:sz w:val="22"/>
          <w:szCs w:val="22"/>
          <w:lang w:val="pl-PL"/>
        </w:rPr>
        <w:t>Sposób wyliczania kosztów drukowania stron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- inną(-e) osobę(-y) legitymującą(-e) się pisemnym pełnomocnictwem do reprezentowania wykonawcy udzielonym przez osoby, o których mowa w lit. a i b.</w:t>
      </w:r>
    </w:p>
    <w:p>
      <w:pPr>
        <w:pStyle w:val="Informacjaoskadnymdokumencie"/>
        <w:widowControl/>
        <w:tabs>
          <w:tab w:val="clear" w:pos="709"/>
        </w:tabs>
        <w:suppressAutoHyphens w:val="true"/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do reprezentowania wykonawcy udzielonym przez osoby, o których mowa w lit. a i b.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0" w:after="1191"/>
        <w:ind w:start="0" w:end="0" w:hanging="0"/>
        <w:jc w:val="start"/>
        <w:rPr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UWAGA! W przypadku jego niezłożenia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formularz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Sposób wyliczania kosztów drukowania stron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,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złożenia niezgodnie z jego treścią lub niekompletnego,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oferta </w:t>
      </w: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>nie podlega uzupełnieniu. Oferta wykonawcy, który nie złoży tego dokumentu podlegać będzie odrzuceniu na podstawie art. 226 ust. 1 pkt 5 ustawy Pzp – jej treść jest niezgodna z warunkami zamówienia, z zastrzeżeniem art. 223 ust. 2 pkt 3 ustawy Pzp.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Nagwek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lvlText w:val=" %1 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suff w:val="space"/>
      <w:lvlText w:val=" %1.%2 "/>
      <w:lvlJc w:val="start"/>
      <w:pPr>
        <w:tabs>
          <w:tab w:val="num" w:pos="0"/>
        </w:tabs>
        <w:ind w:start="1080" w:hanging="360"/>
      </w:pPr>
    </w:lvl>
    <w:lvl w:ilvl="2">
      <w:start w:val="1"/>
      <w:numFmt w:val="decimal"/>
      <w:lvlText w:val=" %1.%2.%3 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 %1.%2.%3.%4 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 %1.%2.%3.%4.%5 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 %1.%2.%3.%4.%5.%6 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 %1.%2.%3.%4.%5.%6.%7 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 %1.%2.%3.%4.%5.%6.%7.%8 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 %1.%2.%3.%4.%5.%6.%7.%8.%9 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retekstu"/>
    <w:qFormat/>
    <w:pPr>
      <w:keepNext w:val="true"/>
      <w:widowControl/>
      <w:numPr>
        <w:ilvl w:val="2"/>
        <w:numId w:val="1"/>
      </w:numPr>
      <w:tabs>
        <w:tab w:val="clear" w:pos="709"/>
      </w:tabs>
      <w:spacing w:lineRule="auto" w:line="276" w:before="283" w:after="113"/>
      <w:ind w:start="0" w:end="0" w:hanging="0"/>
      <w:jc w:val="center"/>
      <w:outlineLvl w:val="2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start="57" w:end="0" w:hanging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3</Pages>
  <Words>371</Words>
  <Characters>2133</Characters>
  <CharactersWithSpaces>2513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2022-12-12T12:16:28Z</dcterms:created>
  <dc:creator/>
  <dc:description/>
  <dc:language>pl-PL</dc:language>
  <cp:lastModifiedBy/>
  <dcterms:modified xsi:type="dcterms:W3CDTF">2022-12-12T13:02:28Z</dcterms:modified>
  <cp:revision>4</cp:revision>
  <dc:subject/>
  <dc:title>Sposób wyliczania kosztów drukowania stron dla monochromatycznej drukarki laserowej A4</dc:title>
</cp:coreProperties>
</file>