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E9D7" w14:textId="1DA9D76F" w:rsidR="00CF7338" w:rsidRPr="00A226B5" w:rsidRDefault="00A86DD4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SPECYFIKACJA WARUNKÓW ZAMÓWIENIA</w:t>
      </w:r>
    </w:p>
    <w:p w14:paraId="7C18AEC6" w14:textId="7266E141" w:rsidR="00625E28" w:rsidRPr="00A226B5" w:rsidRDefault="00625E28" w:rsidP="00DC367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48DFC4E0" w14:textId="05ADF892" w:rsidR="0078188D" w:rsidRPr="00A226B5" w:rsidRDefault="00D922C2" w:rsidP="009819C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>„Ś</w:t>
      </w:r>
      <w:r w:rsidRPr="009A6549">
        <w:rPr>
          <w:rFonts w:ascii="Open Sans" w:hAnsi="Open Sans" w:cs="Open Sans"/>
          <w:b/>
          <w:bCs/>
          <w:sz w:val="20"/>
          <w:szCs w:val="20"/>
          <w:lang w:eastAsia="pl-PL"/>
        </w:rPr>
        <w:t>wiadczenie usług w zakresie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przeglądu,</w:t>
      </w:r>
      <w:r w:rsidRPr="009A6549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>konserwacji, naprawy</w:t>
      </w:r>
      <w:r w:rsidR="003F2C10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, wymiany i 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>legalizacji podręcznego sprzętu gaśniczego oraz pomiarów wydajności ciśnienia hydrantów wewnętrznych i zewnętrznych”</w:t>
      </w:r>
    </w:p>
    <w:p w14:paraId="575353EF" w14:textId="77777777" w:rsidR="00D922C2" w:rsidRDefault="00D922C2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CFB901" w14:textId="2E5AA321" w:rsidR="00D922C2" w:rsidRPr="00D922C2" w:rsidRDefault="00625E28" w:rsidP="00D922C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22C2">
        <w:rPr>
          <w:rFonts w:ascii="Open Sans" w:hAnsi="Open Sans" w:cs="Open Sans"/>
          <w:sz w:val="20"/>
          <w:szCs w:val="20"/>
        </w:rPr>
        <w:t xml:space="preserve">Przedmiotem zamówienia jest </w:t>
      </w:r>
      <w:r w:rsidR="00D922C2" w:rsidRPr="00D922C2">
        <w:rPr>
          <w:rFonts w:ascii="Open Sans" w:hAnsi="Open Sans" w:cs="Open Sans"/>
          <w:sz w:val="20"/>
          <w:szCs w:val="20"/>
          <w:lang w:eastAsia="pl-PL"/>
        </w:rPr>
        <w:t>świadczenie usług w zakresie przeglądu, konserwacji, naprawy oraz legalizacji podręcznego sprzętu gaśniczego oraz pomiarów wydajności ciśnienia hydrantów wewnętrznych i zewnętrznych</w:t>
      </w:r>
      <w:r w:rsidR="00D922C2" w:rsidRPr="00D922C2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="00D922C2" w:rsidRPr="00D922C2">
        <w:rPr>
          <w:rFonts w:ascii="Open Sans" w:hAnsi="Open Sans" w:cs="Open Sans"/>
          <w:sz w:val="20"/>
          <w:szCs w:val="20"/>
          <w:lang w:eastAsia="pl-PL"/>
        </w:rPr>
        <w:t>w Jednostkach Organizacyjnych</w:t>
      </w:r>
      <w:r w:rsidR="00D922C2" w:rsidRPr="00D922C2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D922C2">
        <w:rPr>
          <w:rFonts w:ascii="Open Sans" w:hAnsi="Open Sans" w:cs="Open Sans"/>
          <w:sz w:val="20"/>
          <w:szCs w:val="20"/>
        </w:rPr>
        <w:t>P</w:t>
      </w:r>
      <w:r w:rsidR="00D922C2" w:rsidRPr="00D922C2">
        <w:rPr>
          <w:rFonts w:ascii="Open Sans" w:hAnsi="Open Sans" w:cs="Open Sans"/>
          <w:sz w:val="20"/>
          <w:szCs w:val="20"/>
        </w:rPr>
        <w:t xml:space="preserve">rzedsiębiorstwa </w:t>
      </w:r>
      <w:r w:rsidRPr="00D922C2">
        <w:rPr>
          <w:rFonts w:ascii="Open Sans" w:hAnsi="Open Sans" w:cs="Open Sans"/>
          <w:sz w:val="20"/>
          <w:szCs w:val="20"/>
        </w:rPr>
        <w:t>G</w:t>
      </w:r>
      <w:r w:rsidR="00D922C2" w:rsidRPr="00D922C2">
        <w:rPr>
          <w:rFonts w:ascii="Open Sans" w:hAnsi="Open Sans" w:cs="Open Sans"/>
          <w:sz w:val="20"/>
          <w:szCs w:val="20"/>
        </w:rPr>
        <w:t xml:space="preserve">ospodarki </w:t>
      </w:r>
      <w:r w:rsidRPr="00D922C2">
        <w:rPr>
          <w:rFonts w:ascii="Open Sans" w:hAnsi="Open Sans" w:cs="Open Sans"/>
          <w:sz w:val="20"/>
          <w:szCs w:val="20"/>
        </w:rPr>
        <w:t>K</w:t>
      </w:r>
      <w:r w:rsidR="00D922C2" w:rsidRPr="00D922C2">
        <w:rPr>
          <w:rFonts w:ascii="Open Sans" w:hAnsi="Open Sans" w:cs="Open Sans"/>
          <w:sz w:val="20"/>
          <w:szCs w:val="20"/>
        </w:rPr>
        <w:t>omunalnej S</w:t>
      </w:r>
      <w:r w:rsidRPr="00D922C2">
        <w:rPr>
          <w:rFonts w:ascii="Open Sans" w:hAnsi="Open Sans" w:cs="Open Sans"/>
          <w:sz w:val="20"/>
          <w:szCs w:val="20"/>
        </w:rPr>
        <w:t>p.</w:t>
      </w:r>
      <w:r w:rsidR="00D922C2" w:rsidRPr="00D922C2">
        <w:rPr>
          <w:rFonts w:ascii="Open Sans" w:hAnsi="Open Sans" w:cs="Open Sans"/>
          <w:sz w:val="20"/>
          <w:szCs w:val="20"/>
        </w:rPr>
        <w:t xml:space="preserve"> </w:t>
      </w:r>
      <w:r w:rsidRPr="00D922C2">
        <w:rPr>
          <w:rFonts w:ascii="Open Sans" w:hAnsi="Open Sans" w:cs="Open Sans"/>
          <w:sz w:val="20"/>
          <w:szCs w:val="20"/>
        </w:rPr>
        <w:t>z o.o. w Koszalinie</w:t>
      </w:r>
      <w:r w:rsidR="00D922C2" w:rsidRPr="00D922C2">
        <w:rPr>
          <w:rFonts w:ascii="Open Sans" w:hAnsi="Open Sans" w:cs="Open Sans"/>
          <w:sz w:val="20"/>
          <w:szCs w:val="20"/>
        </w:rPr>
        <w:t>, tj.:</w:t>
      </w:r>
    </w:p>
    <w:p w14:paraId="4BEEB12D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Przedsiębiorstwo Gospodarki Komunalnej, ul. Komunalna 5, Koszalin</w:t>
      </w:r>
    </w:p>
    <w:p w14:paraId="1F0FDC6C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Cmentarz Komunalny KZP i AC, ul. Gnieźnieńska 44, Koszalin</w:t>
      </w:r>
    </w:p>
    <w:p w14:paraId="3E87E33E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Składowisko Odpadów RZOO, ul. </w:t>
      </w:r>
      <w:proofErr w:type="spellStart"/>
      <w:r>
        <w:rPr>
          <w:rFonts w:ascii="Open Sans" w:hAnsi="Open Sans" w:cs="Open Sans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sz w:val="20"/>
          <w:szCs w:val="20"/>
        </w:rPr>
        <w:t xml:space="preserve"> 80, Sianów</w:t>
      </w:r>
    </w:p>
    <w:p w14:paraId="7E258A5A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Schronisko dla Bezdomnych Zwierząt SBZ, ul. Mieszka I 55, Koszalin</w:t>
      </w:r>
    </w:p>
    <w:p w14:paraId="01398DD1" w14:textId="2F661BB3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Zakład Usług Komunalnych 1, ul. Gnieźnieńska 6, Koszalin</w:t>
      </w:r>
    </w:p>
    <w:p w14:paraId="18024CCA" w14:textId="327558D1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MSZOK, ul. Władysława IV 149, Koszalin</w:t>
      </w:r>
    </w:p>
    <w:p w14:paraId="5ADD1ED1" w14:textId="77777777" w:rsidR="00D922C2" w:rsidRPr="00A83988" w:rsidRDefault="00D922C2" w:rsidP="00D922C2">
      <w:pPr>
        <w:pStyle w:val="Akapitzlist"/>
        <w:spacing w:after="0" w:line="276" w:lineRule="auto"/>
        <w:ind w:left="1080"/>
        <w:jc w:val="both"/>
        <w:rPr>
          <w:rFonts w:ascii="Open Sans" w:hAnsi="Open Sans" w:cs="Open Sans"/>
          <w:sz w:val="20"/>
          <w:szCs w:val="20"/>
        </w:rPr>
      </w:pPr>
    </w:p>
    <w:p w14:paraId="0B76EE21" w14:textId="629BE6A8" w:rsidR="00D75FA0" w:rsidRDefault="00D75FA0" w:rsidP="00D922C2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D922C2">
        <w:rPr>
          <w:rFonts w:ascii="Open Sans" w:hAnsi="Open Sans" w:cs="Open Sans"/>
          <w:sz w:val="20"/>
          <w:szCs w:val="20"/>
        </w:rPr>
        <w:t>Czas trwania  usługi</w:t>
      </w:r>
      <w:r w:rsidR="006124E6" w:rsidRPr="00D922C2">
        <w:rPr>
          <w:rFonts w:ascii="Open Sans" w:hAnsi="Open Sans" w:cs="Open Sans"/>
          <w:sz w:val="20"/>
          <w:szCs w:val="20"/>
        </w:rPr>
        <w:t xml:space="preserve"> od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01.0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>3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.202</w:t>
      </w:r>
      <w:r w:rsidR="003F2C10">
        <w:rPr>
          <w:rFonts w:ascii="Open Sans" w:hAnsi="Open Sans" w:cs="Open Sans"/>
          <w:b/>
          <w:bCs/>
          <w:sz w:val="20"/>
          <w:szCs w:val="20"/>
        </w:rPr>
        <w:t>2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r. do 2</w:t>
      </w:r>
      <w:r w:rsidR="003F2C10">
        <w:rPr>
          <w:rFonts w:ascii="Open Sans" w:hAnsi="Open Sans" w:cs="Open Sans"/>
          <w:b/>
          <w:bCs/>
          <w:sz w:val="20"/>
          <w:szCs w:val="20"/>
        </w:rPr>
        <w:t>9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.02.202</w:t>
      </w:r>
      <w:r w:rsidR="003F2C10">
        <w:rPr>
          <w:rFonts w:ascii="Open Sans" w:hAnsi="Open Sans" w:cs="Open Sans"/>
          <w:b/>
          <w:bCs/>
          <w:sz w:val="20"/>
          <w:szCs w:val="20"/>
        </w:rPr>
        <w:t>4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r.</w:t>
      </w:r>
      <w:r w:rsidRPr="00D922C2">
        <w:rPr>
          <w:rFonts w:ascii="Open Sans" w:hAnsi="Open Sans" w:cs="Open Sans"/>
          <w:sz w:val="20"/>
          <w:szCs w:val="20"/>
        </w:rPr>
        <w:t xml:space="preserve"> </w:t>
      </w:r>
    </w:p>
    <w:p w14:paraId="569A2AF2" w14:textId="77777777" w:rsidR="00D922C2" w:rsidRPr="00D922C2" w:rsidRDefault="00D922C2" w:rsidP="00D922C2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4C76005D" w14:textId="3C5B4278" w:rsidR="006124E6" w:rsidRDefault="00D922C2" w:rsidP="00D922C2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przeglądu, konserwacji, naprawy oraz legalizacji obejmuje:</w:t>
      </w:r>
    </w:p>
    <w:p w14:paraId="0AA30340" w14:textId="63BC0666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przeglądy, naprawy, konserwacje</w:t>
      </w:r>
      <w:r w:rsidR="003F2C10">
        <w:rPr>
          <w:rFonts w:ascii="Open Sans" w:hAnsi="Open Sans" w:cs="Open Sans"/>
          <w:sz w:val="20"/>
          <w:szCs w:val="20"/>
        </w:rPr>
        <w:t>, wymiana</w:t>
      </w:r>
      <w:r>
        <w:rPr>
          <w:rFonts w:ascii="Open Sans" w:hAnsi="Open Sans" w:cs="Open Sans"/>
          <w:sz w:val="20"/>
          <w:szCs w:val="20"/>
        </w:rPr>
        <w:t xml:space="preserve"> sprzętu przeciwpożarowego w terminach zgodnie z załącznikiem nr 2 do Umowy.</w:t>
      </w:r>
    </w:p>
    <w:p w14:paraId="2AC05CDB" w14:textId="350C7BEA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przeglądy sprzętu przeciwpożarowego i ocena jego przydatności do użycia zgodnie z zaleceniami producenta sprzętu, w tym przeprowadzanie prób ciśnieniowych hydrantów, konserwacja hydrantów oraz węży strażackich,</w:t>
      </w:r>
    </w:p>
    <w:p w14:paraId="30B716A6" w14:textId="77777777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wykonywanie remontów sprzętu wymagającego naprawy, w tym uzupełnienie środka gaśniczego, zgodnie z zasadami gwarancji producenta, w oparciu o zaakceptowany przez kierowników komórek w miejscu użytkowania wykaz sprzętu do remontu,</w:t>
      </w:r>
    </w:p>
    <w:p w14:paraId="7AECB704" w14:textId="77777777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badania UDT zbiorników sprzętu gaśniczego,</w:t>
      </w:r>
    </w:p>
    <w:p w14:paraId="6636170D" w14:textId="77777777" w:rsidR="00D922C2" w:rsidRPr="009A6549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utylizacja sprzętu gaśniczego wycofanego z użytkowania wraz z wystawieniem karty przekazania odpadów.</w:t>
      </w:r>
    </w:p>
    <w:p w14:paraId="3ADB72E9" w14:textId="3335C985" w:rsidR="006F4C27" w:rsidRDefault="00D922C2" w:rsidP="00337175">
      <w:pPr>
        <w:pStyle w:val="Defaul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 zakończonym przeglądzie, legalizacji gaśnic, sprawdzeniu hydrantów oraz badani</w:t>
      </w:r>
      <w:r w:rsidR="006F4C27">
        <w:rPr>
          <w:sz w:val="20"/>
          <w:szCs w:val="20"/>
        </w:rPr>
        <w:t>u</w:t>
      </w:r>
      <w:r>
        <w:rPr>
          <w:sz w:val="20"/>
          <w:szCs w:val="20"/>
        </w:rPr>
        <w:t xml:space="preserve"> ciśnienia i wydajności sieci hydrantowej, sporządzi sprawozdanie w formie protokołu w </w:t>
      </w:r>
      <w:r w:rsidR="006F4C27">
        <w:rPr>
          <w:sz w:val="20"/>
          <w:szCs w:val="20"/>
        </w:rPr>
        <w:t>wersji</w:t>
      </w:r>
      <w:r>
        <w:rPr>
          <w:sz w:val="20"/>
          <w:szCs w:val="20"/>
        </w:rPr>
        <w:t xml:space="preserve"> papierowej (ocena przydatności i sprawności sprzętu przeciwpożarowego) z w/w czynności i przedłoży je w siedzibie Zamawiającego. </w:t>
      </w:r>
    </w:p>
    <w:p w14:paraId="3180C297" w14:textId="77777777" w:rsidR="006F4C27" w:rsidRPr="006F4C27" w:rsidRDefault="006F4C27" w:rsidP="006F4C27">
      <w:pPr>
        <w:pStyle w:val="Default"/>
        <w:spacing w:line="276" w:lineRule="auto"/>
        <w:ind w:left="360"/>
        <w:rPr>
          <w:sz w:val="20"/>
          <w:szCs w:val="20"/>
        </w:rPr>
      </w:pPr>
    </w:p>
    <w:p w14:paraId="0FD43A7A" w14:textId="1BE29D82" w:rsidR="006F4C27" w:rsidRDefault="006F4C27" w:rsidP="00337175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 przypadku stwierdzenia w czasie dokonywanego przeglądu, legalizacji gaśnic, że określona ilość gaśnic lub innego sprzętu wymaga naprawy lub nie odpowiada Polskim Normom,  zgłasza powyższy fakt kierownikowi jednostki, w której wykonywany jest przegląd sprzętu gaśniczego. W protokole podaje ilość i rodzaj sprzętu wymagającego naprawy lub przeznaczonego do utylizacji. </w:t>
      </w:r>
    </w:p>
    <w:p w14:paraId="2CD4EEE6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F4C27">
        <w:rPr>
          <w:rFonts w:ascii="Open Sans" w:hAnsi="Open Sans" w:cs="Open Sans"/>
          <w:color w:val="000000"/>
          <w:sz w:val="24"/>
          <w:szCs w:val="24"/>
        </w:rPr>
        <w:t xml:space="preserve"> </w:t>
      </w:r>
    </w:p>
    <w:p w14:paraId="7FDDA9A5" w14:textId="2CBF532D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rotokół </w:t>
      </w:r>
      <w:r>
        <w:rPr>
          <w:rFonts w:ascii="Open Sans" w:hAnsi="Open Sans" w:cs="Open Sans"/>
          <w:color w:val="000000"/>
          <w:sz w:val="20"/>
          <w:szCs w:val="20"/>
        </w:rPr>
        <w:t xml:space="preserve">z </w:t>
      </w:r>
      <w:r w:rsidRPr="006F4C27">
        <w:rPr>
          <w:rFonts w:ascii="Open Sans" w:hAnsi="Open Sans" w:cs="Open Sans"/>
          <w:color w:val="000000"/>
          <w:sz w:val="20"/>
          <w:szCs w:val="20"/>
        </w:rPr>
        <w:t>przeglądu sprzętu gaśniczego musi być potwierdzony przez kierownika jednostki organizacyjnej, w której jest wykonywana usługa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27C126AA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37F51ED3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F4C27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 </w:t>
      </w:r>
    </w:p>
    <w:p w14:paraId="51AC610A" w14:textId="30812DB0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ykonanie ewentualnych napraw uszkodzeń stwierdzonych podczas przeprowadzonego przeglądu odbędzie się na podstawie odrębnego pisemnego zlecenia </w:t>
      </w:r>
      <w:r>
        <w:rPr>
          <w:rFonts w:ascii="Open Sans" w:hAnsi="Open Sans" w:cs="Open Sans"/>
          <w:color w:val="000000"/>
          <w:sz w:val="20"/>
          <w:szCs w:val="20"/>
        </w:rPr>
        <w:t xml:space="preserve">Zamawiającego 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p</w:t>
      </w:r>
      <w:r w:rsidRPr="006F4C27">
        <w:rPr>
          <w:rFonts w:ascii="Open Sans" w:hAnsi="Open Sans" w:cs="Open Sans"/>
          <w:color w:val="000000"/>
          <w:sz w:val="20"/>
          <w:szCs w:val="20"/>
        </w:rPr>
        <w:t>o zatwierdzeniu przez kierownika jednostki kosztorysu naprawy sporządzonego przez Wykonawcę. W kosztorysie Wykonawca określa listę sprzętu/elementów uszkodzonych wraz z kosztami naprawy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357D482C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2468299" w14:textId="4E9D2F76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sługa zostanie wykonana zgodnie z przepisami w sprawie ochrony przeciwpożarowej budynków, innych obiektów budowlanych i terenów oraz zgodnie z normami i przepisami obowiązującymi w zakresie ochrony przeciwpożarowej </w:t>
      </w:r>
    </w:p>
    <w:p w14:paraId="3CF22DC3" w14:textId="77777777" w:rsidR="006F4C27" w:rsidRPr="006F4C27" w:rsidRDefault="006F4C27" w:rsidP="006F4C2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1D25700" w14:textId="6AEF8A84" w:rsidR="006F4C27" w:rsidRDefault="003F2C10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Wymagane jest o</w:t>
      </w:r>
      <w:r w:rsidR="006F4C27" w:rsidRPr="006F4C27">
        <w:rPr>
          <w:rFonts w:ascii="Open Sans" w:hAnsi="Open Sans" w:cs="Open Sans"/>
          <w:color w:val="000000"/>
          <w:sz w:val="20"/>
          <w:szCs w:val="20"/>
        </w:rPr>
        <w:t xml:space="preserve">świadczenie, że Wykonawca posiada kwalifikacje/uprawnienia w zakresie świadczenia usług, legalizacji, napraw sprzętu przeciwpożarowego oraz że prowadzi działalność w zakresie świadczenia w/w usług, a także osoby (pracownicy), które będą uczestniczyć w realizacji zamówienia posiadają stosowne kwalifikacje zawodowe, uprawnienia i doświadczenia do realizacji zamówienia. Przedłożenie kopii kwalifikacji/uprawnień. </w:t>
      </w:r>
    </w:p>
    <w:p w14:paraId="5D2A5D42" w14:textId="77777777" w:rsidR="005E2BE1" w:rsidRPr="005E2BE1" w:rsidRDefault="005E2BE1" w:rsidP="005E2BE1">
      <w:pPr>
        <w:pStyle w:val="Akapitzlist"/>
        <w:rPr>
          <w:rFonts w:ascii="Open Sans" w:hAnsi="Open Sans" w:cs="Open Sans"/>
          <w:color w:val="000000"/>
          <w:sz w:val="20"/>
          <w:szCs w:val="20"/>
        </w:rPr>
      </w:pPr>
    </w:p>
    <w:p w14:paraId="17CC116C" w14:textId="77777777" w:rsidR="006F4C27" w:rsidRPr="005E2BE1" w:rsidRDefault="006F4C27" w:rsidP="006F4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Wykonawca będzie ponosił odpowiedzialność za ewentualne wady w wykonaniu usługi. </w:t>
      </w:r>
    </w:p>
    <w:p w14:paraId="0AC518B5" w14:textId="77777777" w:rsidR="006F4C27" w:rsidRPr="005E2BE1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46517B45" w14:textId="07C90A00" w:rsidR="006F4C27" w:rsidRPr="006F4C27" w:rsidRDefault="006F4C27" w:rsidP="006F4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Kryterium oceny ofert: </w:t>
      </w:r>
      <w:r w:rsidRPr="006F4C27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cena 100% </w:t>
      </w:r>
    </w:p>
    <w:p w14:paraId="3EF2E3A7" w14:textId="46F0B3AC" w:rsidR="006F4C27" w:rsidRPr="006F4C27" w:rsidRDefault="006F4C27" w:rsidP="0033717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PGK Sp. z o.o. uzna ofertę za najkorzystniejszą, która będzie posiadała najniższą cenę brutto </w:t>
      </w:r>
      <w:r w:rsidR="007C13A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oraz spełni warunki zapytania ofertowego. </w:t>
      </w:r>
    </w:p>
    <w:p w14:paraId="5E4C762A" w14:textId="77777777" w:rsidR="005E2BE1" w:rsidRDefault="005E2BE1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0714527E" w14:textId="6EFC40BD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Odbiór przedmiotu zamówienia wskazanego nastąpi po wykonaniu usługi i podpisaniu przez kierownika jednostki organizacyjnej bez zastrzeżeń protokołu odbioru wykonania przedmiotu zamówienia. </w:t>
      </w:r>
    </w:p>
    <w:p w14:paraId="31AD5090" w14:textId="77777777" w:rsidR="006F4C27" w:rsidRPr="006F4C27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0F88545" w14:textId="7963C441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Wynagrodzenie za realizację usługi objętej umową płatne będzie na podstawie faktury VAT wystawionej przez Wykonawcę po podpisaniu przez obie Strony bez zastrzeżeń protokołu odbioru przedmiotu zamówienia. </w:t>
      </w:r>
    </w:p>
    <w:p w14:paraId="351D5881" w14:textId="42723BC7" w:rsidR="005E2BE1" w:rsidRDefault="005E2BE1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C4CB01C" w14:textId="36F6CCD8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PGK Sp. z o.o. zobowiązuje się do zapłaty faktury przelewem na konto Wykonawcy w terminie 30 dni od daty otrzymania prawidłowo wystawionej faktury </w:t>
      </w:r>
    </w:p>
    <w:p w14:paraId="17BE5392" w14:textId="77777777" w:rsidR="006F4C27" w:rsidRPr="006F4C27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4"/>
          <w:szCs w:val="24"/>
        </w:rPr>
      </w:pPr>
    </w:p>
    <w:p w14:paraId="1411D19C" w14:textId="4680755C" w:rsidR="00D922C2" w:rsidRPr="00D922C2" w:rsidRDefault="00D922C2" w:rsidP="005E2BE1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sectPr w:rsidR="00D922C2" w:rsidRPr="00D922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3CC" w14:textId="77777777" w:rsidR="00EA2A4E" w:rsidRDefault="00EA2A4E" w:rsidP="00854533">
      <w:pPr>
        <w:spacing w:after="0" w:line="240" w:lineRule="auto"/>
      </w:pPr>
      <w:r>
        <w:separator/>
      </w:r>
    </w:p>
  </w:endnote>
  <w:endnote w:type="continuationSeparator" w:id="0">
    <w:p w14:paraId="600B74A3" w14:textId="77777777" w:rsidR="00EA2A4E" w:rsidRDefault="00EA2A4E" w:rsidP="008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BB3" w14:textId="77777777" w:rsidR="00EA2A4E" w:rsidRDefault="00EA2A4E" w:rsidP="00854533">
      <w:pPr>
        <w:spacing w:after="0" w:line="240" w:lineRule="auto"/>
      </w:pPr>
      <w:r>
        <w:separator/>
      </w:r>
    </w:p>
  </w:footnote>
  <w:footnote w:type="continuationSeparator" w:id="0">
    <w:p w14:paraId="66B0EBC9" w14:textId="77777777" w:rsidR="00EA2A4E" w:rsidRDefault="00EA2A4E" w:rsidP="0085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80AA" w14:textId="167D950F" w:rsidR="00854533" w:rsidRPr="00854533" w:rsidRDefault="00854533" w:rsidP="00854533">
    <w:pPr>
      <w:spacing w:after="0"/>
      <w:jc w:val="right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A226B5">
      <w:rPr>
        <w:rFonts w:ascii="Open Sans" w:hAnsi="Open Sans" w:cs="Open Sans"/>
        <w:b/>
        <w:sz w:val="20"/>
        <w:szCs w:val="20"/>
      </w:rPr>
      <w:t xml:space="preserve">       </w:t>
    </w:r>
    <w:r w:rsidRPr="00A226B5">
      <w:rPr>
        <w:rFonts w:ascii="Open Sans" w:hAnsi="Open Sans" w:cs="Open Sans"/>
        <w:sz w:val="20"/>
        <w:szCs w:val="20"/>
      </w:rPr>
      <w:t xml:space="preserve">Załącznik nr 1 </w:t>
    </w:r>
    <w:r w:rsidR="00A93D7B">
      <w:rPr>
        <w:rFonts w:ascii="Open Sans" w:hAnsi="Open Sans" w:cs="Open Sans"/>
        <w:sz w:val="20"/>
        <w:szCs w:val="20"/>
      </w:rPr>
      <w:t>do postępowania</w:t>
    </w:r>
  </w:p>
  <w:p w14:paraId="77A91655" w14:textId="77777777" w:rsidR="00854533" w:rsidRDefault="00854533" w:rsidP="008545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DC2BB3"/>
    <w:multiLevelType w:val="hybridMultilevel"/>
    <w:tmpl w:val="DBD6D7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C70E49"/>
    <w:multiLevelType w:val="hybridMultilevel"/>
    <w:tmpl w:val="021564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758F8"/>
    <w:multiLevelType w:val="hybridMultilevel"/>
    <w:tmpl w:val="F7B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800DB"/>
    <w:multiLevelType w:val="hybridMultilevel"/>
    <w:tmpl w:val="606A80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7232BA"/>
    <w:multiLevelType w:val="hybridMultilevel"/>
    <w:tmpl w:val="22A68E64"/>
    <w:lvl w:ilvl="0" w:tplc="42F4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C23C9"/>
    <w:multiLevelType w:val="hybridMultilevel"/>
    <w:tmpl w:val="342E2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48C8"/>
    <w:multiLevelType w:val="hybridMultilevel"/>
    <w:tmpl w:val="AD02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7013"/>
    <w:multiLevelType w:val="hybridMultilevel"/>
    <w:tmpl w:val="BCDE0E9C"/>
    <w:lvl w:ilvl="0" w:tplc="5444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F3E58"/>
    <w:multiLevelType w:val="hybridMultilevel"/>
    <w:tmpl w:val="B862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ED64"/>
    <w:multiLevelType w:val="hybridMultilevel"/>
    <w:tmpl w:val="BC1BD5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6F5982"/>
    <w:multiLevelType w:val="hybridMultilevel"/>
    <w:tmpl w:val="56F6B55A"/>
    <w:lvl w:ilvl="0" w:tplc="467C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16C47"/>
    <w:multiLevelType w:val="hybridMultilevel"/>
    <w:tmpl w:val="892CECCA"/>
    <w:lvl w:ilvl="0" w:tplc="804A3DE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0A92"/>
    <w:multiLevelType w:val="hybridMultilevel"/>
    <w:tmpl w:val="442A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9E7F86"/>
    <w:multiLevelType w:val="hybridMultilevel"/>
    <w:tmpl w:val="B3F689E0"/>
    <w:lvl w:ilvl="0" w:tplc="450E7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5667B"/>
    <w:multiLevelType w:val="hybridMultilevel"/>
    <w:tmpl w:val="E8F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02A7"/>
    <w:multiLevelType w:val="hybridMultilevel"/>
    <w:tmpl w:val="17DE084A"/>
    <w:lvl w:ilvl="0" w:tplc="5E02E08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5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4"/>
    <w:rsid w:val="000F01F3"/>
    <w:rsid w:val="000F3813"/>
    <w:rsid w:val="00121371"/>
    <w:rsid w:val="002F12BB"/>
    <w:rsid w:val="00317381"/>
    <w:rsid w:val="00337175"/>
    <w:rsid w:val="00387C23"/>
    <w:rsid w:val="003F2C10"/>
    <w:rsid w:val="00517396"/>
    <w:rsid w:val="00535137"/>
    <w:rsid w:val="0058358D"/>
    <w:rsid w:val="005B351B"/>
    <w:rsid w:val="005E2BE1"/>
    <w:rsid w:val="006124E6"/>
    <w:rsid w:val="00625E28"/>
    <w:rsid w:val="006F4C27"/>
    <w:rsid w:val="00764281"/>
    <w:rsid w:val="0078188D"/>
    <w:rsid w:val="007C13AE"/>
    <w:rsid w:val="007D29B2"/>
    <w:rsid w:val="008223BF"/>
    <w:rsid w:val="00854533"/>
    <w:rsid w:val="008A6B61"/>
    <w:rsid w:val="008B0162"/>
    <w:rsid w:val="008C095D"/>
    <w:rsid w:val="00936970"/>
    <w:rsid w:val="009819CA"/>
    <w:rsid w:val="00A0226C"/>
    <w:rsid w:val="00A226B5"/>
    <w:rsid w:val="00A86DD4"/>
    <w:rsid w:val="00A93D7B"/>
    <w:rsid w:val="00AF25D7"/>
    <w:rsid w:val="00BF5E25"/>
    <w:rsid w:val="00CF7338"/>
    <w:rsid w:val="00D5053B"/>
    <w:rsid w:val="00D75FA0"/>
    <w:rsid w:val="00D922C2"/>
    <w:rsid w:val="00DC367F"/>
    <w:rsid w:val="00E11B95"/>
    <w:rsid w:val="00E90B27"/>
    <w:rsid w:val="00EA2A4E"/>
    <w:rsid w:val="00EA6035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30F3"/>
  <w15:chartTrackingRefBased/>
  <w15:docId w15:val="{08D08D63-38B6-41D3-A5F4-040C00F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6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33"/>
  </w:style>
  <w:style w:type="paragraph" w:styleId="Stopka">
    <w:name w:val="footer"/>
    <w:basedOn w:val="Normalny"/>
    <w:link w:val="Stopka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33"/>
  </w:style>
  <w:style w:type="paragraph" w:customStyle="1" w:styleId="Default">
    <w:name w:val="Default"/>
    <w:rsid w:val="00D922C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FB33-EA4F-4106-B19C-4EBDDE8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4</cp:revision>
  <cp:lastPrinted>2020-01-16T09:41:00Z</cp:lastPrinted>
  <dcterms:created xsi:type="dcterms:W3CDTF">2022-02-21T10:34:00Z</dcterms:created>
  <dcterms:modified xsi:type="dcterms:W3CDTF">2022-02-21T10:38:00Z</dcterms:modified>
</cp:coreProperties>
</file>