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CF7B" w14:textId="77777777" w:rsidR="00160853" w:rsidRDefault="00160853" w:rsidP="00160853">
      <w:pPr>
        <w:spacing w:after="0" w:line="276" w:lineRule="auto"/>
        <w:jc w:val="right"/>
        <w:rPr>
          <w:rFonts w:cs="Calibri"/>
        </w:rPr>
      </w:pPr>
      <w:r>
        <w:rPr>
          <w:rFonts w:cs="Calibri"/>
          <w:bCs/>
        </w:rPr>
        <w:t>Załącznik nr 4 do SWZ</w:t>
      </w:r>
    </w:p>
    <w:p w14:paraId="4094952A" w14:textId="77777777" w:rsidR="002B5A19" w:rsidRDefault="002B5A19" w:rsidP="002B5A19">
      <w:pPr>
        <w:spacing w:line="312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</w:p>
    <w:p w14:paraId="1A240505" w14:textId="25EAED0B" w:rsidR="002B5A19" w:rsidRDefault="002B5A19" w:rsidP="002B5A19">
      <w:pPr>
        <w:spacing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Cs/>
          <w:sz w:val="24"/>
          <w:szCs w:val="24"/>
        </w:rPr>
        <w:t>P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>ostępowanie o udzielenie zamówienia publicznego</w:t>
      </w:r>
      <w:r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 xml:space="preserve">w trybie podstawowym bez przeprowadzania negocjacji </w:t>
      </w:r>
      <w:r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 xml:space="preserve">pn. </w:t>
      </w:r>
      <w:bookmarkStart w:id="0" w:name="_Hlk106957975"/>
      <w:r w:rsidRPr="0041112D">
        <w:rPr>
          <w:rFonts w:asciiTheme="majorHAnsi" w:hAnsiTheme="majorHAnsi" w:cstheme="majorHAnsi"/>
          <w:b/>
          <w:sz w:val="24"/>
          <w:szCs w:val="24"/>
        </w:rPr>
        <w:t xml:space="preserve">Dostawa sprzętu </w:t>
      </w:r>
      <w:r>
        <w:rPr>
          <w:rFonts w:asciiTheme="majorHAnsi" w:hAnsiTheme="majorHAnsi" w:cstheme="majorHAnsi"/>
          <w:b/>
          <w:sz w:val="24"/>
          <w:szCs w:val="24"/>
        </w:rPr>
        <w:t>i</w:t>
      </w:r>
      <w:r w:rsidRPr="0041112D">
        <w:rPr>
          <w:rFonts w:asciiTheme="majorHAnsi" w:hAnsiTheme="majorHAnsi" w:cstheme="majorHAnsi"/>
          <w:b/>
          <w:sz w:val="24"/>
          <w:szCs w:val="24"/>
        </w:rPr>
        <w:t>nformatycznego i oprogramowania dla Urzędu Miejskiego w Zdunach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1112D">
        <w:rPr>
          <w:rFonts w:asciiTheme="majorHAnsi" w:hAnsiTheme="majorHAnsi" w:cstheme="majorHAnsi"/>
          <w:b/>
          <w:sz w:val="24"/>
          <w:szCs w:val="24"/>
        </w:rPr>
        <w:t>w ramach realizacji projektu grantowego „Cyfrowa Gmina”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2E15213" w14:textId="77777777" w:rsidR="002B5A19" w:rsidRPr="0070357B" w:rsidRDefault="002B5A19" w:rsidP="002B5A19">
      <w:pPr>
        <w:spacing w:line="312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sygn.. GK.271.11.2023</w:t>
      </w:r>
    </w:p>
    <w:bookmarkEnd w:id="0"/>
    <w:p w14:paraId="24F98C0B" w14:textId="77777777" w:rsidR="00160853" w:rsidRDefault="00160853" w:rsidP="00160853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Opis przedmiotu zamówienia</w:t>
      </w:r>
    </w:p>
    <w:p w14:paraId="147E3F37" w14:textId="77777777" w:rsidR="00160853" w:rsidRDefault="00160853" w:rsidP="00160853">
      <w:pPr>
        <w:spacing w:line="276" w:lineRule="auto"/>
        <w:jc w:val="center"/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</w:pP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Z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adani</w:t>
      </w: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e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4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</w:p>
    <w:p w14:paraId="4A4BE3D1" w14:textId="77777777" w:rsidR="00160853" w:rsidRDefault="00160853" w:rsidP="00160853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</w:t>
      </w:r>
      <w:r w:rsidRPr="0041112D">
        <w:rPr>
          <w:rFonts w:asciiTheme="majorHAnsi" w:hAnsiTheme="majorHAnsi" w:cstheme="majorHAnsi"/>
          <w:b/>
          <w:sz w:val="24"/>
          <w:szCs w:val="24"/>
        </w:rPr>
        <w:t>akup i dostaw</w:t>
      </w:r>
      <w:r>
        <w:rPr>
          <w:rFonts w:asciiTheme="majorHAnsi" w:hAnsiTheme="majorHAnsi" w:cstheme="majorHAnsi"/>
          <w:b/>
          <w:sz w:val="24"/>
          <w:szCs w:val="24"/>
        </w:rPr>
        <w:t>a</w:t>
      </w:r>
      <w:r w:rsidRPr="0041112D">
        <w:rPr>
          <w:rFonts w:asciiTheme="majorHAnsi" w:hAnsiTheme="majorHAnsi" w:cstheme="majorHAnsi"/>
          <w:b/>
          <w:sz w:val="24"/>
          <w:szCs w:val="24"/>
        </w:rPr>
        <w:t xml:space="preserve"> serwera baz danych</w:t>
      </w:r>
      <w:r>
        <w:rPr>
          <w:rFonts w:asciiTheme="majorHAnsi" w:hAnsiTheme="majorHAnsi" w:cstheme="majorHAnsi"/>
          <w:b/>
          <w:sz w:val="24"/>
          <w:szCs w:val="24"/>
        </w:rPr>
        <w:t xml:space="preserve"> – 1 szt.</w:t>
      </w:r>
    </w:p>
    <w:tbl>
      <w:tblPr>
        <w:tblW w:w="15026" w:type="dxa"/>
        <w:tblInd w:w="-43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6662"/>
        <w:gridCol w:w="6662"/>
      </w:tblGrid>
      <w:tr w:rsidR="00160853" w:rsidRPr="009424BC" w14:paraId="6BC62F63" w14:textId="77777777" w:rsidTr="00160853">
        <w:trPr>
          <w:trHeight w:val="12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FA3AA" w14:textId="77777777" w:rsidR="00160853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Specyfikacja </w:t>
            </w:r>
          </w:p>
          <w:p w14:paraId="41E68953" w14:textId="77777777" w:rsidR="00160853" w:rsidRPr="009424BC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sprzętowa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F0374" w14:textId="77777777" w:rsidR="00160853" w:rsidRPr="009424BC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Minimalne parametry techniczne wymagane przez Zamawiającego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A44BDC" w14:textId="77777777" w:rsidR="00160853" w:rsidRPr="002866A8" w:rsidRDefault="00160853" w:rsidP="00160853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Producent, marka typ, model oraz p</w:t>
            </w: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arametry techniczne sprzętu oferowanego przez Wykonawcę</w:t>
            </w:r>
          </w:p>
          <w:p w14:paraId="6BFF2524" w14:textId="77777777" w:rsidR="00160853" w:rsidRPr="00160853" w:rsidRDefault="00160853" w:rsidP="0016085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(należy wypełnić zgodnie z zasadami wskazanymi </w:t>
            </w:r>
          </w:p>
          <w:p w14:paraId="3640B756" w14:textId="77777777" w:rsidR="00160853" w:rsidRPr="009C7884" w:rsidRDefault="00160853" w:rsidP="001608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w rozdziale </w:t>
            </w:r>
            <w:r w:rsidR="00D2498A">
              <w:rPr>
                <w:rFonts w:eastAsia="Times New Roman" w:cs="Calibri"/>
                <w:color w:val="00000A"/>
                <w:sz w:val="20"/>
                <w:szCs w:val="20"/>
              </w:rPr>
              <w:t>IV</w:t>
            </w: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 ust. 1</w:t>
            </w:r>
            <w:r w:rsidR="00D2498A">
              <w:rPr>
                <w:rFonts w:eastAsia="Times New Roman" w:cs="Calibri"/>
                <w:color w:val="00000A"/>
                <w:sz w:val="20"/>
                <w:szCs w:val="20"/>
              </w:rPr>
              <w:t>4</w:t>
            </w: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 SWZ)</w:t>
            </w:r>
          </w:p>
        </w:tc>
      </w:tr>
      <w:tr w:rsidR="00160853" w:rsidRPr="009424BC" w14:paraId="60959BB4" w14:textId="77777777" w:rsidTr="00160853">
        <w:trPr>
          <w:trHeight w:val="1827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4DE4E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11B33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Obudowa 1U</w:t>
            </w:r>
          </w:p>
          <w:p w14:paraId="039D243C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Obudowa serwerowa do montażu w szafie RACK 19" wraz z wysuwanymi szynami dedykowanymi do tego urządzenia przez producenta serwera. Wbudowany czujnik otwarcia obudowy współpracujący z BIOS i kartą zarządzającą. Obudowa powinna posiadać dodatkowy przedni panel zamykany na klucz, chroniący dyski twarde przed nieuprawnionym wyjęciem z serwera.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83C7D2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7B61E1A0" w14:textId="77777777" w:rsidTr="00160853">
        <w:trPr>
          <w:trHeight w:val="728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2F1E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Płyta główna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36CDC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Płyta główna obsługująca co najmniej jeden procesor i co najmniej  4 sloty na pamięć taktowaną przynajmniej z częstotliwością 3200MT/s przy użyciu odpowiednich procesorów. Płyta główna musi być zaprojektowana przez producenta serwera i oznaczona jego znakiem firmowym. Zintegrowany z płytą główną moduł TPM w wersji co najmniej 2.0. Płyta główna powinna obsługiwać do 128GB pamięci RAM.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642164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2793A9DC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9B155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Chipset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4ED9B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Dedykowany przez producenta procesora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0C4A85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57D4F3E1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812B8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306B7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Procesor typu skalowalnego posiadające co najmniej 4 rdzeni działający co najmniej z częstotliwością 2.8GHz lub równoważny osiągający w teście Passmark dostępnym na stronie</w:t>
            </w:r>
            <w:hyperlink r:id="rId7">
              <w:r w:rsidRPr="00635D18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 </w:t>
              </w:r>
            </w:hyperlink>
            <w:hyperlink r:id="rId8">
              <w:r w:rsidRPr="00635D18">
                <w:rPr>
                  <w:rFonts w:asciiTheme="minorHAnsi" w:eastAsia="Times New Roman" w:hAnsiTheme="minorHAnsi" w:cstheme="minorHAnsi"/>
                  <w:sz w:val="20"/>
                  <w:szCs w:val="20"/>
                  <w:u w:val="single"/>
                </w:rPr>
                <w:t>https://www.cpubenchmark.net/</w:t>
              </w:r>
            </w:hyperlink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wynik nie mniejszy niż 8 000 pkt.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– dołączyć potwierdzenie do oferty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C58D93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D2498A" w14:paraId="07EEF065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CD06A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RAM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42588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Min.32GB DDR4 UDIMM 3200MT/s.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50C6FE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60853" w:rsidRPr="00D2498A" w14:paraId="64490CDF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8F861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Zabezpieczenia pamięci RAM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D8917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Memory Health Check, Memory Page Retire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7107E8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60853" w:rsidRPr="009424BC" w14:paraId="481D2FF8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ACB0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Gniazda PCIe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0C86E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minimum dwa sloty PCIe x16 generacji 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E624C3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70A586B5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622EC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Interfejsy sieciowe/FC/SAS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68BCE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rozbudowy o dwa interfejsy sieciowe 10Gb Ethernet. Na płycie głównej powinna być zainstalowana dwuportowa karta sieciowa 1GbE. Karta nie może zajmować slotu PCIe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9E3009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176BC897" w14:textId="77777777" w:rsidTr="00160853">
        <w:trPr>
          <w:trHeight w:val="42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CBDC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Dyski twarde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28560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Zainstalowane dwa dyski min. 2TB HDD. Możliwość zainstalowania dedykowanego modułu dla hypervisora wirtualizacyjnego, wyposażonego w nośniki typu flash o pojemności min. 64GB, z możliwoscią konfiguracji zabezpieczenia synchronizacji pomiędzy nośnikami z poziomu BIOS serwera, rozwiązanie nie może powodować zmiejszenia ilości wnęk na dyski twarde.</w:t>
            </w:r>
          </w:p>
          <w:p w14:paraId="4EF36E2B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instalacji dwóch dysków hot-swap z możliwością konfiguracji RAID 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D64D99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4FB38E17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B12D0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Kontroler RAID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D73C0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Sprzętowy kontroler dyskowy PCI-E, możliwe konfiguracje poziomów RAID: 0,1,10.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1E83D1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6C43C062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E5CB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Wbudowane porty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263A0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min. port USB 2.0 oraz port USB 3.0, port VGA/D-SUB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D4EAE1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3DAD0726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592C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Video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1EAA3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Zintegrowana karta graficzna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536094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3B0EEF97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2089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Zasilacze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4F88C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Zasilacz min 450W.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BFBEFE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75DC1DDD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A3B1D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A9768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wyłączenia w BIOS funkcji przycisku zasilania. BIOS ma możliwość przejścia do bezpiecznego trybu rozruchowego z możliwością zarządzania blokadą zasilania, panelem sterowania oraz zmianą hasła. Wbudowany czujnik otwarcia obudowy współpracujący z BIOS i kartą zarządzającą. Moduł TPM 2.0 v3. Możliwość dynamicznego włączania i wyłączania portów USB na obudowie – bez potrzeby restartu serwera. Możliwość wymazania danych ze znajdujących się dysków wewnątrz serwera – niezależne od zainstalowanego systemu operacyjnego, uruchamiane z poziomu zarządzania serwerem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DF62BF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1E38D237" w14:textId="77777777" w:rsidTr="00160853">
        <w:trPr>
          <w:trHeight w:val="1601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9761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Karta Zarządzania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633E2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zainstalowania niezależnej karty zarządzającej od zainstalowanego na serwerze systemu operacyjnego posiadającej dedykowany port RJ-45 Gigabit Ethernet umożliwiającej: </w:t>
            </w:r>
          </w:p>
          <w:p w14:paraId="77A16886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zdalny dostęp do graficznego interfejsu Web karty zarządzającej </w:t>
            </w:r>
          </w:p>
          <w:p w14:paraId="0633CD9A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szyfrowane połączenie (TLS) oraz autentykacje i autoryzację użytkownika </w:t>
            </w:r>
          </w:p>
          <w:p w14:paraId="0C63363C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podmontowania zdalnych wirtualnych napędów </w:t>
            </w:r>
          </w:p>
          <w:p w14:paraId="5524527E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wirtualną konsolę z dostępem do myszy, klawiatury </w:t>
            </w:r>
          </w:p>
          <w:p w14:paraId="6D7D9C8A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wsparcie dla IPv6 </w:t>
            </w:r>
          </w:p>
          <w:p w14:paraId="06EB4223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wsparcie dla SNMP; IPMI2.0, VLAN tagging, SSH</w:t>
            </w:r>
          </w:p>
          <w:p w14:paraId="0A54F0B1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zdalnego monitorowania w czasie rzeczywistym poboru prądu przez serwer, dane historyczne powinny być dostępne przez min. 7 dni wstecz. </w:t>
            </w:r>
          </w:p>
          <w:p w14:paraId="77A25DB6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zdalnego ustawienia limitu poboru prądu przez konkretny serwer </w:t>
            </w:r>
          </w:p>
          <w:p w14:paraId="2AF1FDCA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integracja z Active Directory </w:t>
            </w:r>
          </w:p>
          <w:p w14:paraId="20A1ECCD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obsługi przez ośmiu administratorów jednocześnie </w:t>
            </w:r>
          </w:p>
          <w:p w14:paraId="7F0633B5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Wsparcie dla automatycznej rejestracji DNS </w:t>
            </w:r>
          </w:p>
          <w:p w14:paraId="2BFAB2A6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wsparcie dla LLDP</w:t>
            </w:r>
          </w:p>
          <w:p w14:paraId="4BA44293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wysyłanie do administratora maila z powiadomieniem o awarii lub zmianie konfiguracji sprzętowej </w:t>
            </w:r>
          </w:p>
          <w:p w14:paraId="779AEB0C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podłączenia lokalnego poprzez złącze RS-232. </w:t>
            </w:r>
          </w:p>
          <w:p w14:paraId="0D382FE9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zarządzania bezpośredniego poprzez złącze microUSB umieszczone na froncie obudowy. </w:t>
            </w:r>
          </w:p>
          <w:p w14:paraId="3F92BD8F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Monitorowanie zużycia dysków SSD </w:t>
            </w:r>
          </w:p>
          <w:p w14:paraId="7B7EEE76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monitorowania z jednej konsoli min. 100 serwerami fizycznymi, </w:t>
            </w:r>
          </w:p>
          <w:p w14:paraId="4F8F2B10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Automatyczne zgłaszanie alertów do centrum serwisowego producenta </w:t>
            </w:r>
          </w:p>
          <w:p w14:paraId="4273EAF1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Automatyczne update firmware dla wszystkich komponentów serwera </w:t>
            </w:r>
          </w:p>
          <w:p w14:paraId="7408E921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przywrócenia poprzednich wersji firmware </w:t>
            </w:r>
          </w:p>
          <w:p w14:paraId="14E47F11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eksportu eksportu/importu konfiguracji (ustawienie karty zarządzającej, BIOSu, kart sieciowych, HBA oraz konfiguracji kontrolera RAID) serwera do pliku XML lub JSON </w:t>
            </w:r>
          </w:p>
          <w:p w14:paraId="1CEB6E31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zaimportowania ustawień, poprzez bezpośrednie podłączenie plików konfiguracyjnych</w:t>
            </w:r>
          </w:p>
          <w:p w14:paraId="0EEF1E6D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Automatyczne tworzenie kopii ustawień serwera w oparciu o harmonogram. </w:t>
            </w:r>
          </w:p>
          <w:p w14:paraId="066F0029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wykrywania odchyleń konfiguracji na poziomie konfiguracji UEFI oraz wersji firmware serwera</w:t>
            </w:r>
          </w:p>
          <w:p w14:paraId="6B65E016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Serwer musi posiadać możliwość dostępu bezpośredniego poprzez urządzenia mobilne - serwer musi posiadać możliwość konfiguracji oraz monitoringu najważniejszych komponentów serwera przy użyciu dedykowanej aplikacji mobilnej min. (Android/ Apple iOS) przy użyciu jednego z protokołów BLE lub WIFI. </w:t>
            </w:r>
          </w:p>
          <w:p w14:paraId="3E5298DD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BF2D48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5EA863C0" w14:textId="77777777" w:rsidTr="00160853">
        <w:trPr>
          <w:trHeight w:val="326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53E29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Certyfikaty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E5B85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Serwer musi być wyprodukowany zgodnie z normą ISO-9001. Serwer musi posiadać deklaracja CE. Urządzenia wyprodukowane są przez producenta, zgodnie z normą PN-EN ISO 50001 lub równoważny certyfikat producenta o stosowaniu w fabrykach polityki zarządzania energią, która jest zgodna z obowiązującymi przepisami na terenie Unii Europejskiej.</w:t>
            </w:r>
          </w:p>
          <w:p w14:paraId="1559F91A" w14:textId="77777777" w:rsidR="00160853" w:rsidRPr="00635D18" w:rsidRDefault="00160853" w:rsidP="00EB7897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Oferowany serwer musi znajdować się na liście Windows Server Catalog i posiadać status „Certified for Windows” dla systemów Microsoft Windows 2019 x64, Microsoft Windows 2022 x64 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B6109F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33E9911F" w14:textId="77777777" w:rsidTr="00160853">
        <w:trPr>
          <w:trHeight w:val="1449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9B3B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Dokumentacja użytkownika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B2883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Zamawiający wymaga dokumentacji w języku polskim lub angi</w:t>
            </w:r>
            <w:r w:rsidRPr="00635D18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e</w:t>
            </w: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lskim.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ADE9A8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743AC99F" w14:textId="77777777" w:rsidTr="00160853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129DB" w14:textId="77777777" w:rsidR="00160853" w:rsidRPr="00635D18" w:rsidRDefault="00160853" w:rsidP="00EB7897">
            <w:pPr>
              <w:spacing w:line="240" w:lineRule="auto"/>
              <w:ind w:firstLine="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Warunki gwarancji</w:t>
            </w:r>
          </w:p>
          <w:p w14:paraId="6A5F76FF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4F691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Minimum 3-letnia gwarancja producenta, Czas reakcji serwisu - do końca następnego dnia roboczego.</w:t>
            </w:r>
          </w:p>
          <w:p w14:paraId="1B540207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Serwis urządzeń musi być realizowany przez Producenta lub Autoryzowanego Partnera Dedykowany portal techniczny producenta, umożliwiający Zamawiającemu zgłaszanie awarii oraz samodzielne zamawianie zamiennych komponentów.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00DE8902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D2498A" w14:paraId="15DAF9FA" w14:textId="77777777" w:rsidTr="00160853">
        <w:trPr>
          <w:trHeight w:val="1359"/>
        </w:trPr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C5F0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System operacyjny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739DE" w14:textId="77777777" w:rsidR="00160853" w:rsidRPr="00160853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Windows Server 2019 Essentials lub równoważny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393BD89" w14:textId="77777777" w:rsidR="00160853" w:rsidRPr="00160853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60853" w:rsidRPr="00D2498A" w14:paraId="7E495231" w14:textId="77777777" w:rsidTr="00160853">
        <w:trPr>
          <w:trHeight w:val="1359"/>
        </w:trPr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B10F" w14:textId="77777777" w:rsidR="00160853" w:rsidRPr="00635D18" w:rsidRDefault="00160853" w:rsidP="00EB7897">
            <w:pPr>
              <w:spacing w:line="240" w:lineRule="auto"/>
              <w:ind w:firstLine="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Dodatkowe oprogramowanie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939A2" w14:textId="77777777" w:rsidR="00160853" w:rsidRPr="00160853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SQL Server 2022 Standard Edition lub równoważny</w:t>
            </w:r>
          </w:p>
          <w:p w14:paraId="1624C3A3" w14:textId="77777777" w:rsidR="00160853" w:rsidRPr="00160853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SQL Server 2022 - 1 User CAL lub równoważny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B71F825" w14:textId="77777777" w:rsidR="00160853" w:rsidRPr="00160853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5DE32F30" w14:textId="77777777" w:rsidR="00160853" w:rsidRPr="00160853" w:rsidRDefault="00160853" w:rsidP="00160853">
      <w:pPr>
        <w:spacing w:line="276" w:lineRule="auto"/>
        <w:jc w:val="center"/>
        <w:rPr>
          <w:rFonts w:eastAsia="Times New Roman" w:cs="Calibri"/>
          <w:color w:val="00000A"/>
          <w:sz w:val="20"/>
          <w:szCs w:val="20"/>
          <w:lang w:val="en-US"/>
        </w:rPr>
      </w:pPr>
    </w:p>
    <w:p w14:paraId="6F963B59" w14:textId="77777777" w:rsidR="00160853" w:rsidRPr="00160853" w:rsidRDefault="00160853" w:rsidP="00160853">
      <w:pPr>
        <w:ind w:firstLine="708"/>
        <w:jc w:val="center"/>
        <w:rPr>
          <w:b/>
          <w:lang w:val="en-US"/>
        </w:rPr>
      </w:pPr>
      <w:r w:rsidRPr="00160853">
        <w:rPr>
          <w:b/>
          <w:lang w:val="en-US"/>
        </w:rPr>
        <w:t>PARAMETRY RÓWNOWAŻNOŚCI DLA WINDOWS SERWER 2019 ESSENTIALS i SQL Server 2022 Standard</w:t>
      </w:r>
    </w:p>
    <w:p w14:paraId="716FA949" w14:textId="77777777" w:rsidR="00160853" w:rsidRPr="00D3496A" w:rsidRDefault="00160853" w:rsidP="00160853">
      <w:pPr>
        <w:ind w:firstLine="708"/>
        <w:jc w:val="center"/>
        <w:rPr>
          <w:b/>
        </w:rPr>
      </w:pPr>
      <w:r w:rsidRPr="00D3496A">
        <w:rPr>
          <w:b/>
        </w:rPr>
        <w:lastRenderedPageBreak/>
        <w:t>Zamawiający powyżej  wskazał nazwę wymaganego oprogramowania  do obsługi serwera baz danych, jednocześnie Zamawiający dopuszcza oprogramowanie równoważne spełniające następujące parametry  równoważności:</w:t>
      </w:r>
    </w:p>
    <w:p w14:paraId="63BE3B58" w14:textId="77777777" w:rsidR="00160853" w:rsidRDefault="00160853" w:rsidP="00160853">
      <w:pPr>
        <w:jc w:val="center"/>
      </w:pPr>
      <w:r w:rsidRPr="003F0355">
        <w:rPr>
          <w:b/>
          <w:u w:val="single"/>
        </w:rPr>
        <w:t>W przypadku zaoferowania oprogramowania równoważnego</w:t>
      </w:r>
      <w:r>
        <w:rPr>
          <w:b/>
          <w:u w:val="single"/>
        </w:rPr>
        <w:t>,</w:t>
      </w:r>
      <w:r w:rsidRPr="00D3496A">
        <w:rPr>
          <w:b/>
        </w:rPr>
        <w:t xml:space="preserve"> Wykonawca zobowiązany jest wypełnić poniższą tabelę</w:t>
      </w:r>
      <w:r w:rsidRPr="00FE617A">
        <w:t>(w przeciwnym wypadku tabela może pozostać niewypełniona).</w:t>
      </w:r>
    </w:p>
    <w:p w14:paraId="13F7997B" w14:textId="77777777" w:rsidR="00160853" w:rsidRDefault="00160853" w:rsidP="00160853">
      <w:pPr>
        <w:jc w:val="center"/>
      </w:pPr>
    </w:p>
    <w:p w14:paraId="1CC7B67D" w14:textId="77777777" w:rsidR="00160853" w:rsidRPr="00FE617A" w:rsidRDefault="00160853" w:rsidP="00160853">
      <w:pPr>
        <w:jc w:val="center"/>
        <w:rPr>
          <w:b/>
        </w:rPr>
      </w:pPr>
    </w:p>
    <w:p w14:paraId="34B092BB" w14:textId="77777777" w:rsidR="00160853" w:rsidRDefault="00160853" w:rsidP="00160853">
      <w:pPr>
        <w:spacing w:after="0" w:line="276" w:lineRule="auto"/>
        <w:ind w:hanging="2124"/>
        <w:jc w:val="center"/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2696"/>
        <w:gridCol w:w="5812"/>
        <w:gridCol w:w="5946"/>
      </w:tblGrid>
      <w:tr w:rsidR="00160853" w:rsidRPr="0079764D" w14:paraId="34922E53" w14:textId="77777777" w:rsidTr="007C3932">
        <w:tc>
          <w:tcPr>
            <w:tcW w:w="2696" w:type="dxa"/>
          </w:tcPr>
          <w:p w14:paraId="74F9E80C" w14:textId="77777777" w:rsidR="00160853" w:rsidRDefault="00160853" w:rsidP="0016085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Specyfikacja </w:t>
            </w:r>
          </w:p>
          <w:p w14:paraId="32480594" w14:textId="77777777" w:rsidR="00160853" w:rsidRPr="009424BC" w:rsidRDefault="00160853" w:rsidP="0016085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sprzętowa</w:t>
            </w:r>
          </w:p>
        </w:tc>
        <w:tc>
          <w:tcPr>
            <w:tcW w:w="5812" w:type="dxa"/>
            <w:vAlign w:val="center"/>
          </w:tcPr>
          <w:p w14:paraId="100AC3ED" w14:textId="77777777" w:rsidR="00160853" w:rsidRDefault="00160853" w:rsidP="001608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równoważności</w:t>
            </w:r>
          </w:p>
          <w:p w14:paraId="080B27AE" w14:textId="77777777" w:rsidR="00160853" w:rsidRPr="00160853" w:rsidRDefault="00160853" w:rsidP="0016085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/>
              </w:rPr>
            </w:pPr>
            <w:r w:rsidRPr="0016085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Oferowane oprogramowanie równoważne musi spełniać następujące parametry</w:t>
            </w:r>
          </w:p>
        </w:tc>
        <w:tc>
          <w:tcPr>
            <w:tcW w:w="5946" w:type="dxa"/>
          </w:tcPr>
          <w:p w14:paraId="2EFDE3C0" w14:textId="77777777" w:rsidR="00160853" w:rsidRPr="00160853" w:rsidRDefault="00160853" w:rsidP="00160853">
            <w:pPr>
              <w:spacing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>P</w:t>
            </w:r>
            <w:r w:rsidRPr="00160853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>arametry techniczne sprzętu oferowanego przez Wykonawcę</w:t>
            </w:r>
          </w:p>
          <w:p w14:paraId="5D1716AA" w14:textId="77777777" w:rsidR="00160853" w:rsidRPr="00160853" w:rsidRDefault="00160853" w:rsidP="00160853">
            <w:pPr>
              <w:spacing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</w:pPr>
            <w:r w:rsidRPr="00160853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 xml:space="preserve">(należy wypełnić zgodnie z zasadami wskazanymi </w:t>
            </w:r>
          </w:p>
          <w:p w14:paraId="59CD5066" w14:textId="77777777" w:rsidR="00160853" w:rsidRPr="0079764D" w:rsidRDefault="00160853" w:rsidP="00160853">
            <w:pPr>
              <w:jc w:val="center"/>
              <w:rPr>
                <w:rFonts w:cstheme="minorHAnsi"/>
                <w:b/>
              </w:rPr>
            </w:pP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w rozdziale </w:t>
            </w:r>
            <w:r w:rsidR="00D2498A">
              <w:rPr>
                <w:rFonts w:eastAsia="Times New Roman" w:cs="Calibri"/>
                <w:color w:val="00000A"/>
                <w:sz w:val="20"/>
                <w:szCs w:val="20"/>
              </w:rPr>
              <w:t>4</w:t>
            </w: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 ust. 1</w:t>
            </w:r>
            <w:r w:rsidR="00D2498A">
              <w:rPr>
                <w:rFonts w:eastAsia="Times New Roman" w:cs="Calibri"/>
                <w:color w:val="00000A"/>
                <w:sz w:val="20"/>
                <w:szCs w:val="20"/>
              </w:rPr>
              <w:t>4</w:t>
            </w: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 SWZ)</w:t>
            </w:r>
          </w:p>
        </w:tc>
      </w:tr>
      <w:tr w:rsidR="00160853" w:rsidRPr="0079764D" w14:paraId="625D4DDD" w14:textId="77777777" w:rsidTr="00160853">
        <w:tc>
          <w:tcPr>
            <w:tcW w:w="2696" w:type="dxa"/>
          </w:tcPr>
          <w:p w14:paraId="6707F4C0" w14:textId="77777777" w:rsidR="00160853" w:rsidRPr="0079764D" w:rsidRDefault="00160853" w:rsidP="00160853">
            <w:pPr>
              <w:spacing w:line="276" w:lineRule="auto"/>
              <w:jc w:val="center"/>
              <w:rPr>
                <w:lang w:val="pl-PL"/>
              </w:rPr>
            </w:pPr>
            <w:r w:rsidRPr="0079764D">
              <w:rPr>
                <w:lang w:val="pl-PL"/>
              </w:rPr>
              <w:t>Producent oraz nazwa oprogramowania równoważnego</w:t>
            </w:r>
          </w:p>
        </w:tc>
        <w:tc>
          <w:tcPr>
            <w:tcW w:w="5812" w:type="dxa"/>
          </w:tcPr>
          <w:p w14:paraId="37455858" w14:textId="77777777" w:rsidR="00160853" w:rsidRPr="0079764D" w:rsidRDefault="00160853" w:rsidP="00160853">
            <w:pPr>
              <w:jc w:val="center"/>
              <w:rPr>
                <w:rFonts w:cstheme="minorHAnsi"/>
                <w:b/>
                <w:lang w:val="pl-PL"/>
              </w:rPr>
            </w:pPr>
          </w:p>
          <w:p w14:paraId="7A5B05B3" w14:textId="77777777" w:rsidR="00160853" w:rsidRPr="0079764D" w:rsidRDefault="00160853" w:rsidP="00160853">
            <w:pPr>
              <w:spacing w:line="276" w:lineRule="auto"/>
              <w:jc w:val="center"/>
              <w:rPr>
                <w:lang w:val="pl-PL"/>
              </w:rPr>
            </w:pPr>
            <w:r w:rsidRPr="0079764D">
              <w:rPr>
                <w:rFonts w:cstheme="minorHAnsi"/>
                <w:b/>
                <w:lang w:val="pl-PL"/>
              </w:rPr>
              <w:t>--------</w:t>
            </w:r>
          </w:p>
        </w:tc>
        <w:tc>
          <w:tcPr>
            <w:tcW w:w="5946" w:type="dxa"/>
          </w:tcPr>
          <w:p w14:paraId="10F6AD26" w14:textId="77777777" w:rsidR="00160853" w:rsidRDefault="00160853" w:rsidP="00160853">
            <w:pPr>
              <w:spacing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160853" w:rsidRPr="0079764D" w14:paraId="720F5C3B" w14:textId="77777777" w:rsidTr="00160853">
        <w:tc>
          <w:tcPr>
            <w:tcW w:w="2696" w:type="dxa"/>
          </w:tcPr>
          <w:p w14:paraId="308106EE" w14:textId="77777777" w:rsidR="00160853" w:rsidRPr="0079764D" w:rsidRDefault="00160853" w:rsidP="00160853">
            <w:pPr>
              <w:spacing w:line="276" w:lineRule="auto"/>
              <w:jc w:val="center"/>
              <w:rPr>
                <w:lang w:val="pl-PL"/>
              </w:rPr>
            </w:pPr>
            <w:r w:rsidRPr="0079764D">
              <w:rPr>
                <w:lang w:val="pl-PL"/>
              </w:rPr>
              <w:t>Parametry równoważności Windows Server</w:t>
            </w:r>
          </w:p>
        </w:tc>
        <w:tc>
          <w:tcPr>
            <w:tcW w:w="5812" w:type="dxa"/>
          </w:tcPr>
          <w:p w14:paraId="60F3A4A9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współpraca z procesorami o architekturze x86-64 </w:t>
            </w:r>
          </w:p>
          <w:p w14:paraId="7E00DD2E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instalacja i użytkowanie aplikacji 32-bit. i 64-bit. na dostarczonym systemie operacyjnym </w:t>
            </w:r>
          </w:p>
          <w:p w14:paraId="02321C3C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w ramach dostarczonej licencji zawarta możliwość instalacji oprogramowania na serwerze wyposażonym w 2 rdzenie </w:t>
            </w:r>
          </w:p>
          <w:p w14:paraId="5771DA46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praca w roli serwera domeny Microsoft Active Directory </w:t>
            </w:r>
          </w:p>
          <w:p w14:paraId="45CF9D47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zawarta możliwość uruchomienia roli serwera DHCP, w tym funkcji klastrowania serwera DHCP (możliwość uruchomienia dwóch serwerów DHCP operujących jednocześnie na tej samej puli oferowanych adresów IP) </w:t>
            </w:r>
          </w:p>
          <w:p w14:paraId="48D18236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warta możliwość uruchomienia roli serwera DNS </w:t>
            </w:r>
          </w:p>
          <w:p w14:paraId="287D2E28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zawarta możliwość uruchomienia roli klienta i serwera czasu (NTP) </w:t>
            </w:r>
          </w:p>
          <w:p w14:paraId="65607485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zawarta możliwość uruchomienia roli serwera plików z uwierzytelnieniem i autoryzacją dostępu w domenie Microsoft Active Directory </w:t>
            </w:r>
          </w:p>
          <w:p w14:paraId="4062F0CD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 xml:space="preserve">zawarta możliwość uruchomienia roli serwera wydruku z uwierzytelnieniem i autoryzacją dostępu w domenie Microsoft Active Directory </w:t>
            </w:r>
          </w:p>
          <w:p w14:paraId="2EBCC430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zawarta możliwość uruchomienia roli serwera stron WWW </w:t>
            </w:r>
          </w:p>
          <w:p w14:paraId="1ABF2581" w14:textId="77777777" w:rsidR="00160853" w:rsidRPr="0079764D" w:rsidRDefault="00160853" w:rsidP="00160853">
            <w:pPr>
              <w:spacing w:line="276" w:lineRule="auto"/>
              <w:jc w:val="center"/>
              <w:rPr>
                <w:lang w:val="pl-PL"/>
              </w:rPr>
            </w:pPr>
            <w:r w:rsidRPr="0079764D">
              <w:rPr>
                <w:rFonts w:cstheme="minorHAnsi"/>
                <w:lang w:val="pl-PL"/>
              </w:rPr>
              <w:t xml:space="preserve">                                                                                           </w:t>
            </w:r>
          </w:p>
        </w:tc>
        <w:tc>
          <w:tcPr>
            <w:tcW w:w="5946" w:type="dxa"/>
          </w:tcPr>
          <w:p w14:paraId="320E84F4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160853" w:rsidRPr="0079764D" w14:paraId="2C10A292" w14:textId="77777777" w:rsidTr="00160853">
        <w:tc>
          <w:tcPr>
            <w:tcW w:w="2696" w:type="dxa"/>
          </w:tcPr>
          <w:p w14:paraId="52522A3C" w14:textId="77777777" w:rsidR="00160853" w:rsidRPr="0079764D" w:rsidRDefault="00160853" w:rsidP="00160853">
            <w:pPr>
              <w:spacing w:line="276" w:lineRule="auto"/>
              <w:jc w:val="center"/>
              <w:rPr>
                <w:lang w:val="pl-PL"/>
              </w:rPr>
            </w:pPr>
            <w:r w:rsidRPr="0079764D">
              <w:rPr>
                <w:lang w:val="pl-PL"/>
              </w:rPr>
              <w:t>Parametry równoważności SQL Server</w:t>
            </w:r>
          </w:p>
        </w:tc>
        <w:tc>
          <w:tcPr>
            <w:tcW w:w="5812" w:type="dxa"/>
          </w:tcPr>
          <w:p w14:paraId="352B21B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1) Możliwość wykorzystania SBD jako silnika relacyjnej bazy danych, analitycznej,</w:t>
            </w:r>
          </w:p>
          <w:p w14:paraId="52B9C5E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wielowymiarowej bazy danych, platformy bazodanowej dla wielu aplikacji. Powinien zawierać</w:t>
            </w:r>
          </w:p>
          <w:p w14:paraId="3BEAB10C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serwer raportów, narzędzia do: definiowania raportów, wykonywania analiz biznesowych,</w:t>
            </w:r>
          </w:p>
          <w:p w14:paraId="3596E9A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tworzenia procesów ETL.</w:t>
            </w:r>
          </w:p>
          <w:p w14:paraId="798FAD9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2) Zintegrowane narzędzia graficzne do zarządzania systemem – SBD musi dostarczać</w:t>
            </w:r>
          </w:p>
          <w:p w14:paraId="18049ECE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zintegrowane narzędzia do zarządzania i konfiguracji wszystkich usług wchodzących w skład</w:t>
            </w:r>
          </w:p>
          <w:p w14:paraId="044D0A00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systemu (baza relacyjna, usługi analityczne, usługi raportowe, usługi transformacji danych).</w:t>
            </w:r>
          </w:p>
          <w:p w14:paraId="1A85483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Narzędzia te muszą udostępniać możliwość tworzenia skryptów zarządzających systemem oraz</w:t>
            </w:r>
          </w:p>
          <w:p w14:paraId="063031E3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automatyzacji ich wykonywania.</w:t>
            </w:r>
          </w:p>
          <w:p w14:paraId="01F6850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3) Zarządzanie serwerem za pomocą skryptów - SBD musi udostępniać mechanizm zarządzania</w:t>
            </w:r>
          </w:p>
          <w:p w14:paraId="6959C31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systemem za pomocą uruchamianych z linii poleceń skryptów administracyjnych, które</w:t>
            </w:r>
          </w:p>
          <w:p w14:paraId="339E44FE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pozwolą zautomatyzować rutynowe czynności związane z zarządzaniem serwerem.</w:t>
            </w:r>
          </w:p>
          <w:p w14:paraId="59C98383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4) Dedykowana sesja administracyjna - SBD musi pozwalać na zdalne połączenie sesji</w:t>
            </w:r>
          </w:p>
          <w:p w14:paraId="22C71E1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administratora systemu bazy danych w sposób niezależny od normalnych sesji klientów.</w:t>
            </w:r>
          </w:p>
          <w:p w14:paraId="4BDB437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>5) Możliwość automatycznej aktualizacji systemu - SBD musi umożliwiać automatyczne ściąganie</w:t>
            </w:r>
          </w:p>
          <w:p w14:paraId="35B7C22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 instalację wszelkich poprawek producenta oprogramowania (redukowania zagrożeń</w:t>
            </w:r>
          </w:p>
          <w:p w14:paraId="65A16761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powodowanych przez znane luki w zabezpieczeniach oprogramowania).</w:t>
            </w:r>
          </w:p>
          <w:p w14:paraId="7C07DA10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6) SBD musi umożliwiać tworzenie klastrów niezawodnościowych.</w:t>
            </w:r>
          </w:p>
          <w:p w14:paraId="5445923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7) Wysoka dostępność - SBD musi posiadać mechanizm pozwalający na duplikację bazy danych</w:t>
            </w:r>
          </w:p>
          <w:p w14:paraId="0C084D3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między dwiema lokalizacjami (podstawowa i zapasowa) przy zachowaniu następujących cech:</w:t>
            </w:r>
          </w:p>
          <w:p w14:paraId="3587C22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bez specjalnego sprzętu (rozwiązanie tylko programowe oparte o sam SBD),</w:t>
            </w:r>
          </w:p>
          <w:p w14:paraId="343107D9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niezawodne powielanie danych w czasie rzeczywistym (potwierdzone transakcje</w:t>
            </w:r>
          </w:p>
          <w:p w14:paraId="5806DEF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bazodanowe),</w:t>
            </w:r>
          </w:p>
          <w:p w14:paraId="1AA42FA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klienci bazy danych automatycznie korzystają z bazy zapasowej w przypadku awarii bazy</w:t>
            </w:r>
          </w:p>
          <w:p w14:paraId="27C4DA8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podstawowej bez zmian w aplikacjach,</w:t>
            </w:r>
          </w:p>
          <w:p w14:paraId="46015EF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8) Kompresja kopii zapasowych - SBD musi pozwalać na kompresję kopii zapasowej danych</w:t>
            </w:r>
          </w:p>
          <w:p w14:paraId="3DA4FA5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(backup) w trakcie jej tworzenia. Powinna to być cecha SBD niezależna od funkcji systemu</w:t>
            </w:r>
          </w:p>
          <w:p w14:paraId="7D25399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operacyjnego ani od sprzętowego rozwiązania archiwizacji danych.</w:t>
            </w:r>
          </w:p>
          <w:p w14:paraId="182043F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9) Możliwość automatycznego szyfrowania kopii bezpieczeństwa bazy danych przy użyciu między</w:t>
            </w:r>
          </w:p>
          <w:p w14:paraId="28DBD4AA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innymi certyfikatów lub kluczy asymetrycznych. System szyfrowania musi wspierać</w:t>
            </w:r>
          </w:p>
          <w:p w14:paraId="147A3C40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następujące algorytmy szyfrujące: AES 128. AES 192, AES 256, Triple DES. Mechanizm ten nie</w:t>
            </w:r>
          </w:p>
          <w:p w14:paraId="30662976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>może wymagać konieczności uprzedniego szyfrowania bazy danych.</w:t>
            </w:r>
          </w:p>
          <w:p w14:paraId="5A514EE9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10) Możliwość zastosowania reguł bezpieczeństwa obowiązujących w przedsiębiorstwie - wsparcie</w:t>
            </w:r>
          </w:p>
          <w:p w14:paraId="7C4D1F93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dla zdefiniowanej w przedsiębiorstwie polityki bezpieczeństwa (np. automatyczne</w:t>
            </w:r>
          </w:p>
          <w:p w14:paraId="35C14FE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wymuszanie zmiany haseł użytkowników, zastosowanie mechanizmu weryfikacji</w:t>
            </w:r>
          </w:p>
          <w:p w14:paraId="542404F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dostatecznego poziomu komplikacji haseł wprowadzanych przez użytkowników), możliwość</w:t>
            </w:r>
          </w:p>
          <w:p w14:paraId="04DEAD8E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zintegrowania uwierzytelniania użytkowników z Active Directory.</w:t>
            </w:r>
          </w:p>
          <w:p w14:paraId="6DB4DACE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11) Możliwość definiowania reguł administracyjnych dla serwera lub grupy serwerów - SBD musi</w:t>
            </w:r>
          </w:p>
          <w:p w14:paraId="4E3AEFD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mieć możliwość definiowania reguł wymuszanych przez system i zarządzania nimi. Przykładem</w:t>
            </w:r>
          </w:p>
          <w:p w14:paraId="46101799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takiej reguły jest uniemożliwienie użytkownikom tworzenia obiektów baz danych</w:t>
            </w:r>
          </w:p>
          <w:p w14:paraId="72661229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o zdefiniowanych przez administratora szablonach nazw. Dodatkowo wymagana jest</w:t>
            </w:r>
          </w:p>
          <w:p w14:paraId="50D396F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możliwość rejestracji i raportowania niezgodności działającego systemu ze wskazanymi</w:t>
            </w:r>
          </w:p>
          <w:p w14:paraId="60538D7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regułami, bez wpływu na jego funkcjonalność.</w:t>
            </w:r>
          </w:p>
          <w:p w14:paraId="00672B96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12) Rejestrowanie zdarzeń silnika bazy danych w czasie rzeczywistym - SBD musi posiadać</w:t>
            </w:r>
          </w:p>
          <w:p w14:paraId="10FFB7B1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możliwość rejestracji zdarzeń na poziomie silnika bazy danych w czasie rzeczywistym w celach</w:t>
            </w:r>
          </w:p>
          <w:p w14:paraId="3D36BC7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diagnostycznych, bez ujemnego wpływu na wydajność rozwiązania, pozwalać na selektywne</w:t>
            </w:r>
          </w:p>
          <w:p w14:paraId="77EA290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wybieranie rejestrowanych zdarzeń. Wymagana jest rejestracja zdarzeń:</w:t>
            </w:r>
          </w:p>
          <w:p w14:paraId="6D343214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odczyt/zapis danych na dysku dla zapytań wykonywanych do baz danych (w celu</w:t>
            </w:r>
          </w:p>
          <w:p w14:paraId="067208F4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>wychwytywania zapytań znacząco obciążających system),</w:t>
            </w:r>
          </w:p>
          <w:p w14:paraId="5FCE2A7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wykonanie zapytania lub procedury trwające dłużej niż zdefiniowany czas (wychwytywanie</w:t>
            </w:r>
          </w:p>
          <w:p w14:paraId="03400F6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długo trwających zapytań lub procedur),</w:t>
            </w:r>
          </w:p>
          <w:p w14:paraId="4B9C3CD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para zdarzeń zablokowanie/zwolnienie blokady na obiekcie bazy (w celu wychwytywania</w:t>
            </w:r>
          </w:p>
          <w:p w14:paraId="43D6A3BA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długotrwałych blokad obiektów bazy).</w:t>
            </w:r>
          </w:p>
          <w:p w14:paraId="1C53FA14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13) Zarządzanie pustymi wartościami w bazie danych - SBD musi efektywnie zarządzać pustymi</w:t>
            </w:r>
          </w:p>
          <w:p w14:paraId="5CAD8D2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wartościami przechowywanymi w bazie danych (NULL). W szczególności puste wartości</w:t>
            </w:r>
          </w:p>
          <w:p w14:paraId="090C303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wprowadzone do bazy danych powinny zajmować minimalny obszar pamięci.</w:t>
            </w:r>
          </w:p>
          <w:p w14:paraId="33A25FC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14) Definiowanie nowych typów danych - SBD musi umożliwiać definiowanie nowych typów</w:t>
            </w:r>
          </w:p>
          <w:p w14:paraId="77425A0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danych wraz z definicją specyficznej dla tych typów danych logiki operacji. Jeśli np.</w:t>
            </w:r>
          </w:p>
          <w:p w14:paraId="47845924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zdefiniujemy typ do przechowywania danych hierarchicznych, to obiekty tego typu powinny</w:t>
            </w:r>
          </w:p>
          <w:p w14:paraId="3B5CA680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udostępnić operacje dostępu do „potomków” obiektu, „rodzica” itp. Logika operacji nowego</w:t>
            </w:r>
          </w:p>
          <w:p w14:paraId="6C6C4FF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typu danych powinna być implementowana w zaproponowanym przez Wykonawcę języku programowania. Nowe typy danych nie mogą być ograniczone wyłącznie do okrojenia typów</w:t>
            </w:r>
          </w:p>
          <w:p w14:paraId="1244C446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wbudowanych lub ich kombinacji.</w:t>
            </w:r>
          </w:p>
          <w:p w14:paraId="732A698C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15) Wsparcie dla technologii XML - SBD musi udostępniać mechanizmy składowania i obróbki</w:t>
            </w:r>
          </w:p>
          <w:p w14:paraId="3D2021E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danych w postaci struktur XML. W szczególności musi:</w:t>
            </w:r>
          </w:p>
          <w:p w14:paraId="14C2B441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udostępniać typ danych do przechowywania kompletnych dokumentów XML w jednym</w:t>
            </w:r>
          </w:p>
          <w:p w14:paraId="0C89E0B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polu tabeli,</w:t>
            </w:r>
          </w:p>
          <w:p w14:paraId="207E30FC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>- udostępniać mechanizm walidacji struktur XML-owych względem jednego lub wielu</w:t>
            </w:r>
          </w:p>
          <w:p w14:paraId="2429F3F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szablonów XSD,</w:t>
            </w:r>
          </w:p>
          <w:p w14:paraId="7881EC7A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udostępniać język zapytań do struktur XML,</w:t>
            </w:r>
          </w:p>
          <w:p w14:paraId="2B59EDAC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udostępniać język modyfikacji danych (DML) w strukturach XML (dodawanie, usuwanie</w:t>
            </w:r>
          </w:p>
          <w:p w14:paraId="33FFA1F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 modyfikację zawartości struktur XML),</w:t>
            </w:r>
          </w:p>
          <w:p w14:paraId="70F49F2C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udostępniać możliwość indeksowania struktur XML-owych w celu optymalizacji</w:t>
            </w:r>
          </w:p>
          <w:p w14:paraId="738B482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wykonywania zapytań.</w:t>
            </w:r>
          </w:p>
          <w:p w14:paraId="415BF309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16) Wsparcie dla danych przestrzennych - SBD musi zapewniać wsparcie dla geometrycznych</w:t>
            </w:r>
          </w:p>
          <w:p w14:paraId="7F876546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 geograficznych typów danych pozwalających w prosty sposób przechowywać i analizować</w:t>
            </w:r>
          </w:p>
          <w:p w14:paraId="084539C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informacje o lokalizacji obiektów, dróg i innych punktów orientacyjnych zlokalizowanych na</w:t>
            </w:r>
          </w:p>
          <w:p w14:paraId="62C71B41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kuli ziemskiej, a w szczególności:</w:t>
            </w:r>
          </w:p>
          <w:p w14:paraId="0B6D65C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zapewniać możliwość wykorzystywania szerokości i długości geograficznej do opisu</w:t>
            </w:r>
          </w:p>
          <w:p w14:paraId="7EE662F9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lokalizacji obiektów,</w:t>
            </w:r>
          </w:p>
          <w:p w14:paraId="676FE8E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oferować wiele metod, które pozwalają na łatwe operowanie kształtami czy bryłami,</w:t>
            </w:r>
          </w:p>
          <w:p w14:paraId="4B480A0A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testowanie ich wzajemnego ułożenia w układach współrzędnych oraz dokonywanie</w:t>
            </w:r>
          </w:p>
          <w:p w14:paraId="25B60D1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obliczeń takich wielkości, jak pola figur, odległości do punktu na linii, itp.,</w:t>
            </w:r>
          </w:p>
          <w:p w14:paraId="5420A43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obsługa geometrycznych i geograficznych typów danych powinna być dostępna z poziomu</w:t>
            </w:r>
          </w:p>
          <w:p w14:paraId="03498830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języka zapytań do systemu SBD,</w:t>
            </w:r>
          </w:p>
          <w:p w14:paraId="36FA4C9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typy danych geograficznych powinny być konstruowane na podstawie obiektów</w:t>
            </w:r>
          </w:p>
          <w:p w14:paraId="3B59FF33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wektorowych, określonych w formacie Well-Known Text (WKT) lub Well-Known Binary</w:t>
            </w:r>
          </w:p>
          <w:p w14:paraId="06A0220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>(WKB), (powinny być to m.in. takie typy obiektów jak: lokalizacja - punkt, seria punktów,</w:t>
            </w:r>
          </w:p>
          <w:p w14:paraId="4846C3A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seria punktów połączonych linią, zestaw wielokątów, itp.).</w:t>
            </w:r>
          </w:p>
          <w:p w14:paraId="5DCCDEB1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17) Możliwość tworzenia funkcji i procedur w innych językach programowania - SBD musi</w:t>
            </w:r>
          </w:p>
          <w:p w14:paraId="17882444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umożliwiać tworzenie procedur i funkcji z wykorzystaniem innych języków programowania, niż</w:t>
            </w:r>
          </w:p>
          <w:p w14:paraId="5CE3F0C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standardowo obsługiwany język zapytań danego SBD. System musi umożliwiać tworzenie</w:t>
            </w:r>
          </w:p>
          <w:p w14:paraId="2F983B30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 tych językach m.in. agregujących funkcji użytkownika oraz wyzwalaczy. Dodatkowo musi</w:t>
            </w:r>
          </w:p>
          <w:p w14:paraId="7E236BD0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udostępniać środowisko do debuggowania.</w:t>
            </w:r>
          </w:p>
          <w:p w14:paraId="2FEC006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18) Możliwość tworzenia rekursywnych zapytań do bazy danych - SBD musi udostępniać</w:t>
            </w:r>
          </w:p>
          <w:p w14:paraId="0BD924C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wbudowany mechanizm umożliwiający tworzenie rekursywnych zapytań do bazy danych bez</w:t>
            </w:r>
          </w:p>
          <w:p w14:paraId="24657FBA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potrzeby pisania specjalnych procedur i wywoływania ich w sposób rekurencyjny.</w:t>
            </w:r>
          </w:p>
          <w:p w14:paraId="64E1BF56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19) Obsługa błędów w kodzie zapytań - język zapytań i procedur w SBD musi umożliwiać</w:t>
            </w:r>
          </w:p>
          <w:p w14:paraId="43762BF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zastosowanie mechanizmu przechwytywania błędów wykonania procedury (na zasadzie bloku</w:t>
            </w:r>
          </w:p>
          <w:p w14:paraId="2782A2B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instrukcji TRY/CATCH) – tak jak w klasycznych językach programowania.</w:t>
            </w:r>
          </w:p>
          <w:p w14:paraId="59AA02FA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20) Raportowanie zależności między obiektami - SBD musi udostępniać informacje o wzajemnych</w:t>
            </w:r>
          </w:p>
          <w:p w14:paraId="6A41143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zależnościach między obiektami bazy danych.</w:t>
            </w:r>
          </w:p>
        </w:tc>
        <w:tc>
          <w:tcPr>
            <w:tcW w:w="5946" w:type="dxa"/>
          </w:tcPr>
          <w:p w14:paraId="5DB2B683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153992DC" w14:textId="77777777" w:rsidR="00160853" w:rsidRPr="00160853" w:rsidRDefault="00160853" w:rsidP="00160853">
      <w:pPr>
        <w:spacing w:after="200" w:line="276" w:lineRule="auto"/>
        <w:rPr>
          <w:rFonts w:eastAsia="Times New Roman" w:cs="Calibri"/>
          <w:color w:val="00000A"/>
          <w:sz w:val="20"/>
          <w:szCs w:val="20"/>
        </w:rPr>
      </w:pPr>
    </w:p>
    <w:p w14:paraId="5CC3B0E7" w14:textId="77777777" w:rsidR="00160853" w:rsidRPr="00160853" w:rsidRDefault="00160853" w:rsidP="00160853">
      <w:pPr>
        <w:spacing w:after="0" w:line="276" w:lineRule="auto"/>
        <w:rPr>
          <w:b/>
          <w:bCs/>
        </w:rPr>
      </w:pPr>
    </w:p>
    <w:p w14:paraId="5A66637C" w14:textId="77777777" w:rsidR="00160853" w:rsidRDefault="00160853" w:rsidP="00160853">
      <w:pPr>
        <w:spacing w:after="0" w:line="276" w:lineRule="auto"/>
        <w:ind w:left="2124" w:hanging="2124"/>
        <w:rPr>
          <w:b/>
          <w:bCs/>
        </w:rPr>
      </w:pPr>
    </w:p>
    <w:p w14:paraId="25037686" w14:textId="77777777" w:rsidR="001C31E0" w:rsidRDefault="001C31E0" w:rsidP="00160853">
      <w:pPr>
        <w:spacing w:after="0" w:line="276" w:lineRule="auto"/>
        <w:ind w:left="2124" w:hanging="212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</w:t>
      </w:r>
    </w:p>
    <w:p w14:paraId="10E6AA6E" w14:textId="77777777" w:rsidR="001C31E0" w:rsidRPr="00160853" w:rsidRDefault="001C31E0" w:rsidP="00160853">
      <w:pPr>
        <w:spacing w:after="0" w:line="276" w:lineRule="auto"/>
        <w:ind w:left="2124" w:hanging="212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  <w:vertAlign w:val="superscript"/>
        </w:rPr>
        <w:t>podpis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C24F6D4" w14:textId="77777777" w:rsidR="00160853" w:rsidRPr="00160853" w:rsidRDefault="00160853" w:rsidP="00160853">
      <w:pPr>
        <w:spacing w:after="0" w:line="276" w:lineRule="auto"/>
        <w:ind w:left="2124" w:hanging="2124"/>
      </w:pPr>
    </w:p>
    <w:p w14:paraId="311E1E0D" w14:textId="77777777" w:rsidR="00160853" w:rsidRPr="00160853" w:rsidRDefault="00160853" w:rsidP="00160853">
      <w:pPr>
        <w:spacing w:after="0" w:line="276" w:lineRule="auto"/>
        <w:ind w:left="2124" w:hanging="2124"/>
      </w:pPr>
    </w:p>
    <w:p w14:paraId="6B739616" w14:textId="77777777" w:rsidR="00160853" w:rsidRPr="00160853" w:rsidRDefault="00160853" w:rsidP="00160853"/>
    <w:p w14:paraId="4C51C121" w14:textId="77777777" w:rsidR="00160853" w:rsidRPr="00160853" w:rsidRDefault="00160853" w:rsidP="00160853"/>
    <w:p w14:paraId="776AE1A2" w14:textId="77777777" w:rsidR="00160853" w:rsidRPr="00160853" w:rsidRDefault="00160853"/>
    <w:sectPr w:rsidR="00160853" w:rsidRPr="00160853" w:rsidSect="00BB09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BAA8" w14:textId="77777777" w:rsidR="00AA556B" w:rsidRDefault="00AA556B">
      <w:pPr>
        <w:spacing w:after="0" w:line="240" w:lineRule="auto"/>
      </w:pPr>
      <w:r>
        <w:separator/>
      </w:r>
    </w:p>
  </w:endnote>
  <w:endnote w:type="continuationSeparator" w:id="0">
    <w:p w14:paraId="6C7A5FFD" w14:textId="77777777" w:rsidR="00AA556B" w:rsidRDefault="00AA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0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7DD6" w14:textId="77777777" w:rsidR="00BB09B4" w:rsidRDefault="002B5A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21FC" w14:textId="77777777" w:rsidR="00BB09B4" w:rsidRDefault="002B5A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CF72" w14:textId="77777777" w:rsidR="00BB09B4" w:rsidRDefault="002B5A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EB1A" w14:textId="77777777" w:rsidR="00AA556B" w:rsidRDefault="00AA556B">
      <w:pPr>
        <w:spacing w:after="0" w:line="240" w:lineRule="auto"/>
      </w:pPr>
      <w:r>
        <w:separator/>
      </w:r>
    </w:p>
  </w:footnote>
  <w:footnote w:type="continuationSeparator" w:id="0">
    <w:p w14:paraId="4B4D1404" w14:textId="77777777" w:rsidR="00AA556B" w:rsidRDefault="00AA5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5036" w14:textId="77777777" w:rsidR="00BB09B4" w:rsidRDefault="002B5A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1AEE" w14:textId="77777777" w:rsidR="00BB09B4" w:rsidRDefault="001C31E0" w:rsidP="00B1572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2BD1F0" wp14:editId="3B21BC87">
          <wp:simplePos x="0" y="0"/>
          <wp:positionH relativeFrom="column">
            <wp:posOffset>657225</wp:posOffset>
          </wp:positionH>
          <wp:positionV relativeFrom="paragraph">
            <wp:posOffset>-60960</wp:posOffset>
          </wp:positionV>
          <wp:extent cx="7343140" cy="6972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580" cy="6982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C2FD7F" w14:textId="77777777" w:rsidR="00BB09B4" w:rsidRDefault="002B5A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B498" w14:textId="77777777" w:rsidR="00BB09B4" w:rsidRDefault="002B5A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8128A"/>
    <w:multiLevelType w:val="hybridMultilevel"/>
    <w:tmpl w:val="D398FA9A"/>
    <w:lvl w:ilvl="0" w:tplc="6BFAB5EC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F90E3A"/>
    <w:multiLevelType w:val="hybridMultilevel"/>
    <w:tmpl w:val="03E84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0054">
    <w:abstractNumId w:val="1"/>
  </w:num>
  <w:num w:numId="2" w16cid:durableId="116478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53"/>
    <w:rsid w:val="00160853"/>
    <w:rsid w:val="001C31E0"/>
    <w:rsid w:val="002B5A19"/>
    <w:rsid w:val="00AA556B"/>
    <w:rsid w:val="00D2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A58E"/>
  <w15:chartTrackingRefBased/>
  <w15:docId w15:val="{537F4400-A68B-4F67-A33D-C8048FCD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853"/>
    <w:pPr>
      <w:suppressAutoHyphens/>
      <w:spacing w:line="256" w:lineRule="auto"/>
    </w:pPr>
    <w:rPr>
      <w:rFonts w:ascii="Calibri" w:eastAsia="SimSun" w:hAnsi="Calibri" w:cs="font48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160853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uiPriority w:val="99"/>
    <w:semiHidden/>
    <w:rsid w:val="00160853"/>
    <w:rPr>
      <w:rFonts w:ascii="Calibri" w:eastAsia="SimSun" w:hAnsi="Calibri" w:cs="font480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rsid w:val="00160853"/>
    <w:rPr>
      <w:rFonts w:ascii="Calibri" w:eastAsia="SimSun" w:hAnsi="Calibri" w:cs="font480"/>
      <w:lang w:eastAsia="ar-SA"/>
    </w:rPr>
  </w:style>
  <w:style w:type="paragraph" w:styleId="Stopka">
    <w:name w:val="footer"/>
    <w:basedOn w:val="Normalny"/>
    <w:link w:val="StopkaZnak1"/>
    <w:rsid w:val="00160853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uiPriority w:val="99"/>
    <w:semiHidden/>
    <w:rsid w:val="00160853"/>
    <w:rPr>
      <w:rFonts w:ascii="Calibri" w:eastAsia="SimSun" w:hAnsi="Calibri" w:cs="font480"/>
      <w:lang w:eastAsia="ar-SA"/>
    </w:rPr>
  </w:style>
  <w:style w:type="character" w:customStyle="1" w:styleId="StopkaZnak1">
    <w:name w:val="Stopka Znak1"/>
    <w:basedOn w:val="Domylnaczcionkaakapitu"/>
    <w:link w:val="Stopka"/>
    <w:rsid w:val="00160853"/>
    <w:rPr>
      <w:rFonts w:ascii="Calibri" w:eastAsia="SimSun" w:hAnsi="Calibri" w:cs="font48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608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0853"/>
    <w:pPr>
      <w:ind w:left="720"/>
      <w:contextualSpacing/>
    </w:pPr>
  </w:style>
  <w:style w:type="paragraph" w:customStyle="1" w:styleId="Default">
    <w:name w:val="Default"/>
    <w:rsid w:val="00160853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val="en-US" w:eastAsia="ar-SA"/>
    </w:rPr>
  </w:style>
  <w:style w:type="table" w:styleId="Tabela-Siatka">
    <w:name w:val="Table Grid"/>
    <w:basedOn w:val="Standardowy"/>
    <w:uiPriority w:val="39"/>
    <w:rsid w:val="001608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2313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3</cp:revision>
  <dcterms:created xsi:type="dcterms:W3CDTF">2023-05-12T07:05:00Z</dcterms:created>
  <dcterms:modified xsi:type="dcterms:W3CDTF">2023-05-16T08:35:00Z</dcterms:modified>
</cp:coreProperties>
</file>