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2F97DF14"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1D2168">
        <w:rPr>
          <w:rFonts w:eastAsiaTheme="majorEastAsia"/>
          <w:caps/>
          <w:spacing w:val="20"/>
          <w:lang w:eastAsia="en-US"/>
        </w:rPr>
        <w:t>ZP.271.</w:t>
      </w:r>
      <w:r w:rsidR="008B22F7">
        <w:rPr>
          <w:rFonts w:eastAsiaTheme="majorEastAsia"/>
          <w:caps/>
          <w:spacing w:val="20"/>
          <w:lang w:eastAsia="en-US"/>
        </w:rPr>
        <w:t>10</w:t>
      </w:r>
      <w:r w:rsidR="001D2168">
        <w:rPr>
          <w:rFonts w:eastAsiaTheme="majorEastAsia"/>
          <w:caps/>
          <w:spacing w:val="20"/>
          <w:lang w:eastAsia="en-US"/>
        </w:rPr>
        <w:t>.202</w:t>
      </w:r>
      <w:r w:rsidR="0032592E">
        <w:rPr>
          <w:rFonts w:eastAsiaTheme="majorEastAsia"/>
          <w:caps/>
          <w:spacing w:val="20"/>
          <w:lang w:eastAsia="en-US"/>
        </w:rPr>
        <w:t>3</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5D0C14EC" w:rsidR="00C95BE9" w:rsidRPr="00A209C9" w:rsidRDefault="00C95BE9" w:rsidP="005969E5">
      <w:pPr>
        <w:rPr>
          <w:rFonts w:eastAsiaTheme="majorEastAsia"/>
          <w:b/>
          <w:lang w:eastAsia="en-US"/>
        </w:rPr>
      </w:pPr>
      <w:r w:rsidRPr="00A209C9">
        <w:rPr>
          <w:rFonts w:eastAsiaTheme="majorEastAsia"/>
          <w:b/>
          <w:lang w:eastAsia="en-US"/>
        </w:rPr>
        <w:t xml:space="preserve">Adres strony internetowej prowadzonego postępowania: </w:t>
      </w:r>
      <w:r w:rsidR="00AC5EE0" w:rsidRPr="00AC5EE0">
        <w:rPr>
          <w:rFonts w:eastAsiaTheme="majorEastAsia"/>
          <w:b/>
          <w:lang w:eastAsia="en-US"/>
        </w:rPr>
        <w:t>https://platformazakupowa.pl/transakcja/752224</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1EF6CE11" w14:textId="5788A8E5" w:rsidR="00773D17" w:rsidRPr="00A209C9" w:rsidRDefault="00290A62" w:rsidP="00A209C9">
      <w:pPr>
        <w:jc w:val="both"/>
        <w:rPr>
          <w:rFonts w:eastAsiaTheme="majorEastAsia"/>
          <w:b/>
          <w:color w:val="002060"/>
          <w:lang w:eastAsia="en-US"/>
        </w:rPr>
      </w:pPr>
      <w:bookmarkStart w:id="0" w:name="_Hlk126669539"/>
      <w:bookmarkStart w:id="1" w:name="_Hlk128655183"/>
      <w:r w:rsidRPr="00290A62">
        <w:rPr>
          <w:rFonts w:eastAsiaTheme="majorEastAsia"/>
          <w:caps/>
          <w:spacing w:val="10"/>
          <w:lang w:eastAsia="en-US"/>
        </w:rPr>
        <w:t>Termomodernizacja budynku świetlicy wiejskiej w Stuchowie</w:t>
      </w:r>
      <w:bookmarkEnd w:id="0"/>
      <w:bookmarkEnd w:id="1"/>
    </w:p>
    <w:p w14:paraId="538DE8D0" w14:textId="77777777" w:rsidR="00F35087" w:rsidRDefault="00F35087" w:rsidP="00A209C9">
      <w:pPr>
        <w:jc w:val="both"/>
        <w:rPr>
          <w:rFonts w:eastAsiaTheme="majorEastAsia"/>
          <w:bCs/>
          <w:lang w:eastAsia="en-US"/>
        </w:rPr>
      </w:pPr>
    </w:p>
    <w:p w14:paraId="730C19F6" w14:textId="77777777" w:rsidR="00F35087" w:rsidRDefault="00F35087" w:rsidP="00A209C9">
      <w:pPr>
        <w:jc w:val="both"/>
        <w:rPr>
          <w:rFonts w:eastAsiaTheme="majorEastAsia"/>
          <w:bCs/>
          <w:lang w:eastAsia="en-US"/>
        </w:rPr>
      </w:pPr>
    </w:p>
    <w:p w14:paraId="4888DCFC" w14:textId="77777777" w:rsidR="00F35087" w:rsidRDefault="00F35087" w:rsidP="00A209C9">
      <w:pPr>
        <w:jc w:val="both"/>
        <w:rPr>
          <w:rFonts w:eastAsiaTheme="majorEastAsia"/>
          <w:bCs/>
          <w:lang w:eastAsia="en-US"/>
        </w:rPr>
      </w:pPr>
    </w:p>
    <w:p w14:paraId="5FE20231" w14:textId="34374CC4"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 xml:space="preserve">Dz.U. </w:t>
      </w:r>
      <w:r w:rsidR="0032592E">
        <w:rPr>
          <w:rFonts w:eastAsiaTheme="majorEastAsia"/>
          <w:lang w:eastAsia="en-US"/>
        </w:rPr>
        <w:t xml:space="preserve">z 2022 r. </w:t>
      </w:r>
      <w:r w:rsidR="00F04544" w:rsidRPr="00A209C9">
        <w:rPr>
          <w:rFonts w:eastAsiaTheme="majorEastAsia"/>
          <w:lang w:eastAsia="en-US"/>
        </w:rPr>
        <w:t xml:space="preserve">poz. </w:t>
      </w:r>
      <w:r w:rsidR="0032592E">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5B7E889E" w14:textId="7BA68B4D" w:rsidR="00C95BE9" w:rsidRDefault="008B22F7" w:rsidP="00B62981">
      <w:pPr>
        <w:spacing w:line="252" w:lineRule="auto"/>
        <w:jc w:val="center"/>
        <w:rPr>
          <w:rFonts w:eastAsiaTheme="majorEastAsia"/>
          <w:bCs/>
          <w:lang w:eastAsia="en-US"/>
        </w:rPr>
      </w:pPr>
      <w:r>
        <w:rPr>
          <w:rFonts w:eastAsiaTheme="majorEastAsia"/>
          <w:lang w:eastAsia="en-US"/>
        </w:rPr>
        <w:t>Kwiecień</w:t>
      </w:r>
      <w:r w:rsidR="00290A62">
        <w:rPr>
          <w:rFonts w:eastAsiaTheme="majorEastAsia"/>
          <w:lang w:eastAsia="en-US"/>
        </w:rPr>
        <w:t xml:space="preserve"> </w:t>
      </w:r>
      <w:r w:rsidR="00C95BE9" w:rsidRPr="00A209C9">
        <w:rPr>
          <w:rFonts w:eastAsiaTheme="majorEastAsia"/>
          <w:bCs/>
          <w:lang w:eastAsia="en-US"/>
        </w:rPr>
        <w:t xml:space="preserve">, </w:t>
      </w:r>
      <w:r w:rsidR="00E557B1" w:rsidRPr="00A209C9">
        <w:rPr>
          <w:rFonts w:eastAsiaTheme="majorEastAsia"/>
          <w:bCs/>
          <w:lang w:eastAsia="en-US"/>
        </w:rPr>
        <w:t>202</w:t>
      </w:r>
      <w:r w:rsidR="0032592E">
        <w:rPr>
          <w:rFonts w:eastAsiaTheme="majorEastAsia"/>
          <w:bCs/>
          <w:lang w:eastAsia="en-US"/>
        </w:rPr>
        <w:t>3</w:t>
      </w:r>
    </w:p>
    <w:p w14:paraId="737894FA" w14:textId="77777777" w:rsidR="0032592E" w:rsidRDefault="0032592E" w:rsidP="00107965">
      <w:pPr>
        <w:spacing w:line="252" w:lineRule="auto"/>
        <w:jc w:val="center"/>
        <w:rPr>
          <w:rFonts w:eastAsiaTheme="majorEastAsia"/>
          <w:i/>
          <w:lang w:eastAsia="en-US"/>
        </w:rPr>
      </w:pPr>
    </w:p>
    <w:p w14:paraId="2FCE56CD" w14:textId="77777777" w:rsidR="0032592E" w:rsidRPr="00A209C9" w:rsidRDefault="0032592E" w:rsidP="00107965">
      <w:pPr>
        <w:spacing w:line="252" w:lineRule="auto"/>
        <w:jc w:val="center"/>
        <w:rPr>
          <w:rFonts w:eastAsiaTheme="majorEastAsia"/>
          <w:i/>
          <w:lang w:eastAsia="en-US"/>
        </w:rPr>
      </w:pP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86AD235" w14:textId="48AC1DDA" w:rsidR="00694B50" w:rsidRDefault="00694B50" w:rsidP="00A209C9">
      <w:pPr>
        <w:spacing w:after="200" w:line="252" w:lineRule="auto"/>
        <w:jc w:val="both"/>
        <w:rPr>
          <w:rFonts w:eastAsiaTheme="majorEastAsia"/>
          <w:b/>
          <w:lang w:eastAsia="en-US"/>
        </w:rPr>
      </w:pPr>
    </w:p>
    <w:p w14:paraId="0E020F63" w14:textId="39A261F4" w:rsidR="00126DEF" w:rsidRDefault="00126DEF" w:rsidP="00A209C9">
      <w:pPr>
        <w:spacing w:after="200" w:line="252" w:lineRule="auto"/>
        <w:jc w:val="both"/>
        <w:rPr>
          <w:rFonts w:eastAsiaTheme="majorEastAsia"/>
          <w:b/>
          <w:lang w:eastAsia="en-US"/>
        </w:rPr>
      </w:pPr>
    </w:p>
    <w:p w14:paraId="04C65C0F" w14:textId="77777777" w:rsidR="008B22F7" w:rsidRDefault="008B22F7" w:rsidP="00A209C9">
      <w:pPr>
        <w:spacing w:after="200" w:line="252" w:lineRule="auto"/>
        <w:jc w:val="both"/>
        <w:rPr>
          <w:rFonts w:eastAsiaTheme="majorEastAsia"/>
          <w:b/>
          <w:lang w:eastAsia="en-US"/>
        </w:rPr>
      </w:pPr>
    </w:p>
    <w:p w14:paraId="219999E9" w14:textId="57C3920A"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w art. 96 ust. 2 pkt 2 ustawy Pzp</w:t>
      </w:r>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lastRenderedPageBreak/>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2E13D1FA"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32592E">
        <w:rPr>
          <w:rFonts w:eastAsiaTheme="majorEastAsia"/>
          <w:lang w:eastAsia="en-US"/>
        </w:rPr>
        <w:t xml:space="preserve"> 2022r. </w:t>
      </w:r>
      <w:r w:rsidRPr="00A209C9">
        <w:rPr>
          <w:rFonts w:eastAsiaTheme="majorEastAsia"/>
          <w:lang w:eastAsia="en-US"/>
        </w:rPr>
        <w:t xml:space="preserve"> poz.</w:t>
      </w:r>
      <w:r w:rsidR="0032592E">
        <w:rPr>
          <w:rFonts w:eastAsiaTheme="majorEastAsia"/>
          <w:lang w:eastAsia="en-US"/>
        </w:rPr>
        <w:t xml:space="preserve"> 1710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Pzp</w:t>
      </w:r>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Pzp,</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2E4F4A99"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Pzp </w:t>
      </w:r>
      <w:r w:rsidRPr="00A209C9">
        <w:rPr>
          <w:color w:val="000000" w:themeColor="text1"/>
        </w:rPr>
        <w:t>oraz art. 109 ust 1 pkt 5, pkt 7, pkt 8, oraz pkt 10 ustawy</w:t>
      </w:r>
      <w:r w:rsidR="001D2168">
        <w:rPr>
          <w:color w:val="000000" w:themeColor="text1"/>
        </w:rPr>
        <w:t xml:space="preserve"> </w:t>
      </w:r>
      <w:r w:rsidR="001D2168">
        <w:rPr>
          <w:rFonts w:eastAsiaTheme="majorEastAsia"/>
          <w:color w:val="000000" w:themeColor="text1"/>
          <w:lang w:eastAsia="en-US"/>
        </w:rPr>
        <w:t xml:space="preserve">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złożył ofertę niepodlegającą odrzuceniu na podstawie art. 226 ust. 1 ustawy Pzp.</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1D347E9C"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Pzp.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w:t>
      </w:r>
      <w:bookmarkStart w:id="2" w:name="_Hlk126045900"/>
      <w:r w:rsidRPr="00A209C9">
        <w:rPr>
          <w:rFonts w:eastAsiaTheme="majorEastAsia"/>
          <w:lang w:eastAsia="en-US"/>
        </w:rPr>
        <w:t xml:space="preserve">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ust 1 pkt 5, pkt 7, pkt 8, oraz pkt 10 P.z.p.</w:t>
      </w:r>
      <w:r w:rsidR="001D2168">
        <w:rPr>
          <w:color w:val="000000" w:themeColor="text1"/>
        </w:rPr>
        <w:t xml:space="preserve"> 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bookmarkEnd w:id="2"/>
    <w:p w14:paraId="5E951F6E" w14:textId="6886A4FA" w:rsidR="00E90B9E" w:rsidRDefault="00E90B9E" w:rsidP="00A209C9">
      <w:pPr>
        <w:spacing w:after="200" w:line="252" w:lineRule="auto"/>
        <w:contextualSpacing/>
        <w:jc w:val="both"/>
        <w:rPr>
          <w:rFonts w:eastAsiaTheme="majorEastAsia"/>
          <w:lang w:eastAsia="en-US"/>
        </w:rPr>
      </w:pPr>
    </w:p>
    <w:p w14:paraId="1073F931" w14:textId="24F05713" w:rsidR="009C1E5F" w:rsidRDefault="009C1E5F" w:rsidP="00A209C9">
      <w:pPr>
        <w:spacing w:after="200" w:line="252" w:lineRule="auto"/>
        <w:contextualSpacing/>
        <w:jc w:val="both"/>
        <w:rPr>
          <w:rFonts w:eastAsiaTheme="majorEastAsia"/>
          <w:lang w:eastAsia="en-US"/>
        </w:rPr>
      </w:pPr>
    </w:p>
    <w:p w14:paraId="33492B33" w14:textId="77777777" w:rsidR="009C1E5F" w:rsidRPr="00A209C9" w:rsidRDefault="009C1E5F"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56717B7F" w14:textId="1297E1B8" w:rsidR="009C1E5F"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 xml:space="preserve">na podstawie </w:t>
      </w:r>
      <w:r w:rsidR="009C1E5F" w:rsidRPr="009C1E5F">
        <w:rPr>
          <w:rFonts w:eastAsiaTheme="majorEastAsia"/>
          <w:lang w:eastAsia="en-US"/>
        </w:rPr>
        <w:t>art. 108 ust. 1 oraz art. 109 ust 1 pkt 5, pkt 7, pkt 8, oraz pkt 10 P.z.p. oraz z art. 7 ust 1 ustawy z dnia 13 kwietnia 2022 r. o szczególnych rozwiązaniach w zakresie przeciwdziałania wspieraniu agresji na Ukrainę oraz służących ochronie bezpieczeństwa narodowego</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3D339D29"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hyperlink r:id="rId8" w:history="1">
        <w:r w:rsidR="00AC5EE0" w:rsidRPr="005636B3">
          <w:rPr>
            <w:rStyle w:val="Hipercze"/>
          </w:rPr>
          <w:t>https://platformazakupowa.pl/transakcja/752224</w:t>
        </w:r>
      </w:hyperlink>
      <w:r w:rsidR="00AC5EE0">
        <w:t xml:space="preserve"> </w:t>
      </w:r>
      <w:r w:rsidRPr="00A209C9">
        <w:rPr>
          <w:rFonts w:eastAsiaTheme="majorEastAsia"/>
          <w:color w:val="000000" w:themeColor="text1"/>
          <w:lang w:eastAsia="en-US"/>
        </w:rPr>
        <w:t xml:space="preserve">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206349D7"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1.</w:t>
      </w:r>
      <w:r w:rsidRPr="009C1E5F">
        <w:rPr>
          <w:rFonts w:eastAsiaTheme="majorEastAsia"/>
          <w:bCs/>
          <w:lang w:eastAsia="en-US"/>
        </w:rPr>
        <w:tab/>
        <w:t>Zamawiający wymaga odbycia przez wykonawcę wizji lokalnej.</w:t>
      </w:r>
    </w:p>
    <w:p w14:paraId="1C147A66"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2.</w:t>
      </w:r>
      <w:r w:rsidRPr="009C1E5F">
        <w:rPr>
          <w:rFonts w:eastAsiaTheme="majorEastAsia"/>
          <w:bCs/>
          <w:lang w:eastAsia="en-US"/>
        </w:rPr>
        <w:tab/>
        <w:t>Termin i zasady udziału w wizji lokalnej do ustalenia u pracownika odpowiedzialnego za przebieg postępowania :</w:t>
      </w:r>
    </w:p>
    <w:p w14:paraId="58A864DC"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 Ewa Ksiądz, tel: 913832793</w:t>
      </w:r>
    </w:p>
    <w:p w14:paraId="4F32228A"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 Czesław Kędziera, tel: 913832793</w:t>
      </w:r>
    </w:p>
    <w:p w14:paraId="5163E112" w14:textId="77777777" w:rsidR="009C1E5F" w:rsidRPr="009C1E5F" w:rsidRDefault="009C1E5F" w:rsidP="009C1E5F">
      <w:pPr>
        <w:spacing w:after="200" w:line="252" w:lineRule="auto"/>
        <w:ind w:left="360"/>
        <w:contextualSpacing/>
        <w:jc w:val="both"/>
        <w:rPr>
          <w:rFonts w:eastAsiaTheme="majorEastAsia"/>
          <w:bCs/>
          <w:lang w:eastAsia="en-US"/>
        </w:rPr>
      </w:pPr>
    </w:p>
    <w:p w14:paraId="7FBE60AD"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 xml:space="preserve">Potwierdzeniem odbycia wizji będzie protokół podpisany przez przedstawicieli wykonawcy i zamawiającego. Osoby uczestniczące w wizji powinny być uprawnione do reprezentowania wykonawcy, a ich umocowanie zostanie wykazane stosownym dokumentem przed jej przeprowadzeniem.  </w:t>
      </w:r>
    </w:p>
    <w:p w14:paraId="458FD7B1" w14:textId="77777777" w:rsidR="009C1E5F" w:rsidRPr="009C1E5F" w:rsidRDefault="009C1E5F" w:rsidP="009C1E5F">
      <w:pPr>
        <w:spacing w:after="200" w:line="252" w:lineRule="auto"/>
        <w:ind w:left="360"/>
        <w:contextualSpacing/>
        <w:jc w:val="both"/>
        <w:rPr>
          <w:rFonts w:eastAsiaTheme="majorEastAsia"/>
          <w:bCs/>
          <w:lang w:eastAsia="en-US"/>
        </w:rPr>
      </w:pPr>
    </w:p>
    <w:p w14:paraId="3A526B1B"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lastRenderedPageBreak/>
        <w:t xml:space="preserve">Wizja lokalna może odbyć się nie później, niż w dniu poprzedzającym dzień składania ofert, a jeżeli ten dzień ten jest dniem wolnym od pracy lub przypada w sobotę, w pierwszym dniu poprzedzającym te dni.  </w:t>
      </w:r>
    </w:p>
    <w:p w14:paraId="06E3C16E" w14:textId="77777777" w:rsidR="009C1E5F" w:rsidRPr="009C1E5F" w:rsidRDefault="009C1E5F" w:rsidP="009C1E5F">
      <w:pPr>
        <w:spacing w:after="200" w:line="252" w:lineRule="auto"/>
        <w:ind w:left="360"/>
        <w:contextualSpacing/>
        <w:jc w:val="both"/>
        <w:rPr>
          <w:rFonts w:eastAsiaTheme="majorEastAsia"/>
          <w:bCs/>
          <w:lang w:eastAsia="en-US"/>
        </w:rPr>
      </w:pPr>
    </w:p>
    <w:p w14:paraId="4B52B19C" w14:textId="381EEFEE" w:rsidR="000B4489" w:rsidRPr="00CD3258" w:rsidRDefault="009C1E5F" w:rsidP="009C1E5F">
      <w:pPr>
        <w:spacing w:after="200" w:line="252" w:lineRule="auto"/>
        <w:contextualSpacing/>
        <w:jc w:val="both"/>
        <w:rPr>
          <w:rFonts w:eastAsiaTheme="majorEastAsia"/>
          <w:lang w:eastAsia="en-US"/>
        </w:rPr>
      </w:pPr>
      <w:r w:rsidRPr="009C1E5F">
        <w:rPr>
          <w:rFonts w:eastAsiaTheme="majorEastAsia"/>
          <w:bCs/>
          <w:lang w:eastAsia="en-US"/>
        </w:rPr>
        <w:t>Zgodnie z art. 226 ust. 1 pkt 18 ustawy Pzp,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Zamawiający nie dokonuje podziału zamówienia na części. Tym samym zamawiający nie dopuszcza składania ofert częściowych, o których mowa w art. 7 pkt 15 ustawy Pzp.</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dopuszcza możliwości, złożenia oferty wariantowej, o której mowa w art. 92 ustawy Pzp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przewiduje zawarcia umowy ramowej, o  której mowa w art. 311–315 ustawy Pzp.</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Pzp.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Pzp</w:t>
      </w:r>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9C1E5F" w:rsidRDefault="00962CBB" w:rsidP="00A209C9">
      <w:pPr>
        <w:spacing w:after="200" w:line="252" w:lineRule="auto"/>
        <w:contextualSpacing/>
        <w:jc w:val="both"/>
        <w:rPr>
          <w:rFonts w:eastAsiaTheme="majorEastAsia"/>
          <w:lang w:eastAsia="en-US"/>
        </w:rPr>
      </w:pPr>
    </w:p>
    <w:p w14:paraId="55D01B4B" w14:textId="388EC497" w:rsidR="00734704" w:rsidRPr="002F0E29" w:rsidRDefault="00734704" w:rsidP="008A2831">
      <w:pPr>
        <w:pStyle w:val="Akapitzlist"/>
        <w:numPr>
          <w:ilvl w:val="0"/>
          <w:numId w:val="44"/>
        </w:numPr>
        <w:spacing w:before="120"/>
        <w:ind w:left="709" w:hanging="283"/>
        <w:jc w:val="both"/>
      </w:pPr>
      <w:r w:rsidRPr="002F0E29">
        <w:t xml:space="preserve">Wykonawcy, a także innemu podmiotowi, jeżeli ma lub miał interes w uzyskaniu zamówienia oraz poniósł lub może ponieść szkodę w wyniku naruszenia przez Zamawiającego przepisów PZP, przysługują środki ochrony prawnej określone </w:t>
      </w:r>
      <w:r w:rsidRPr="002F0E29">
        <w:br/>
        <w:t xml:space="preserve">w dziale IX PZP tj. odwołanie i skarga do sądu. Postępowanie odwoławcze uregulowane zostało w przepisach art. 506-578 PZP, a postępowanie skargowe </w:t>
      </w:r>
      <w:r w:rsidRPr="002F0E29">
        <w:br/>
        <w:t>w przepisach art.. 579-590 PZP.</w:t>
      </w:r>
    </w:p>
    <w:p w14:paraId="2BB3F958" w14:textId="77777777" w:rsidR="00734704" w:rsidRPr="002F0E29" w:rsidRDefault="00734704" w:rsidP="008A2831">
      <w:pPr>
        <w:pStyle w:val="Akapitzlist"/>
        <w:numPr>
          <w:ilvl w:val="0"/>
          <w:numId w:val="44"/>
        </w:numPr>
        <w:spacing w:before="120"/>
        <w:jc w:val="both"/>
        <w:rPr>
          <w:rFonts w:eastAsia="A"/>
        </w:rPr>
      </w:pPr>
      <w:r w:rsidRPr="002F0E29">
        <w:rPr>
          <w:rFonts w:eastAsia="A"/>
        </w:rPr>
        <w:t>Odwołanie przysługuje na:</w:t>
      </w:r>
    </w:p>
    <w:p w14:paraId="32716A6E" w14:textId="77777777" w:rsidR="00734704" w:rsidRPr="002F0E29" w:rsidRDefault="00734704" w:rsidP="008A2831">
      <w:pPr>
        <w:numPr>
          <w:ilvl w:val="0"/>
          <w:numId w:val="43"/>
        </w:numPr>
        <w:tabs>
          <w:tab w:val="left" w:pos="1276"/>
        </w:tabs>
        <w:suppressAutoHyphens/>
        <w:spacing w:before="120"/>
        <w:ind w:left="1276" w:hanging="576"/>
        <w:jc w:val="both"/>
        <w:rPr>
          <w:rFonts w:eastAsia="A"/>
        </w:rPr>
      </w:pPr>
      <w:r w:rsidRPr="002F0E29">
        <w:rPr>
          <w:rFonts w:eastAsia="A"/>
        </w:rPr>
        <w:t>niezgodną z przepisami PZP czynność Zamawiającego, podjętą w postępowaniu o udzielenie zamówienia, w tym na projektowane postanowienie umowy;</w:t>
      </w:r>
    </w:p>
    <w:p w14:paraId="440CC00C" w14:textId="77777777" w:rsidR="00734704" w:rsidRPr="002F0E29" w:rsidRDefault="00734704" w:rsidP="008A2831">
      <w:pPr>
        <w:numPr>
          <w:ilvl w:val="0"/>
          <w:numId w:val="43"/>
        </w:numPr>
        <w:tabs>
          <w:tab w:val="left" w:pos="1276"/>
        </w:tabs>
        <w:suppressAutoHyphens/>
        <w:spacing w:before="120"/>
        <w:ind w:left="1276" w:hanging="576"/>
        <w:jc w:val="both"/>
        <w:rPr>
          <w:rFonts w:eastAsia="A"/>
        </w:rPr>
      </w:pPr>
      <w:r w:rsidRPr="002F0E29">
        <w:rPr>
          <w:rFonts w:eastAsia="A"/>
        </w:rPr>
        <w:t>zaniechanie czynności w postępowaniu o udzielenie zamówienia, do której Zamawiający był obowiązany na podstawie PZP;</w:t>
      </w:r>
    </w:p>
    <w:p w14:paraId="38306E24" w14:textId="337D9254" w:rsidR="00734704" w:rsidRPr="002F0E29" w:rsidRDefault="00955050" w:rsidP="00734704">
      <w:pPr>
        <w:tabs>
          <w:tab w:val="left" w:pos="1276"/>
        </w:tabs>
        <w:spacing w:before="120"/>
        <w:ind w:left="1276" w:hanging="576"/>
        <w:jc w:val="both"/>
        <w:rPr>
          <w:rFonts w:eastAsia="A"/>
        </w:rPr>
      </w:pPr>
      <w:r w:rsidRPr="002F0E29">
        <w:rPr>
          <w:rFonts w:eastAsia="A"/>
        </w:rPr>
        <w:t>c)</w:t>
      </w:r>
      <w:r w:rsidR="00734704" w:rsidRPr="002F0E29">
        <w:rPr>
          <w:rFonts w:eastAsia="A"/>
        </w:rPr>
        <w:tab/>
        <w:t>zaniechanie przeprowadzenia postępowania o udzielenie zamówienia, mimo że Zamawiający był do tego obowiązany.</w:t>
      </w:r>
    </w:p>
    <w:p w14:paraId="34FE367E" w14:textId="760AE99E" w:rsidR="00734704" w:rsidRPr="002F0E29" w:rsidRDefault="00734704" w:rsidP="008A2831">
      <w:pPr>
        <w:pStyle w:val="Akapitzlist"/>
        <w:numPr>
          <w:ilvl w:val="0"/>
          <w:numId w:val="44"/>
        </w:numPr>
        <w:spacing w:before="120"/>
        <w:jc w:val="both"/>
        <w:rPr>
          <w:rFonts w:eastAsia="A"/>
        </w:rPr>
      </w:pPr>
      <w:r w:rsidRPr="002F0E29">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Pr="002F0E29" w:rsidRDefault="00734704" w:rsidP="008A2831">
      <w:pPr>
        <w:pStyle w:val="Akapitzlist"/>
        <w:numPr>
          <w:ilvl w:val="0"/>
          <w:numId w:val="44"/>
        </w:numPr>
        <w:spacing w:before="120"/>
        <w:jc w:val="both"/>
        <w:rPr>
          <w:rFonts w:eastAsia="A"/>
        </w:rPr>
      </w:pPr>
      <w:r w:rsidRPr="002F0E29">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Pr="002F0E29" w:rsidRDefault="00734704" w:rsidP="008A2831">
      <w:pPr>
        <w:pStyle w:val="Akapitzlist"/>
        <w:numPr>
          <w:ilvl w:val="0"/>
          <w:numId w:val="44"/>
        </w:numPr>
        <w:spacing w:before="120"/>
        <w:jc w:val="both"/>
        <w:rPr>
          <w:rFonts w:eastAsia="A"/>
        </w:rPr>
      </w:pPr>
      <w:r w:rsidRPr="002F0E29">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Pr="002F0E29" w:rsidRDefault="00734704" w:rsidP="008A2831">
      <w:pPr>
        <w:pStyle w:val="Akapitzlist"/>
        <w:numPr>
          <w:ilvl w:val="0"/>
          <w:numId w:val="44"/>
        </w:numPr>
        <w:spacing w:before="120"/>
        <w:jc w:val="both"/>
        <w:rPr>
          <w:rFonts w:eastAsia="A"/>
        </w:rPr>
      </w:pPr>
      <w:r w:rsidRPr="002F0E29">
        <w:rPr>
          <w:rFonts w:eastAsia="A"/>
        </w:rPr>
        <w:lastRenderedPageBreak/>
        <w:t xml:space="preserve">Odwołanie w przypadkach innych niż określone w pkt 4) i 5) SWZ wnosi się w terminie 5 dni od dnia, w którym powzięto lub przy zachowaniu należytej staranności można było powziąć wiadomość o okolicznościach stanowiących podstawę jego wniesienia. </w:t>
      </w:r>
    </w:p>
    <w:p w14:paraId="5139BA4D" w14:textId="77777777" w:rsidR="00734704" w:rsidRPr="002F0E29" w:rsidRDefault="00734704" w:rsidP="008A2831">
      <w:pPr>
        <w:pStyle w:val="Akapitzlist"/>
        <w:numPr>
          <w:ilvl w:val="0"/>
          <w:numId w:val="44"/>
        </w:numPr>
        <w:spacing w:after="200" w:line="252" w:lineRule="auto"/>
        <w:contextualSpacing/>
        <w:jc w:val="both"/>
        <w:rPr>
          <w:lang w:eastAsia="en-US"/>
        </w:rPr>
      </w:pPr>
      <w:r w:rsidRPr="002F0E29">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648D6B6" w14:textId="10E613D2"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290A62" w:rsidRPr="00290A62">
        <w:rPr>
          <w:rFonts w:eastAsiaTheme="majorEastAsia"/>
          <w:b/>
          <w:bCs/>
          <w:color w:val="000000" w:themeColor="text1"/>
          <w:lang w:eastAsia="en-US"/>
        </w:rPr>
        <w:t>TERMOMODERNIZACJA BUDYNKU ŚWIETLICY WIEJSKIEJ W STUCHOWIE</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obowiązek informacyjny przewidziany w art. 13 RODO względem osób fizycznych, których dane osobowe dotyczą i od których dane te wykonawca bezpośrednio pozyskał </w:t>
      </w:r>
      <w:r w:rsidRPr="00A209C9">
        <w:rPr>
          <w:rFonts w:eastAsiaTheme="majorEastAsia"/>
          <w:color w:val="000000" w:themeColor="text1"/>
          <w:lang w:eastAsia="en-US"/>
        </w:rPr>
        <w:lastRenderedPageBreak/>
        <w:t>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6593193E" w:rsidR="00C5791B"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155CEB">
        <w:rPr>
          <w:b/>
          <w:highlight w:val="lightGray"/>
          <w:lang w:eastAsia="en-US"/>
        </w:rPr>
        <w:t>z 2022 r poz 1710</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4775AC4A" w14:textId="1192606E" w:rsidR="009C1E5F" w:rsidRDefault="009C1E5F" w:rsidP="00A209C9">
      <w:pPr>
        <w:shd w:val="clear" w:color="auto" w:fill="FFFFFF" w:themeFill="background1"/>
        <w:spacing w:after="200" w:line="252" w:lineRule="auto"/>
        <w:contextualSpacing/>
        <w:jc w:val="both"/>
        <w:rPr>
          <w:b/>
          <w:lang w:eastAsia="en-US"/>
        </w:rPr>
      </w:pPr>
    </w:p>
    <w:p w14:paraId="378A25B1" w14:textId="0064DDEC" w:rsidR="009C1E5F" w:rsidRDefault="009C1E5F" w:rsidP="00A209C9">
      <w:pPr>
        <w:shd w:val="clear" w:color="auto" w:fill="FFFFFF" w:themeFill="background1"/>
        <w:spacing w:after="200" w:line="252" w:lineRule="auto"/>
        <w:contextualSpacing/>
        <w:jc w:val="both"/>
        <w:rPr>
          <w:b/>
          <w:lang w:eastAsia="en-US"/>
        </w:rPr>
      </w:pPr>
    </w:p>
    <w:p w14:paraId="38A24ED2" w14:textId="5C1B0D3C" w:rsidR="009C1E5F" w:rsidRDefault="009C1E5F" w:rsidP="00A209C9">
      <w:pPr>
        <w:shd w:val="clear" w:color="auto" w:fill="FFFFFF" w:themeFill="background1"/>
        <w:spacing w:after="200" w:line="252" w:lineRule="auto"/>
        <w:contextualSpacing/>
        <w:jc w:val="both"/>
        <w:rPr>
          <w:b/>
          <w:lang w:eastAsia="en-US"/>
        </w:rPr>
      </w:pPr>
    </w:p>
    <w:p w14:paraId="14D79236" w14:textId="75E73C7E" w:rsidR="009C1E5F" w:rsidRDefault="009C1E5F" w:rsidP="00A209C9">
      <w:pPr>
        <w:shd w:val="clear" w:color="auto" w:fill="FFFFFF" w:themeFill="background1"/>
        <w:spacing w:after="200" w:line="252" w:lineRule="auto"/>
        <w:contextualSpacing/>
        <w:jc w:val="both"/>
        <w:rPr>
          <w:b/>
          <w:lang w:eastAsia="en-US"/>
        </w:rPr>
      </w:pPr>
    </w:p>
    <w:p w14:paraId="4308A356" w14:textId="77777777" w:rsidR="009C1E5F" w:rsidRPr="00A209C9" w:rsidRDefault="009C1E5F" w:rsidP="00A209C9">
      <w:pPr>
        <w:shd w:val="clear" w:color="auto" w:fill="FFFFFF" w:themeFill="background1"/>
        <w:spacing w:after="200" w:line="252" w:lineRule="auto"/>
        <w:contextualSpacing/>
        <w:jc w:val="both"/>
        <w:rPr>
          <w:b/>
          <w:lang w:eastAsia="en-US"/>
        </w:rPr>
      </w:pP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422FC458" w:rsidR="00357B72" w:rsidRPr="00904223" w:rsidRDefault="00172880" w:rsidP="00904223">
      <w:pPr>
        <w:numPr>
          <w:ilvl w:val="0"/>
          <w:numId w:val="10"/>
        </w:numPr>
        <w:spacing w:after="200" w:line="252"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290A62" w:rsidRPr="00290A62">
        <w:rPr>
          <w:rFonts w:eastAsiaTheme="majorEastAsia"/>
          <w:caps/>
          <w:spacing w:val="10"/>
          <w:lang w:eastAsia="en-US"/>
        </w:rPr>
        <w:t>Termomodernizacja budynku świetlicy wiejskiej w Stuchowie</w:t>
      </w:r>
      <w:r w:rsidR="00290A62">
        <w:rPr>
          <w:rFonts w:eastAsiaTheme="majorEastAsia"/>
          <w:color w:val="000000" w:themeColor="text1"/>
          <w:lang w:eastAsia="en-US"/>
        </w:rPr>
        <w:t xml:space="preserve"> </w:t>
      </w:r>
    </w:p>
    <w:p w14:paraId="46E8CBBA" w14:textId="3D8C42E7" w:rsidR="00172880" w:rsidRPr="009B5903" w:rsidRDefault="00C0484E" w:rsidP="00A209C9">
      <w:pPr>
        <w:widowControl w:val="0"/>
        <w:numPr>
          <w:ilvl w:val="0"/>
          <w:numId w:val="10"/>
        </w:numPr>
        <w:spacing w:after="200" w:line="252"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xml:space="preserve">: </w:t>
      </w:r>
      <w:r w:rsidR="00290A62">
        <w:rPr>
          <w:rFonts w:eastAsiaTheme="majorEastAsia"/>
          <w:b/>
          <w:lang w:eastAsia="en-US"/>
        </w:rPr>
        <w:t>45320000-6, 45321000-3, 45453000-7</w:t>
      </w:r>
    </w:p>
    <w:p w14:paraId="54C50DE5" w14:textId="53575580" w:rsidR="003936CF" w:rsidRDefault="00172880" w:rsidP="00290A62">
      <w:pPr>
        <w:widowControl w:val="0"/>
        <w:jc w:val="both"/>
        <w:rPr>
          <w:rFonts w:eastAsiaTheme="majorEastAsia"/>
          <w:lang w:eastAsia="en-US"/>
        </w:rPr>
      </w:pPr>
      <w:r w:rsidRPr="0060384D">
        <w:rPr>
          <w:rFonts w:eastAsiaTheme="majorEastAsia"/>
          <w:b/>
          <w:color w:val="000000" w:themeColor="text1"/>
          <w:lang w:eastAsia="en-US"/>
        </w:rPr>
        <w:t xml:space="preserve">Zakres przedmiotu zamówienia obejmuje: </w:t>
      </w:r>
      <w:r w:rsidR="0060384D" w:rsidRPr="009B5903">
        <w:rPr>
          <w:rFonts w:eastAsiaTheme="majorEastAsia"/>
          <w:color w:val="000000" w:themeColor="text1"/>
          <w:lang w:eastAsia="en-US"/>
        </w:rPr>
        <w:t xml:space="preserve">Przedmiotem zamówienia </w:t>
      </w:r>
      <w:bookmarkStart w:id="3" w:name="page8"/>
      <w:bookmarkEnd w:id="3"/>
      <w:r w:rsidR="00425B22">
        <w:rPr>
          <w:rFonts w:eastAsiaTheme="majorEastAsia"/>
          <w:color w:val="000000" w:themeColor="text1"/>
          <w:lang w:eastAsia="en-US"/>
        </w:rPr>
        <w:t xml:space="preserve">jest </w:t>
      </w:r>
      <w:r w:rsidR="00290A62">
        <w:rPr>
          <w:rFonts w:eastAsiaTheme="majorEastAsia"/>
          <w:color w:val="000000" w:themeColor="text1"/>
          <w:lang w:eastAsia="en-US"/>
        </w:rPr>
        <w:t>termomodernizacja budynku świetlicy wiejskiej w Stuchowie</w:t>
      </w:r>
      <w:r w:rsidR="00425B22">
        <w:rPr>
          <w:rFonts w:eastAsiaTheme="majorEastAsia"/>
          <w:lang w:eastAsia="en-US"/>
        </w:rPr>
        <w:t>,</w:t>
      </w:r>
      <w:r w:rsidR="00290A62">
        <w:rPr>
          <w:rFonts w:eastAsiaTheme="majorEastAsia"/>
          <w:lang w:eastAsia="en-US"/>
        </w:rPr>
        <w:t xml:space="preserve"> w której</w:t>
      </w:r>
      <w:r w:rsidR="003936CF">
        <w:rPr>
          <w:rFonts w:eastAsiaTheme="majorEastAsia"/>
          <w:lang w:eastAsia="en-US"/>
        </w:rPr>
        <w:t xml:space="preserve"> zaplanowano roboty budowalno-montażowe. </w:t>
      </w:r>
    </w:p>
    <w:p w14:paraId="1ACDF8AC" w14:textId="71D98BF9" w:rsidR="003936CF" w:rsidRDefault="003936CF" w:rsidP="00290A62">
      <w:pPr>
        <w:widowControl w:val="0"/>
        <w:jc w:val="both"/>
        <w:rPr>
          <w:rFonts w:eastAsiaTheme="majorEastAsia"/>
          <w:lang w:eastAsia="en-US"/>
        </w:rPr>
      </w:pPr>
      <w:r>
        <w:rPr>
          <w:rFonts w:eastAsiaTheme="majorEastAsia"/>
          <w:lang w:eastAsia="en-US"/>
        </w:rPr>
        <w:t>W zakres prac wchodzi</w:t>
      </w:r>
      <w:r w:rsidR="00650185">
        <w:rPr>
          <w:rFonts w:eastAsiaTheme="majorEastAsia"/>
          <w:lang w:eastAsia="en-US"/>
        </w:rPr>
        <w:t xml:space="preserve"> m.in.</w:t>
      </w:r>
      <w:r>
        <w:rPr>
          <w:rFonts w:eastAsiaTheme="majorEastAsia"/>
          <w:lang w:eastAsia="en-US"/>
        </w:rPr>
        <w:t>:</w:t>
      </w:r>
    </w:p>
    <w:p w14:paraId="6231EB3A" w14:textId="2FAA89F6" w:rsidR="000519F6" w:rsidRDefault="000519F6" w:rsidP="00290A62">
      <w:pPr>
        <w:widowControl w:val="0"/>
        <w:jc w:val="both"/>
        <w:rPr>
          <w:rFonts w:eastAsiaTheme="majorEastAsia"/>
          <w:lang w:eastAsia="en-US"/>
        </w:rPr>
      </w:pPr>
      <w:r>
        <w:rPr>
          <w:rFonts w:eastAsiaTheme="majorEastAsia"/>
          <w:lang w:eastAsia="en-US"/>
        </w:rPr>
        <w:t>-ocieplenie elewacji styropianem grafitowym o gr. 15 cm - 597 m2, wraz z położeniem tynku cienkowarstwowego</w:t>
      </w:r>
      <w:r w:rsidR="00FA0947">
        <w:rPr>
          <w:rFonts w:eastAsiaTheme="majorEastAsia"/>
          <w:lang w:eastAsia="en-US"/>
        </w:rPr>
        <w:t xml:space="preserve"> </w:t>
      </w:r>
    </w:p>
    <w:p w14:paraId="6A243CAE" w14:textId="38633AE3" w:rsidR="000519F6" w:rsidRDefault="000519F6" w:rsidP="00290A62">
      <w:pPr>
        <w:widowControl w:val="0"/>
        <w:jc w:val="both"/>
        <w:rPr>
          <w:rFonts w:eastAsiaTheme="majorEastAsia"/>
          <w:lang w:eastAsia="en-US"/>
        </w:rPr>
      </w:pPr>
      <w:r>
        <w:rPr>
          <w:rFonts w:eastAsiaTheme="majorEastAsia"/>
          <w:lang w:eastAsia="en-US"/>
        </w:rPr>
        <w:t>-wymiana parapetów zewnętrznych z blachy powlekanej – 43,8 m2</w:t>
      </w:r>
    </w:p>
    <w:p w14:paraId="64EA70A1" w14:textId="799A7864" w:rsidR="000519F6" w:rsidRDefault="000519F6" w:rsidP="00290A62">
      <w:pPr>
        <w:widowControl w:val="0"/>
        <w:jc w:val="both"/>
        <w:rPr>
          <w:rFonts w:eastAsiaTheme="majorEastAsia"/>
          <w:lang w:eastAsia="en-US"/>
        </w:rPr>
      </w:pPr>
      <w:r>
        <w:rPr>
          <w:rFonts w:eastAsiaTheme="majorEastAsia"/>
          <w:lang w:eastAsia="en-US"/>
        </w:rPr>
        <w:t>-ocieplenie dachu (pokrycie styropapą o gr. 10 cm oraz pokrycie całości papą termozgrzewalną) 564 m2</w:t>
      </w:r>
    </w:p>
    <w:p w14:paraId="3F9A109A" w14:textId="203F9424" w:rsidR="000519F6" w:rsidRDefault="000519F6" w:rsidP="00290A62">
      <w:pPr>
        <w:widowControl w:val="0"/>
        <w:jc w:val="both"/>
        <w:rPr>
          <w:rFonts w:eastAsiaTheme="majorEastAsia"/>
          <w:lang w:eastAsia="en-US"/>
        </w:rPr>
      </w:pPr>
      <w:r>
        <w:rPr>
          <w:rFonts w:eastAsiaTheme="majorEastAsia"/>
          <w:lang w:eastAsia="en-US"/>
        </w:rPr>
        <w:t xml:space="preserve">-ocieplenie kominów wentylacyjnych – 8 szt. </w:t>
      </w:r>
    </w:p>
    <w:p w14:paraId="77E45682" w14:textId="31A0120F" w:rsidR="000519F6" w:rsidRDefault="000519F6" w:rsidP="00290A62">
      <w:pPr>
        <w:widowControl w:val="0"/>
        <w:jc w:val="both"/>
        <w:rPr>
          <w:rFonts w:eastAsiaTheme="majorEastAsia"/>
          <w:lang w:eastAsia="en-US"/>
        </w:rPr>
      </w:pPr>
      <w:r>
        <w:rPr>
          <w:rFonts w:eastAsiaTheme="majorEastAsia"/>
          <w:lang w:eastAsia="en-US"/>
        </w:rPr>
        <w:t xml:space="preserve">-wymiana instalacji odgromowej </w:t>
      </w:r>
    </w:p>
    <w:p w14:paraId="7707F71F" w14:textId="5D342BD4" w:rsidR="000519F6" w:rsidRDefault="000519F6" w:rsidP="00290A62">
      <w:pPr>
        <w:widowControl w:val="0"/>
        <w:jc w:val="both"/>
        <w:rPr>
          <w:rFonts w:eastAsiaTheme="majorEastAsia"/>
          <w:lang w:eastAsia="en-US"/>
        </w:rPr>
      </w:pPr>
      <w:r>
        <w:rPr>
          <w:rFonts w:eastAsiaTheme="majorEastAsia"/>
          <w:lang w:eastAsia="en-US"/>
        </w:rPr>
        <w:t xml:space="preserve">-ocieplenie fundamentów styropianem o gr 8 cm wraz z </w:t>
      </w:r>
      <w:r w:rsidR="00D720FB">
        <w:rPr>
          <w:rFonts w:eastAsiaTheme="majorEastAsia"/>
          <w:lang w:eastAsia="en-US"/>
        </w:rPr>
        <w:t xml:space="preserve">wykonaniem </w:t>
      </w:r>
      <w:r>
        <w:rPr>
          <w:rFonts w:eastAsiaTheme="majorEastAsia"/>
          <w:lang w:eastAsia="en-US"/>
        </w:rPr>
        <w:t xml:space="preserve">izolacji przeciwwilgociowej </w:t>
      </w:r>
    </w:p>
    <w:p w14:paraId="35825E84" w14:textId="1E5BD8F8" w:rsidR="00FA0947" w:rsidRDefault="00FA0947" w:rsidP="00290A62">
      <w:pPr>
        <w:widowControl w:val="0"/>
        <w:jc w:val="both"/>
        <w:rPr>
          <w:rFonts w:eastAsiaTheme="majorEastAsia"/>
          <w:lang w:eastAsia="en-US"/>
        </w:rPr>
      </w:pPr>
      <w:r>
        <w:rPr>
          <w:rFonts w:eastAsiaTheme="majorEastAsia"/>
          <w:lang w:eastAsia="en-US"/>
        </w:rPr>
        <w:t xml:space="preserve">- wykonanie ręczne wyprawy elewacyjnej cienkowarstwowej z tynku </w:t>
      </w:r>
    </w:p>
    <w:p w14:paraId="449F7796" w14:textId="77777777" w:rsidR="00FA0947" w:rsidRDefault="00FA0947" w:rsidP="00290A62">
      <w:pPr>
        <w:widowControl w:val="0"/>
        <w:jc w:val="both"/>
        <w:rPr>
          <w:rFonts w:eastAsiaTheme="majorEastAsia"/>
          <w:lang w:eastAsia="en-US"/>
        </w:rPr>
      </w:pPr>
    </w:p>
    <w:p w14:paraId="5EA2A397" w14:textId="15F49665" w:rsidR="00126DEF" w:rsidRDefault="00FA0947" w:rsidP="00290A62">
      <w:pPr>
        <w:widowControl w:val="0"/>
        <w:jc w:val="both"/>
        <w:rPr>
          <w:rFonts w:eastAsiaTheme="majorEastAsia"/>
          <w:lang w:eastAsia="en-US"/>
        </w:rPr>
      </w:pPr>
      <w:r>
        <w:rPr>
          <w:rFonts w:eastAsiaTheme="majorEastAsia"/>
          <w:lang w:eastAsia="en-US"/>
        </w:rPr>
        <w:t xml:space="preserve">Materiały użyte do realizacji zadania winny posiadać wymagane atesty, certyfikaty, deklaracji zgodności i </w:t>
      </w:r>
      <w:r w:rsidR="00025226">
        <w:rPr>
          <w:rFonts w:eastAsiaTheme="majorEastAsia"/>
          <w:lang w:eastAsia="en-US"/>
        </w:rPr>
        <w:t>w</w:t>
      </w:r>
      <w:r>
        <w:rPr>
          <w:rFonts w:eastAsiaTheme="majorEastAsia"/>
          <w:lang w:eastAsia="en-US"/>
        </w:rPr>
        <w:t xml:space="preserve">inny odpowiadać obowiązującym normom. </w:t>
      </w:r>
    </w:p>
    <w:p w14:paraId="4D42543D" w14:textId="07948E99" w:rsidR="003936CF" w:rsidRPr="003936CF" w:rsidRDefault="003936CF" w:rsidP="003936CF">
      <w:pPr>
        <w:widowControl w:val="0"/>
        <w:jc w:val="both"/>
        <w:rPr>
          <w:rFonts w:eastAsiaTheme="majorEastAsia"/>
          <w:lang w:eastAsia="en-US"/>
        </w:rPr>
      </w:pP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8E364C">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450065FA" w14:textId="5357563B" w:rsidR="00E14300" w:rsidRPr="009B5903" w:rsidRDefault="00D77D8F" w:rsidP="00A209C9">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specyfikacja techniczna</w:t>
      </w:r>
      <w:r w:rsidR="00CA1C3F" w:rsidRPr="009B5903">
        <w:rPr>
          <w:rFonts w:eastAsiaTheme="majorEastAsia"/>
          <w:bCs/>
          <w:lang w:eastAsia="en-US"/>
        </w:rPr>
        <w:t xml:space="preserve"> </w:t>
      </w:r>
      <w:r w:rsidRPr="009B5903">
        <w:rPr>
          <w:rFonts w:eastAsiaTheme="majorEastAsia"/>
          <w:bCs/>
          <w:lang w:eastAsia="en-US"/>
        </w:rPr>
        <w:t xml:space="preserve">– </w:t>
      </w:r>
      <w:r w:rsidR="00D27567" w:rsidRPr="009B5903">
        <w:rPr>
          <w:rFonts w:eastAsiaTheme="majorEastAsia"/>
          <w:b/>
          <w:bCs/>
          <w:lang w:eastAsia="en-US"/>
        </w:rPr>
        <w:t xml:space="preserve">załącznik nr </w:t>
      </w:r>
      <w:r w:rsidR="00E83952">
        <w:rPr>
          <w:rFonts w:eastAsiaTheme="majorEastAsia"/>
          <w:b/>
          <w:bCs/>
          <w:lang w:eastAsia="en-US"/>
        </w:rPr>
        <w:t>8</w:t>
      </w:r>
      <w:r w:rsidR="008E364C">
        <w:rPr>
          <w:rFonts w:eastAsiaTheme="majorEastAsia"/>
          <w:b/>
          <w:bCs/>
          <w:lang w:eastAsia="en-US"/>
        </w:rPr>
        <w:t xml:space="preserve"> </w:t>
      </w:r>
      <w:r w:rsidRPr="009B5903">
        <w:rPr>
          <w:rFonts w:eastAsiaTheme="majorEastAsia"/>
          <w:b/>
          <w:bCs/>
          <w:lang w:eastAsia="en-US"/>
        </w:rPr>
        <w:t>do SWZ</w:t>
      </w:r>
      <w:r w:rsidR="00E14300" w:rsidRPr="009B5903">
        <w:rPr>
          <w:rFonts w:eastAsiaTheme="majorEastAsia"/>
          <w:bCs/>
          <w:lang w:eastAsia="en-US"/>
        </w:rPr>
        <w:t xml:space="preserve"> </w:t>
      </w:r>
    </w:p>
    <w:p w14:paraId="4F022E50" w14:textId="33864689" w:rsidR="00B84E48" w:rsidRPr="009B5903" w:rsidRDefault="00E14300" w:rsidP="00F6307D">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 xml:space="preserve">przedmiar robót - </w:t>
      </w:r>
      <w:r w:rsidRPr="009B5903">
        <w:rPr>
          <w:rFonts w:eastAsiaTheme="majorEastAsia"/>
          <w:b/>
          <w:bCs/>
          <w:lang w:eastAsia="en-US"/>
        </w:rPr>
        <w:t xml:space="preserve">załącznik nr </w:t>
      </w:r>
      <w:r w:rsidR="008E364C">
        <w:rPr>
          <w:rFonts w:eastAsiaTheme="majorEastAsia"/>
          <w:b/>
          <w:bCs/>
          <w:lang w:eastAsia="en-US"/>
        </w:rPr>
        <w:t xml:space="preserve">7 </w:t>
      </w:r>
      <w:r w:rsidRPr="009B5903">
        <w:rPr>
          <w:rFonts w:eastAsiaTheme="majorEastAsia"/>
          <w:b/>
          <w:bCs/>
          <w:lang w:eastAsia="en-US"/>
        </w:rPr>
        <w:t>do SWZ</w:t>
      </w:r>
      <w:r w:rsidR="00F6307D">
        <w:rPr>
          <w:rFonts w:eastAsiaTheme="majorEastAsia"/>
          <w:b/>
          <w:bCs/>
          <w:lang w:eastAsia="en-US"/>
        </w:rPr>
        <w:t xml:space="preserve">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0E4E86C4"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w:t>
      </w:r>
      <w:r w:rsidR="005B66F4">
        <w:rPr>
          <w:rFonts w:eastAsiaTheme="majorEastAsia"/>
          <w:color w:val="000000" w:themeColor="text1"/>
          <w:lang w:eastAsia="en-US"/>
        </w:rPr>
        <w:t>24</w:t>
      </w:r>
      <w:r w:rsidRPr="0002118E">
        <w:rPr>
          <w:rFonts w:eastAsiaTheme="majorEastAsia"/>
          <w:color w:val="000000" w:themeColor="text1"/>
          <w:lang w:eastAsia="en-US"/>
        </w:rPr>
        <w:t xml:space="preserve"> m-c  do max. </w:t>
      </w:r>
      <w:r w:rsidR="005B66F4">
        <w:rPr>
          <w:rFonts w:eastAsiaTheme="majorEastAsia"/>
          <w:color w:val="000000" w:themeColor="text1"/>
          <w:lang w:eastAsia="en-US"/>
        </w:rPr>
        <w:t>36</w:t>
      </w:r>
      <w:r w:rsidRPr="0002118E">
        <w:rPr>
          <w:rFonts w:eastAsiaTheme="majorEastAsia"/>
          <w:color w:val="000000" w:themeColor="text1"/>
          <w:lang w:eastAsia="en-US"/>
        </w:rPr>
        <w:t xml:space="preserve"> –m-c. </w:t>
      </w:r>
    </w:p>
    <w:p w14:paraId="734C77D4" w14:textId="659131D0"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w:t>
      </w:r>
      <w:r w:rsidR="005B66F4">
        <w:rPr>
          <w:rFonts w:eastAsiaTheme="majorEastAsia"/>
          <w:color w:val="000000" w:themeColor="text1"/>
          <w:lang w:eastAsia="en-US"/>
        </w:rPr>
        <w:t>24</w:t>
      </w:r>
      <w:r w:rsidRPr="0002118E">
        <w:rPr>
          <w:rFonts w:eastAsiaTheme="majorEastAsia"/>
          <w:color w:val="000000" w:themeColor="text1"/>
          <w:lang w:eastAsia="en-US"/>
        </w:rPr>
        <w:t xml:space="preserve"> m-c  do max. </w:t>
      </w:r>
      <w:r w:rsidR="005B66F4">
        <w:rPr>
          <w:rFonts w:eastAsiaTheme="majorEastAsia"/>
          <w:color w:val="000000" w:themeColor="text1"/>
          <w:lang w:eastAsia="en-US"/>
        </w:rPr>
        <w:t>36</w:t>
      </w:r>
      <w:r w:rsidRPr="0002118E">
        <w:rPr>
          <w:rFonts w:eastAsiaTheme="majorEastAsia"/>
          <w:color w:val="000000" w:themeColor="text1"/>
          <w:lang w:eastAsia="en-US"/>
        </w:rPr>
        <w:t xml:space="preserve"> –m-c.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1D973541"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w:t>
      </w:r>
      <w:r w:rsidR="00650185">
        <w:rPr>
          <w:rFonts w:eastAsiaTheme="majorEastAsia"/>
          <w:color w:val="000000" w:themeColor="text1"/>
          <w:lang w:eastAsia="en-US"/>
        </w:rPr>
        <w:t xml:space="preserve">                  </w:t>
      </w:r>
      <w:r w:rsidRPr="00A209C9">
        <w:rPr>
          <w:rFonts w:eastAsiaTheme="majorEastAsia"/>
          <w:color w:val="000000" w:themeColor="text1"/>
          <w:lang w:eastAsia="en-US"/>
        </w:rPr>
        <w:t xml:space="preserve"> 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C37BD2">
      <w:pPr>
        <w:numPr>
          <w:ilvl w:val="0"/>
          <w:numId w:val="25"/>
        </w:numPr>
        <w:shd w:val="clear" w:color="auto" w:fill="B2A1C7" w:themeFill="accent4" w:themeFillTint="99"/>
        <w:spacing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C37BD2">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lastRenderedPageBreak/>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anonimizacji.</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Pzp</w:t>
      </w:r>
    </w:p>
    <w:p w14:paraId="4ADABCF9" w14:textId="77777777" w:rsidR="007C0085" w:rsidRPr="00A209C9" w:rsidRDefault="007C0085" w:rsidP="00A209C9">
      <w:pPr>
        <w:ind w:left="-142"/>
        <w:jc w:val="both"/>
      </w:pPr>
    </w:p>
    <w:p w14:paraId="36269F5C" w14:textId="71E882F8" w:rsidR="00F04C1F" w:rsidRDefault="00B07F86" w:rsidP="002F0E2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0DC147A8"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00991539">
        <w:rPr>
          <w:rFonts w:eastAsiaTheme="majorEastAsia"/>
          <w:b/>
          <w:color w:val="FF0000"/>
          <w:lang w:eastAsia="en-US"/>
        </w:rPr>
        <w:t xml:space="preserve"> </w:t>
      </w:r>
      <w:r w:rsidR="00991539" w:rsidRPr="00991539">
        <w:rPr>
          <w:rFonts w:eastAsiaTheme="majorEastAsia"/>
          <w:b/>
          <w:lang w:eastAsia="en-US"/>
        </w:rPr>
        <w:t>90</w:t>
      </w:r>
      <w:r w:rsidR="00CD3258">
        <w:rPr>
          <w:rFonts w:eastAsiaTheme="majorEastAsia"/>
          <w:b/>
          <w:lang w:eastAsia="en-US"/>
        </w:rPr>
        <w:t xml:space="preserve">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Pzp,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7D410ECF" w14:textId="24C331FE" w:rsidR="002A0F60" w:rsidRDefault="002A0F60" w:rsidP="00A209C9">
      <w:pPr>
        <w:ind w:left="218"/>
        <w:jc w:val="both"/>
        <w:rPr>
          <w:rFonts w:eastAsiaTheme="majorEastAsia"/>
          <w:b/>
          <w:color w:val="000000" w:themeColor="text1"/>
          <w:lang w:eastAsia="en-US"/>
        </w:rPr>
      </w:pPr>
      <w:r w:rsidRPr="00A209C9">
        <w:rPr>
          <w:rFonts w:eastAsiaTheme="majorEastAsia"/>
          <w:color w:val="000000" w:themeColor="text1"/>
          <w:lang w:eastAsia="en-US"/>
        </w:rPr>
        <w:t xml:space="preserve">1. Warunki dotyczące zdolności zawodowej: Doświadczenie zawodowe: wykonanie należycie, zgodnie z zasadami sztuki budowlanej i prawidłowe ukończenie co najmniej </w:t>
      </w:r>
      <w:r w:rsidR="00526F70">
        <w:rPr>
          <w:rFonts w:eastAsiaTheme="majorEastAsia"/>
          <w:color w:val="000000" w:themeColor="text1"/>
          <w:lang w:eastAsia="en-US"/>
        </w:rPr>
        <w:t>1</w:t>
      </w:r>
      <w:r w:rsidRPr="00A209C9">
        <w:rPr>
          <w:rFonts w:eastAsiaTheme="majorEastAsia"/>
          <w:color w:val="000000" w:themeColor="text1"/>
          <w:lang w:eastAsia="en-US"/>
        </w:rPr>
        <w:t xml:space="preserve"> </w:t>
      </w:r>
      <w:r w:rsidR="00480ABF" w:rsidRPr="00480ABF">
        <w:rPr>
          <w:rFonts w:eastAsiaTheme="majorEastAsia"/>
          <w:color w:val="000000" w:themeColor="text1"/>
          <w:lang w:eastAsia="en-US"/>
        </w:rPr>
        <w:t xml:space="preserve"> inwestycj</w:t>
      </w:r>
      <w:r w:rsidR="00415026">
        <w:rPr>
          <w:rFonts w:eastAsiaTheme="majorEastAsia"/>
          <w:color w:val="000000" w:themeColor="text1"/>
          <w:lang w:eastAsia="en-US"/>
        </w:rPr>
        <w:t>i</w:t>
      </w:r>
      <w:r w:rsidR="00480ABF" w:rsidRPr="00480ABF">
        <w:rPr>
          <w:rFonts w:eastAsiaTheme="majorEastAsia"/>
          <w:color w:val="000000" w:themeColor="text1"/>
          <w:lang w:eastAsia="en-US"/>
        </w:rPr>
        <w:t xml:space="preserve"> (zadani</w:t>
      </w:r>
      <w:r w:rsidR="00036204">
        <w:rPr>
          <w:rFonts w:eastAsiaTheme="majorEastAsia"/>
          <w:color w:val="000000" w:themeColor="text1"/>
          <w:lang w:eastAsia="en-US"/>
        </w:rPr>
        <w:t>a</w:t>
      </w:r>
      <w:r w:rsidR="00480ABF" w:rsidRPr="00480ABF">
        <w:rPr>
          <w:rFonts w:eastAsiaTheme="majorEastAsia"/>
          <w:color w:val="000000" w:themeColor="text1"/>
          <w:lang w:eastAsia="en-US"/>
        </w:rPr>
        <w:t>)  dotycząc</w:t>
      </w:r>
      <w:r w:rsidR="00AF7EC5">
        <w:rPr>
          <w:rFonts w:eastAsiaTheme="majorEastAsia"/>
          <w:color w:val="000000" w:themeColor="text1"/>
          <w:lang w:eastAsia="en-US"/>
        </w:rPr>
        <w:t>ej</w:t>
      </w:r>
      <w:r w:rsidR="00480ABF" w:rsidRPr="00480ABF">
        <w:rPr>
          <w:rFonts w:eastAsiaTheme="majorEastAsia"/>
          <w:color w:val="000000" w:themeColor="text1"/>
          <w:lang w:eastAsia="en-US"/>
        </w:rPr>
        <w:t xml:space="preserve">  remontu, lub modernizacji budynku </w:t>
      </w:r>
      <w:r w:rsidR="00415026">
        <w:rPr>
          <w:rFonts w:eastAsiaTheme="majorEastAsia"/>
          <w:color w:val="000000" w:themeColor="text1"/>
          <w:lang w:eastAsia="en-US"/>
        </w:rPr>
        <w:t xml:space="preserve">o </w:t>
      </w:r>
      <w:r w:rsidRPr="00A209C9">
        <w:rPr>
          <w:rFonts w:eastAsiaTheme="majorEastAsia"/>
          <w:color w:val="000000" w:themeColor="text1"/>
          <w:lang w:eastAsia="en-US"/>
        </w:rPr>
        <w:t>wartości każdego</w:t>
      </w:r>
      <w:r w:rsidR="009E2217" w:rsidRPr="00A209C9">
        <w:rPr>
          <w:rFonts w:eastAsiaTheme="majorEastAsia"/>
          <w:color w:val="000000" w:themeColor="text1"/>
          <w:lang w:eastAsia="en-US"/>
        </w:rPr>
        <w:t xml:space="preserve"> </w:t>
      </w:r>
      <w:r w:rsidR="009E2217" w:rsidRPr="00A209C9">
        <w:rPr>
          <w:rFonts w:eastAsiaTheme="majorEastAsia"/>
          <w:color w:val="000000" w:themeColor="text1"/>
          <w:lang w:eastAsia="en-US"/>
        </w:rPr>
        <w:lastRenderedPageBreak/>
        <w:t xml:space="preserve">zamówienia nie mniejszej niż: </w:t>
      </w:r>
      <w:r w:rsidR="00C92894">
        <w:rPr>
          <w:rFonts w:eastAsiaTheme="majorEastAsia"/>
          <w:color w:val="000000" w:themeColor="text1"/>
          <w:lang w:eastAsia="en-US"/>
        </w:rPr>
        <w:t>40</w:t>
      </w:r>
      <w:r w:rsidR="00955050">
        <w:rPr>
          <w:rFonts w:eastAsiaTheme="majorEastAsia"/>
          <w:color w:val="000000" w:themeColor="text1"/>
          <w:lang w:eastAsia="en-US"/>
        </w:rPr>
        <w:t>0</w:t>
      </w:r>
      <w:r w:rsidR="00C92894">
        <w:rPr>
          <w:rFonts w:eastAsiaTheme="majorEastAsia"/>
          <w:color w:val="000000" w:themeColor="text1"/>
          <w:lang w:eastAsia="en-US"/>
        </w:rPr>
        <w:t xml:space="preserve"> 0</w:t>
      </w:r>
      <w:r w:rsidR="00955050">
        <w:rPr>
          <w:rFonts w:eastAsiaTheme="majorEastAsia"/>
          <w:color w:val="000000" w:themeColor="text1"/>
          <w:lang w:eastAsia="en-US"/>
        </w:rPr>
        <w:t>00,00</w:t>
      </w:r>
      <w:r w:rsidRPr="00A209C9">
        <w:rPr>
          <w:rFonts w:eastAsiaTheme="majorEastAsia"/>
          <w:color w:val="000000" w:themeColor="text1"/>
          <w:lang w:eastAsia="en-US"/>
        </w:rPr>
        <w:t xml:space="preserve"> PLN brutto</w:t>
      </w:r>
      <w:r w:rsidR="00A5175B">
        <w:rPr>
          <w:rFonts w:eastAsiaTheme="majorEastAsia"/>
          <w:color w:val="000000" w:themeColor="text1"/>
          <w:lang w:eastAsia="en-US"/>
        </w:rPr>
        <w:t xml:space="preserve">( słownie: </w:t>
      </w:r>
      <w:r w:rsidR="00C92894">
        <w:rPr>
          <w:rFonts w:eastAsiaTheme="majorEastAsia"/>
          <w:color w:val="000000" w:themeColor="text1"/>
          <w:lang w:eastAsia="en-US"/>
        </w:rPr>
        <w:t>czterysta</w:t>
      </w:r>
      <w:r w:rsidR="00A5175B">
        <w:rPr>
          <w:rFonts w:eastAsiaTheme="majorEastAsia"/>
          <w:color w:val="000000" w:themeColor="text1"/>
          <w:lang w:eastAsia="en-US"/>
        </w:rPr>
        <w:t xml:space="preserve"> tysięcy złotych 00/100)</w:t>
      </w:r>
      <w:r w:rsidRPr="00A209C9">
        <w:rPr>
          <w:rFonts w:eastAsiaTheme="majorEastAsia"/>
          <w:color w:val="000000" w:themeColor="text1"/>
          <w:lang w:eastAsia="en-US"/>
        </w:rPr>
        <w:t>, w okresie ostatnich 5 lat przed upływem terminu składania ofert, a jeżeli okres prowadzenia działalności jest krótszy - w tym okresie z podaniem rodzaju, wartości, daty, miejsca wykonania i podmiotów, na rzecz których roboty budowlane zostały wykonane</w:t>
      </w:r>
      <w:r w:rsidRPr="00A209C9">
        <w:rPr>
          <w:rFonts w:eastAsiaTheme="majorEastAsia"/>
          <w:b/>
          <w:color w:val="000000" w:themeColor="text1"/>
          <w:lang w:eastAsia="en-US"/>
        </w:rPr>
        <w:t>.</w:t>
      </w:r>
      <w:r w:rsidR="00A21726">
        <w:rPr>
          <w:rFonts w:eastAsiaTheme="majorEastAsia"/>
          <w:b/>
          <w:color w:val="000000" w:themeColor="text1"/>
          <w:lang w:eastAsia="en-US"/>
        </w:rPr>
        <w:t xml:space="preserve"> Przez jedną inwestycję rozumie się roboty budowlane wykonywane w ramach jednej umowy.</w:t>
      </w:r>
    </w:p>
    <w:p w14:paraId="5D716C80" w14:textId="77777777" w:rsidR="00C92894" w:rsidRPr="00A209C9" w:rsidRDefault="00C92894"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Pzp.:</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43917457" w14:textId="04FE5ECF" w:rsidR="00A5175B" w:rsidRPr="00095E7F" w:rsidRDefault="00095E7F" w:rsidP="002F0E29">
      <w:pPr>
        <w:widowControl w:val="0"/>
        <w:numPr>
          <w:ilvl w:val="0"/>
          <w:numId w:val="56"/>
        </w:numPr>
        <w:suppressAutoHyphens/>
        <w:autoSpaceDN w:val="0"/>
        <w:ind w:left="567"/>
        <w:jc w:val="both"/>
        <w:textAlignment w:val="baseline"/>
        <w:rPr>
          <w:kern w:val="3"/>
        </w:rPr>
      </w:pPr>
      <w:r w:rsidRPr="00095E7F">
        <w:rPr>
          <w:kern w:val="3"/>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w:t>
      </w:r>
      <w:r w:rsidRPr="00095E7F">
        <w:rPr>
          <w:kern w:val="3"/>
        </w:rPr>
        <w:lastRenderedPageBreak/>
        <w:t>którym mowa w pkt 1;</w:t>
      </w:r>
    </w:p>
    <w:p w14:paraId="2EFB2948" w14:textId="521FD161" w:rsidR="00A5175B" w:rsidRPr="00095E7F" w:rsidRDefault="00095E7F" w:rsidP="002F0E29">
      <w:pPr>
        <w:widowControl w:val="0"/>
        <w:numPr>
          <w:ilvl w:val="0"/>
          <w:numId w:val="56"/>
        </w:numPr>
        <w:suppressAutoHyphens/>
        <w:autoSpaceDN w:val="0"/>
        <w:ind w:left="567"/>
        <w:jc w:val="both"/>
        <w:textAlignment w:val="baseline"/>
        <w:rPr>
          <w:kern w:val="3"/>
        </w:rPr>
      </w:pPr>
      <w:r w:rsidRPr="00095E7F">
        <w:rPr>
          <w:kern w:val="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2299EFC2" w14:textId="29B05387" w:rsidR="00095E7F" w:rsidRPr="00A5175B" w:rsidRDefault="00095E7F" w:rsidP="002F0E29">
      <w:pPr>
        <w:widowControl w:val="0"/>
        <w:numPr>
          <w:ilvl w:val="0"/>
          <w:numId w:val="56"/>
        </w:numPr>
        <w:suppressAutoHyphens/>
        <w:autoSpaceDN w:val="0"/>
        <w:ind w:left="426" w:hanging="425"/>
        <w:jc w:val="both"/>
        <w:textAlignment w:val="baseline"/>
        <w:rPr>
          <w:kern w:val="3"/>
        </w:rPr>
      </w:pPr>
      <w:r w:rsidRPr="00A5175B">
        <w:rPr>
          <w:kern w:val="3"/>
        </w:rPr>
        <w:t xml:space="preserve"> wobec którego prawomocnie orzeczono zakaz ubiegania się o zamówienia publiczne; </w:t>
      </w:r>
    </w:p>
    <w:p w14:paraId="32E14E8F" w14:textId="77777777" w:rsidR="00A5175B" w:rsidRPr="00095E7F" w:rsidRDefault="00A5175B" w:rsidP="00095E7F">
      <w:pPr>
        <w:suppressAutoHyphens/>
        <w:autoSpaceDN w:val="0"/>
        <w:ind w:left="284"/>
        <w:jc w:val="both"/>
        <w:textAlignment w:val="baseline"/>
        <w:rPr>
          <w:kern w:val="3"/>
        </w:rPr>
      </w:pPr>
    </w:p>
    <w:p w14:paraId="7849B132" w14:textId="6C811AFC" w:rsidR="00A5175B" w:rsidRPr="002F0E29" w:rsidRDefault="00095E7F" w:rsidP="002F0E29">
      <w:pPr>
        <w:pStyle w:val="Akapitzlist"/>
        <w:widowControl w:val="0"/>
        <w:numPr>
          <w:ilvl w:val="0"/>
          <w:numId w:val="10"/>
        </w:numPr>
        <w:suppressAutoHyphens/>
        <w:autoSpaceDN w:val="0"/>
        <w:jc w:val="both"/>
        <w:textAlignment w:val="baseline"/>
        <w:rPr>
          <w:kern w:val="3"/>
        </w:rPr>
      </w:pPr>
      <w:r w:rsidRPr="002F0E29">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2FF5378C" w:rsidR="00095E7F" w:rsidRPr="002F0E29" w:rsidRDefault="00095E7F" w:rsidP="002F0E29">
      <w:pPr>
        <w:pStyle w:val="Akapitzlist"/>
        <w:widowControl w:val="0"/>
        <w:numPr>
          <w:ilvl w:val="0"/>
          <w:numId w:val="10"/>
        </w:numPr>
        <w:suppressAutoHyphens/>
        <w:autoSpaceDN w:val="0"/>
        <w:jc w:val="both"/>
        <w:textAlignment w:val="baseline"/>
        <w:rPr>
          <w:kern w:val="3"/>
        </w:rPr>
      </w:pPr>
      <w:r w:rsidRPr="002F0E29">
        <w:rPr>
          <w:kern w:val="3"/>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2F0E29">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6FA114DA"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A2831">
      <w:pPr>
        <w:widowControl w:val="0"/>
        <w:numPr>
          <w:ilvl w:val="0"/>
          <w:numId w:val="48"/>
        </w:numPr>
        <w:suppressAutoHyphens/>
        <w:autoSpaceDN w:val="0"/>
        <w:ind w:left="709"/>
        <w:jc w:val="both"/>
        <w:textAlignment w:val="baseline"/>
        <w:rPr>
          <w:kern w:val="3"/>
        </w:rPr>
      </w:pPr>
      <w:r w:rsidRPr="00095E7F">
        <w:rPr>
          <w:color w:val="000000"/>
          <w:kern w:val="3"/>
        </w:rPr>
        <w:t>art. 109 ust 1 pkt 5, pkt 7, pkt 8, oraz pkt 10 ustawy Pzp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 xml:space="preserve">który w wyniku lekkomyślności lub niedbalstwa przedstawił informacje wprowadzające w błąd, co mogło mieć istotny wpływ na decyzje podejmowane </w:t>
      </w:r>
      <w:r w:rsidRPr="00095E7F">
        <w:rPr>
          <w:color w:val="000000"/>
          <w:kern w:val="3"/>
        </w:rPr>
        <w:lastRenderedPageBreak/>
        <w:t>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rsidP="008A2831">
      <w:pPr>
        <w:widowControl w:val="0"/>
        <w:numPr>
          <w:ilvl w:val="0"/>
          <w:numId w:val="50"/>
        </w:numPr>
        <w:suppressAutoHyphens/>
        <w:autoSpaceDN w:val="0"/>
        <w:ind w:left="567"/>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Pzp,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lastRenderedPageBreak/>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Pr="00A209C9" w:rsidRDefault="002A0F60" w:rsidP="00B14D4C">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lastRenderedPageBreak/>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8E7CFF1" w14:textId="77777777" w:rsidR="00A5175B" w:rsidRDefault="00A5175B" w:rsidP="00A209C9">
      <w:pPr>
        <w:pStyle w:val="Tekstpodstawowy"/>
        <w:spacing w:after="0"/>
        <w:ind w:right="20"/>
        <w:jc w:val="both"/>
        <w:rPr>
          <w:b/>
          <w:color w:val="000000" w:themeColor="text1"/>
        </w:rPr>
      </w:pPr>
    </w:p>
    <w:p w14:paraId="37261D14" w14:textId="77777777" w:rsidR="00A5175B" w:rsidRDefault="00A5175B" w:rsidP="00A209C9">
      <w:pPr>
        <w:pStyle w:val="Tekstpodstawowy"/>
        <w:spacing w:after="0"/>
        <w:ind w:right="20"/>
        <w:jc w:val="both"/>
        <w:rPr>
          <w:b/>
          <w:color w:val="000000" w:themeColor="text1"/>
        </w:rPr>
      </w:pPr>
    </w:p>
    <w:p w14:paraId="09D06845" w14:textId="04BBE3FD"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9045E9" w14:textId="77777777" w:rsidR="002A0F60" w:rsidRPr="00A209C9" w:rsidRDefault="002A0F60" w:rsidP="008A2831">
      <w:pPr>
        <w:numPr>
          <w:ilvl w:val="0"/>
          <w:numId w:val="28"/>
        </w:numPr>
        <w:spacing w:before="240"/>
        <w:ind w:right="-108"/>
        <w:jc w:val="both"/>
        <w:rPr>
          <w:b/>
        </w:rPr>
      </w:pPr>
      <w:r w:rsidRPr="00A209C9">
        <w:rPr>
          <w:b/>
        </w:rPr>
        <w:lastRenderedPageBreak/>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9"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lastRenderedPageBreak/>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893D8A7" w14:textId="0119E6FE" w:rsidR="00C85060" w:rsidRPr="00AD7F5C" w:rsidRDefault="00AD7F5C" w:rsidP="00496293">
      <w:pPr>
        <w:widowControl w:val="0"/>
        <w:numPr>
          <w:ilvl w:val="0"/>
          <w:numId w:val="71"/>
        </w:numPr>
        <w:suppressAutoHyphens/>
        <w:autoSpaceDN w:val="0"/>
        <w:ind w:left="142" w:right="20" w:firstLine="426"/>
        <w:jc w:val="both"/>
        <w:textAlignment w:val="baseline"/>
        <w:rPr>
          <w:kern w:val="3"/>
          <w:lang w:eastAsia="ar-SA"/>
        </w:rPr>
      </w:pPr>
      <w:r w:rsidRPr="00C85060">
        <w:rPr>
          <w:b/>
          <w:kern w:val="3"/>
          <w:u w:val="thick"/>
          <w:lang w:eastAsia="ar-SA"/>
        </w:rPr>
        <w:t>Wszyscy Wykonawcy</w:t>
      </w:r>
      <w:r w:rsidRPr="00C85060">
        <w:rPr>
          <w:b/>
          <w:kern w:val="3"/>
          <w:lang w:eastAsia="ar-SA"/>
        </w:rPr>
        <w:t xml:space="preserve"> </w:t>
      </w:r>
      <w:r w:rsidR="006D4838" w:rsidRPr="006D4838">
        <w:rPr>
          <w:bCs/>
          <w:kern w:val="3"/>
          <w:lang w:eastAsia="ar-SA"/>
        </w:rPr>
        <w:t>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 Kosztorys ma charakter pomocniczy, niemniej jednak  będzie służył rozliczaniu wartości ewentualnych robót dodatkowych lub wartości robót wykonanych do dnia odstąpienia od umowy. Niezałączenie kosztorysu ofertowego będzie skutkować odrzuceniem oferty zgodnie z art. 226ust 1 pkt 5)  ustawy PZP.</w:t>
      </w:r>
    </w:p>
    <w:p w14:paraId="4A210C68" w14:textId="77777777" w:rsidR="00AD7F5C" w:rsidRPr="00C85060" w:rsidRDefault="00AD7F5C" w:rsidP="002F0E29">
      <w:pPr>
        <w:widowControl w:val="0"/>
        <w:suppressAutoHyphens/>
        <w:autoSpaceDN w:val="0"/>
        <w:ind w:left="568"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3BD4839B" w14:textId="1173B95E" w:rsidR="002A0F60" w:rsidRPr="00A209C9" w:rsidRDefault="00C85060" w:rsidP="002F0E29">
      <w:pPr>
        <w:pStyle w:val="Tekstpodstawowy"/>
        <w:tabs>
          <w:tab w:val="left" w:pos="993"/>
        </w:tabs>
        <w:spacing w:after="0"/>
        <w:ind w:left="709" w:right="20"/>
        <w:jc w:val="both"/>
      </w:pPr>
      <w:r w:rsidRPr="00C85060">
        <w:t>a)</w:t>
      </w:r>
      <w:r w:rsidRPr="00C85060">
        <w:tab/>
        <w:t xml:space="preserve">art. 108 ust. pkt 1 i pkt 2, pkt 3, pkt 4, pkt 5, pkt 6; art. 109 ust. 1 pkt 5, pkt 7, pkt 8 i pkt 10 P.z.p. oraz z art. 7 ust 1 ustawy z dnia 13 kwietnia 2022 r. o szczególnych rozwiązaniach w zakresie przeciwdziałania wspieraniu agresji na Ukrainę oraz służących ochronie bezpieczeństwa narodowego. - oświadczenie wykonawcy  o aktualności informacji zawartych w oświadczeniu, o którym mowa w art. 125 ust. 1 ustawy stanowiącym załącznik nr </w:t>
      </w:r>
      <w:r w:rsidR="00A72A0C">
        <w:t>9</w:t>
      </w:r>
      <w:r w:rsidRPr="00C85060">
        <w:t xml:space="preserve"> do SWZ</w:t>
      </w: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8A2831">
      <w:pPr>
        <w:pStyle w:val="Tekstpodstawowy"/>
        <w:numPr>
          <w:ilvl w:val="0"/>
          <w:numId w:val="39"/>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44D56669" w14:textId="77777777" w:rsidR="00D66BAF" w:rsidRPr="008E364C" w:rsidRDefault="00D66BAF" w:rsidP="008A2831">
      <w:pPr>
        <w:pStyle w:val="Akapitzlist"/>
        <w:numPr>
          <w:ilvl w:val="0"/>
          <w:numId w:val="42"/>
        </w:numPr>
        <w:jc w:val="both"/>
        <w:rPr>
          <w:color w:val="000000" w:themeColor="text1"/>
        </w:rPr>
      </w:pPr>
      <w:r w:rsidRPr="00A209C9">
        <w:rPr>
          <w:color w:val="000000" w:themeColor="text1"/>
          <w:shd w:val="clear" w:color="auto" w:fill="FFFFFF"/>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r>
        <w:rPr>
          <w:color w:val="000000" w:themeColor="text1"/>
          <w:shd w:val="clear" w:color="auto" w:fill="FFFFFF"/>
        </w:rPr>
        <w:t xml:space="preserve"> – zgodnie z załącznikiem nr 6 do SWZ </w:t>
      </w:r>
    </w:p>
    <w:p w14:paraId="49C6B4C4" w14:textId="77777777" w:rsidR="00D66BAF" w:rsidRPr="00E21DF6" w:rsidRDefault="00D66BAF" w:rsidP="008E364C">
      <w:pPr>
        <w:pStyle w:val="Akapitzlist"/>
        <w:ind w:left="1080"/>
        <w:jc w:val="both"/>
        <w:rPr>
          <w:color w:val="000000" w:themeColor="text1"/>
        </w:rPr>
      </w:pPr>
    </w:p>
    <w:p w14:paraId="35610BA6" w14:textId="19E04531" w:rsidR="003A18B3"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4BCB2412" w14:textId="5EF66B1D" w:rsidR="00C92894" w:rsidRDefault="00C92894" w:rsidP="00A209C9">
      <w:pPr>
        <w:pStyle w:val="Tekstpodstawowy"/>
        <w:spacing w:after="0"/>
        <w:ind w:right="20"/>
        <w:jc w:val="both"/>
      </w:pPr>
    </w:p>
    <w:p w14:paraId="2E781220" w14:textId="77777777" w:rsidR="00C92894" w:rsidRDefault="00C92894" w:rsidP="00A209C9">
      <w:pPr>
        <w:pStyle w:val="Tekstpodstawowy"/>
        <w:spacing w:after="0"/>
        <w:ind w:right="20"/>
        <w:jc w:val="both"/>
      </w:pP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6F61A580"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C92894">
        <w:rPr>
          <w:b/>
          <w:color w:val="000000" w:themeColor="text1"/>
        </w:rPr>
        <w:t>2</w:t>
      </w:r>
      <w:r w:rsidRPr="00A209C9">
        <w:rPr>
          <w:b/>
          <w:color w:val="000000" w:themeColor="text1"/>
        </w:rPr>
        <w:t>.000,00</w:t>
      </w:r>
      <w:r w:rsidRPr="00A209C9">
        <w:rPr>
          <w:bCs/>
          <w:color w:val="000000" w:themeColor="text1"/>
        </w:rPr>
        <w:t xml:space="preserve">. (słownie: </w:t>
      </w:r>
      <w:r w:rsidR="00C92894">
        <w:rPr>
          <w:bCs/>
          <w:color w:val="000000" w:themeColor="text1"/>
        </w:rPr>
        <w:t xml:space="preserve">dwa </w:t>
      </w:r>
      <w:r w:rsidR="00415026">
        <w:rPr>
          <w:bCs/>
          <w:color w:val="000000" w:themeColor="text1"/>
        </w:rPr>
        <w:t>tysiąc</w:t>
      </w:r>
      <w:r w:rsidR="00C92894">
        <w:rPr>
          <w:bCs/>
          <w:color w:val="000000" w:themeColor="text1"/>
        </w:rPr>
        <w:t>e</w:t>
      </w:r>
      <w:r w:rsidR="00415026" w:rsidRPr="00A209C9">
        <w:rPr>
          <w:bCs/>
          <w:color w:val="000000" w:themeColor="text1"/>
        </w:rPr>
        <w:t xml:space="preserve"> </w:t>
      </w:r>
      <w:r w:rsidRPr="00A209C9">
        <w:rPr>
          <w:bCs/>
          <w:color w:val="000000" w:themeColor="text1"/>
        </w:rPr>
        <w:t xml:space="preserve"> zł.  00/00).</w:t>
      </w:r>
    </w:p>
    <w:p w14:paraId="7500178F" w14:textId="79305A13"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8B22F7">
        <w:rPr>
          <w:b/>
        </w:rPr>
        <w:t>26</w:t>
      </w:r>
      <w:r w:rsidR="004A5B9F" w:rsidRPr="004A5B9F">
        <w:rPr>
          <w:b/>
        </w:rPr>
        <w:t>.0</w:t>
      </w:r>
      <w:r w:rsidR="008B22F7">
        <w:rPr>
          <w:b/>
        </w:rPr>
        <w:t>5</w:t>
      </w:r>
      <w:r w:rsidR="004A5B9F" w:rsidRPr="004A5B9F">
        <w:rPr>
          <w:b/>
        </w:rPr>
        <w:t>.2023</w:t>
      </w:r>
      <w:r w:rsidR="004A5B9F" w:rsidRPr="004A5B9F">
        <w:t xml:space="preserve">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może być wniesione w jednej lub kilku formach wskazanych w art. 97 ust. 7 ustawy Pzp.</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0E3A0A64"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8B22F7" w:rsidRPr="008B22F7">
        <w:rPr>
          <w:b/>
          <w:bCs/>
          <w:color w:val="000000" w:themeColor="text1"/>
        </w:rPr>
        <w:t>26</w:t>
      </w:r>
      <w:r w:rsidR="004A5B9F" w:rsidRPr="00650185">
        <w:rPr>
          <w:b/>
        </w:rPr>
        <w:t>.0</w:t>
      </w:r>
      <w:r w:rsidR="008B22F7">
        <w:rPr>
          <w:b/>
        </w:rPr>
        <w:t>5</w:t>
      </w:r>
      <w:r w:rsidR="004A5B9F" w:rsidRPr="00650185">
        <w:rPr>
          <w:b/>
        </w:rPr>
        <w:t>.2023</w:t>
      </w:r>
      <w:r w:rsidR="004A5B9F" w:rsidRPr="00650185">
        <w:t xml:space="preserve"> </w:t>
      </w:r>
      <w:r w:rsidR="006D19FC" w:rsidRPr="00650185">
        <w:t>ro</w:t>
      </w:r>
      <w:r w:rsidR="006D19FC" w:rsidRPr="00A209C9">
        <w:rPr>
          <w:color w:val="000000" w:themeColor="text1"/>
        </w:rPr>
        <w:t xml:space="preserve">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4" w:name="_Toc42045495"/>
      <w:r w:rsidRPr="00A209C9">
        <w:rPr>
          <w:color w:val="000000" w:themeColor="text1"/>
        </w:rPr>
        <w:t>. 98 ust. 6 ustawy Pzp.</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5" w:name="_Toc42045496"/>
      <w:bookmarkEnd w:id="4"/>
      <w:r w:rsidRPr="00A209C9">
        <w:rPr>
          <w:color w:val="000000" w:themeColor="text1"/>
        </w:rPr>
        <w:t>Zamawiający dokona zwrotu wadium na zasadach określonych w art. 98 ust. 1–5 ustawy Pzp.</w:t>
      </w:r>
      <w:bookmarkEnd w:id="5"/>
    </w:p>
    <w:p w14:paraId="549C304B" w14:textId="479E4B8D" w:rsidR="002F0E29" w:rsidRPr="00A209C9" w:rsidRDefault="002A0F60" w:rsidP="002F0E29">
      <w:pPr>
        <w:numPr>
          <w:ilvl w:val="0"/>
          <w:numId w:val="12"/>
        </w:numPr>
        <w:autoSpaceDE w:val="0"/>
        <w:autoSpaceDN w:val="0"/>
        <w:spacing w:before="120" w:after="120"/>
        <w:jc w:val="both"/>
      </w:pPr>
      <w:r w:rsidRPr="00A209C9">
        <w:t>Zamawiający zatrzymuje wadium wraz z odsetkami na podstawie art. 98 ust. 6 ustawy Pzp.</w:t>
      </w:r>
    </w:p>
    <w:p w14:paraId="6AD02389" w14:textId="77777777" w:rsidR="007B72CA" w:rsidRPr="00A209C9" w:rsidRDefault="007B72CA" w:rsidP="00C37BD2">
      <w:pPr>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7513AD5F" w14:textId="679F78FE" w:rsidR="002F0E2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5538730" w14:textId="7CA8EB5E" w:rsidR="00970482" w:rsidRPr="00A209C9" w:rsidRDefault="00DA5BE2" w:rsidP="00B62981">
      <w:pPr>
        <w:keepLines/>
        <w:numPr>
          <w:ilvl w:val="0"/>
          <w:numId w:val="36"/>
        </w:numPr>
        <w:spacing w:line="276" w:lineRule="auto"/>
        <w:jc w:val="both"/>
      </w:pPr>
      <w:r w:rsidRPr="00A209C9">
        <w:lastRenderedPageBreak/>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bookmarkStart w:id="6" w:name="_21eeoojwb3nb" w:colFirst="0" w:colLast="0"/>
      <w:bookmarkEnd w:id="6"/>
      <w:r w:rsidR="00970482" w:rsidRPr="00A209C9">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970482" w:rsidRPr="00B62981">
        <w:t>kwalifikowanym podpisem elektronicznym</w:t>
      </w:r>
      <w:r w:rsidR="00970482" w:rsidRPr="00A209C9">
        <w:t xml:space="preserve"> lub </w:t>
      </w:r>
      <w:r w:rsidR="00970482" w:rsidRPr="00B62981">
        <w:t>podpisem zaufanym</w:t>
      </w:r>
      <w:r w:rsidR="00970482" w:rsidRPr="00A209C9">
        <w:t xml:space="preserve"> lub </w:t>
      </w:r>
      <w:r w:rsidR="00970482" w:rsidRPr="00B62981">
        <w:t>podpisem osobistym</w:t>
      </w:r>
      <w:r w:rsidR="00970482"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t xml:space="preserve">złożona przy użyciu środków komunikacji elektronicznej tzn. za pośrednictwem </w:t>
      </w:r>
      <w:hyperlink r:id="rId10">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1">
        <w:r w:rsidRPr="00A209C9">
          <w:rPr>
            <w:b/>
            <w:u w:val="single"/>
          </w:rPr>
          <w:t>kwalifikowanym podpisem elektronicznym</w:t>
        </w:r>
      </w:hyperlink>
      <w:r w:rsidRPr="00A209C9">
        <w:t xml:space="preserve"> lub </w:t>
      </w:r>
      <w:hyperlink r:id="rId12">
        <w:r w:rsidRPr="00A209C9">
          <w:rPr>
            <w:b/>
            <w:u w:val="single"/>
          </w:rPr>
          <w:t>podpisem zaufanym</w:t>
        </w:r>
      </w:hyperlink>
      <w:r w:rsidRPr="00A209C9">
        <w:t xml:space="preserve"> lub </w:t>
      </w:r>
      <w:hyperlink r:id="rId13">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t>W przypadku wykorzystania formatu podpisu XAdES zewnętrzny. Zamawiający wymaga dołączenia odpowiedniej ilości plików tj. podpisywanych plików z danymi oraz plików XAdES.</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4">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5">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.doc .docx .xls .xlsx .jpg (.jpeg)</w:t>
      </w:r>
      <w:r w:rsidRPr="00A209C9">
        <w:rPr>
          <w:b/>
          <w:u w:val="single"/>
        </w:rPr>
        <w:t>.</w:t>
      </w:r>
    </w:p>
    <w:p w14:paraId="4994195D" w14:textId="77777777" w:rsidR="00970482" w:rsidRPr="00A209C9" w:rsidRDefault="00970482" w:rsidP="008A2831">
      <w:pPr>
        <w:numPr>
          <w:ilvl w:val="0"/>
          <w:numId w:val="36"/>
        </w:numPr>
        <w:jc w:val="both"/>
      </w:pPr>
      <w:r w:rsidRPr="00A209C9">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.rar .gif .bmp .numbers .pages.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eDoApp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PAdES.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zaleca się opatrzyć podpisem w formacie XAdES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2EAF7712"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r w:rsidR="00415026" w:rsidRPr="00F6307D">
        <w:rPr>
          <w:rFonts w:ascii="TimesNewRomanPS" w:hAnsi="TimesNewRomanPS"/>
          <w:b/>
          <w:bCs/>
          <w:sz w:val="22"/>
          <w:szCs w:val="22"/>
          <w:lang w:eastAsia="zh-CN"/>
        </w:rPr>
        <w:t>Załączony</w:t>
      </w:r>
      <w:r w:rsidRPr="00F6307D">
        <w:rPr>
          <w:rFonts w:ascii="TimesNewRomanPS" w:hAnsi="TimesNewRomanPS"/>
          <w:b/>
          <w:bCs/>
          <w:sz w:val="22"/>
          <w:szCs w:val="22"/>
          <w:lang w:eastAsia="zh-CN"/>
        </w:rPr>
        <w:t xml:space="preserve"> do SWZ przedmiar </w:t>
      </w:r>
      <w:r w:rsidR="00415026" w:rsidRPr="00F6307D">
        <w:rPr>
          <w:rFonts w:ascii="TimesNewRomanPS" w:hAnsi="TimesNewRomanPS"/>
          <w:b/>
          <w:bCs/>
          <w:sz w:val="22"/>
          <w:szCs w:val="22"/>
          <w:lang w:eastAsia="zh-CN"/>
        </w:rPr>
        <w:t>robót</w:t>
      </w:r>
      <w:r w:rsidRPr="00F6307D">
        <w:rPr>
          <w:rFonts w:ascii="TimesNewRomanPS" w:hAnsi="TimesNewRomanPS"/>
          <w:b/>
          <w:bCs/>
          <w:sz w:val="22"/>
          <w:szCs w:val="22"/>
          <w:lang w:eastAsia="zh-CN"/>
        </w:rPr>
        <w:t xml:space="preserve"> ma jedynie charakter informacyjny i pomocniczy.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lastRenderedPageBreak/>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Zgodnie z art. 225 ustawy Pzp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7" w:name="bookmark28"/>
    </w:p>
    <w:bookmarkEnd w:id="7"/>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6">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7">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8">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lastRenderedPageBreak/>
        <w:t xml:space="preserve">Zamawiający będzie przekazywał wykonawcom informacje za pośrednictwem </w:t>
      </w:r>
      <w:hyperlink r:id="rId19">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stały dostęp do sieci Internet o gwarantowanej przepustowości nie mniejszej niż 512 kb/s,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t>zainstalowany program Adobe Acrobat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(hh:mm:ss)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2">
        <w:r w:rsidRPr="00A209C9">
          <w:rPr>
            <w:u w:val="single"/>
          </w:rPr>
          <w:t>platformazakupowa.pl</w:t>
        </w:r>
      </w:hyperlink>
      <w:r w:rsidRPr="00A209C9">
        <w:t xml:space="preserve"> określone w Regulaminie zamieszczonym na stronie internetowej </w:t>
      </w:r>
      <w:hyperlink r:id="rId23">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4">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5">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r w:rsidR="00E9676A" w:rsidRPr="00A209C9">
        <w:t>P.z.p.</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6">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7">
        <w:r w:rsidRPr="00A209C9">
          <w:rPr>
            <w:u w:val="single"/>
          </w:rPr>
          <w:t>platformazakupowa.pl</w:t>
        </w:r>
      </w:hyperlink>
      <w:r w:rsidRPr="00A209C9">
        <w:t xml:space="preserve"> znajdują się w zakładce „Instrukcje dla Wykonawców" na stronie internetowej pod adresem: </w:t>
      </w:r>
      <w:hyperlink r:id="rId28">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lastRenderedPageBreak/>
        <w:t>w zakresie dotyczącym przedmiotu zamówienia:</w:t>
      </w:r>
    </w:p>
    <w:p w14:paraId="0EF8DA5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Czesław Kędziera </w:t>
      </w:r>
    </w:p>
    <w:p w14:paraId="7BDCB60F" w14:textId="562A0F50"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r w:rsidR="007F0535">
        <w:rPr>
          <w:color w:val="000000" w:themeColor="text1"/>
        </w:rPr>
        <w:t xml:space="preserve"> wew. 211</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27EFA003"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r w:rsidR="007F0535">
        <w:rPr>
          <w:color w:val="000000" w:themeColor="text1"/>
        </w:rPr>
        <w:t xml:space="preserve"> wew. 211</w:t>
      </w:r>
    </w:p>
    <w:p w14:paraId="3CE59EA8" w14:textId="77777777" w:rsidR="00B62981" w:rsidRPr="00A209C9" w:rsidRDefault="00B62981"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48FE0848"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C92894">
        <w:rPr>
          <w:b/>
        </w:rPr>
        <w:t>2</w:t>
      </w:r>
      <w:r w:rsidR="008B22F7">
        <w:rPr>
          <w:b/>
        </w:rPr>
        <w:t>6</w:t>
      </w:r>
      <w:r w:rsidR="004A5B9F">
        <w:rPr>
          <w:b/>
        </w:rPr>
        <w:t>.</w:t>
      </w:r>
      <w:r w:rsidR="008B22F7">
        <w:rPr>
          <w:b/>
        </w:rPr>
        <w:t>04</w:t>
      </w:r>
      <w:r w:rsidR="004A5B9F">
        <w:rPr>
          <w:b/>
        </w:rPr>
        <w:t>.2023</w:t>
      </w:r>
      <w:r w:rsidR="004A5B9F" w:rsidRPr="0017395A">
        <w:t xml:space="preserve"> </w:t>
      </w:r>
      <w:r w:rsidR="00A13F11" w:rsidRPr="008E364C">
        <w:rPr>
          <w:b/>
        </w:rPr>
        <w:t>roku</w:t>
      </w:r>
      <w:r w:rsidR="00A13F11" w:rsidRPr="00A209C9">
        <w:t xml:space="preserve"> </w:t>
      </w:r>
      <w:r w:rsidRPr="00A209C9">
        <w:t xml:space="preserve">do godz. </w:t>
      </w:r>
      <w:r w:rsidR="00BB7370">
        <w:rPr>
          <w:b/>
        </w:rPr>
        <w:t>1</w:t>
      </w:r>
      <w:r w:rsidR="003C6F76">
        <w:rPr>
          <w:b/>
        </w:rPr>
        <w:t>3</w:t>
      </w:r>
      <w:r w:rsidR="00A13F11" w:rsidRPr="008E364C">
        <w:rPr>
          <w:b/>
        </w:rPr>
        <w:t>:</w:t>
      </w:r>
      <w:r w:rsidR="00676E61">
        <w:rPr>
          <w:b/>
        </w:rPr>
        <w:t>00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46F31758"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8B22F7">
        <w:rPr>
          <w:b/>
        </w:rPr>
        <w:t>26</w:t>
      </w:r>
      <w:r w:rsidR="004A5B9F">
        <w:rPr>
          <w:b/>
        </w:rPr>
        <w:t>.</w:t>
      </w:r>
      <w:r w:rsidR="008B22F7">
        <w:rPr>
          <w:b/>
        </w:rPr>
        <w:t>04</w:t>
      </w:r>
      <w:r w:rsidR="004A5B9F">
        <w:rPr>
          <w:b/>
        </w:rPr>
        <w:t>.2023</w:t>
      </w:r>
      <w:r w:rsidR="004A5B9F" w:rsidRPr="00A209C9">
        <w:t xml:space="preserve"> </w:t>
      </w:r>
      <w:r w:rsidR="0063334B" w:rsidRPr="00A209C9">
        <w:t xml:space="preserve">o godz. </w:t>
      </w:r>
      <w:r w:rsidR="00BB7370">
        <w:rPr>
          <w:b/>
        </w:rPr>
        <w:t>1</w:t>
      </w:r>
      <w:r w:rsidR="003C6F76">
        <w:rPr>
          <w:b/>
        </w:rPr>
        <w:t>3</w:t>
      </w:r>
      <w:r w:rsidRPr="008E364C">
        <w:rPr>
          <w:b/>
        </w:rPr>
        <w:t>:</w:t>
      </w:r>
      <w:r w:rsidR="00676E61">
        <w:rPr>
          <w:b/>
        </w:rPr>
        <w:t>0</w:t>
      </w:r>
      <w:r w:rsidR="00EC3E55">
        <w:rPr>
          <w:b/>
        </w:rPr>
        <w:t>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2EC2D75C"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4A5B9F">
        <w:rPr>
          <w:b/>
          <w:bCs/>
        </w:rPr>
        <w:t xml:space="preserve"> </w:t>
      </w:r>
      <w:r w:rsidR="00352FCE">
        <w:rPr>
          <w:b/>
          <w:bCs/>
        </w:rPr>
        <w:t>26</w:t>
      </w:r>
      <w:r w:rsidR="004A5B9F">
        <w:rPr>
          <w:b/>
          <w:bCs/>
        </w:rPr>
        <w:t>.0</w:t>
      </w:r>
      <w:r w:rsidR="008B22F7">
        <w:rPr>
          <w:b/>
          <w:bCs/>
        </w:rPr>
        <w:t>5</w:t>
      </w:r>
      <w:r w:rsidR="004A5B9F">
        <w:rPr>
          <w:b/>
          <w:bCs/>
        </w:rPr>
        <w:t xml:space="preserve">.2023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r>
        <w:t>C</w:t>
      </w:r>
      <w:r w:rsidRPr="00A209C9">
        <w:rPr>
          <w:vertAlign w:val="subscript"/>
        </w:rPr>
        <w:t>min</w:t>
      </w:r>
    </w:p>
    <w:p w14:paraId="6D265376" w14:textId="77777777" w:rsidR="009B7133" w:rsidRDefault="009B7133" w:rsidP="009B7133">
      <w:pPr>
        <w:pStyle w:val="Tekstpodstawowy"/>
        <w:spacing w:before="31" w:line="538" w:lineRule="exact"/>
        <w:ind w:left="3969" w:hanging="3733"/>
        <w:jc w:val="both"/>
      </w:pPr>
      <w:r>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r>
        <w:t>C</w:t>
      </w:r>
      <w:r w:rsidRPr="00A209C9">
        <w:rPr>
          <w:vertAlign w:val="subscript"/>
        </w:rPr>
        <w:t>bad</w:t>
      </w:r>
    </w:p>
    <w:p w14:paraId="6F2E48AE" w14:textId="77777777" w:rsidR="009B7133" w:rsidRPr="00A209C9" w:rsidRDefault="009B7133" w:rsidP="009B7133">
      <w:pPr>
        <w:pStyle w:val="Tekstpodstawowy"/>
        <w:spacing w:line="247" w:lineRule="exact"/>
        <w:ind w:left="356"/>
        <w:jc w:val="both"/>
      </w:pPr>
      <w:r w:rsidRPr="00A209C9">
        <w:t>gdzie:</w:t>
      </w:r>
    </w:p>
    <w:p w14:paraId="5DA71D4A" w14:textId="77777777" w:rsidR="009B7133" w:rsidRPr="00A209C9" w:rsidRDefault="009B7133" w:rsidP="009B7133">
      <w:pPr>
        <w:pStyle w:val="Tekstpodstawowy"/>
        <w:spacing w:before="1"/>
        <w:ind w:left="356" w:right="4172"/>
        <w:jc w:val="both"/>
      </w:pPr>
      <w:r w:rsidRPr="00A209C9">
        <w:t>C</w:t>
      </w:r>
      <w:r w:rsidRPr="00A209C9">
        <w:rPr>
          <w:vertAlign w:val="subscript"/>
        </w:rPr>
        <w:t>min</w:t>
      </w:r>
      <w:r w:rsidRPr="00A209C9">
        <w:t xml:space="preserve"> - cena brutto najniższa spośród wszystkich ofert C</w:t>
      </w:r>
      <w:r w:rsidRPr="00A209C9">
        <w:rPr>
          <w:vertAlign w:val="subscript"/>
        </w:rPr>
        <w:t>bad</w:t>
      </w:r>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77CCE8CA" w14:textId="77777777" w:rsidR="005B66F4" w:rsidRPr="005B66F4" w:rsidRDefault="005B66F4" w:rsidP="005B66F4">
      <w:pPr>
        <w:keepNext/>
        <w:keepLines/>
        <w:spacing w:before="1"/>
        <w:ind w:left="356" w:right="271"/>
        <w:jc w:val="both"/>
        <w:outlineLvl w:val="0"/>
        <w:rPr>
          <w:rFonts w:eastAsiaTheme="majorEastAsia"/>
          <w:b/>
          <w:bCs/>
        </w:rPr>
      </w:pPr>
      <w:r w:rsidRPr="005B66F4">
        <w:rPr>
          <w:rFonts w:eastAsiaTheme="majorEastAsia"/>
          <w:b/>
          <w:bCs/>
          <w:u w:val="thick"/>
        </w:rPr>
        <w:t>(G) – waga kryterium 40%:</w:t>
      </w:r>
    </w:p>
    <w:p w14:paraId="0B0B9814" w14:textId="77777777" w:rsidR="005B66F4" w:rsidRPr="005B66F4" w:rsidRDefault="005B66F4" w:rsidP="005B66F4">
      <w:pPr>
        <w:spacing w:after="120"/>
        <w:jc w:val="both"/>
        <w:rPr>
          <w:b/>
        </w:rPr>
      </w:pPr>
    </w:p>
    <w:p w14:paraId="56D5F322" w14:textId="77777777" w:rsidR="005B66F4" w:rsidRPr="005B66F4" w:rsidRDefault="005B66F4" w:rsidP="005B66F4">
      <w:pPr>
        <w:spacing w:before="93" w:after="120"/>
        <w:ind w:left="356" w:right="905"/>
        <w:jc w:val="both"/>
      </w:pPr>
      <w:r w:rsidRPr="005B66F4">
        <w:t>W kryterium wydłużenie okresu gwarancji i rękojmi zostanie zastosowana następująca punktacja:</w:t>
      </w:r>
    </w:p>
    <w:p w14:paraId="68DD3E35" w14:textId="77777777" w:rsidR="005B66F4" w:rsidRPr="005B66F4" w:rsidRDefault="005B66F4" w:rsidP="005B66F4">
      <w:pPr>
        <w:spacing w:before="8" w:after="120"/>
        <w:jc w:val="both"/>
      </w:pPr>
    </w:p>
    <w:p w14:paraId="0AA875D0" w14:textId="77777777" w:rsidR="005B66F4" w:rsidRPr="005B66F4" w:rsidRDefault="005B66F4" w:rsidP="005B66F4">
      <w:pPr>
        <w:widowControl w:val="0"/>
        <w:numPr>
          <w:ilvl w:val="3"/>
          <w:numId w:val="76"/>
        </w:numPr>
        <w:tabs>
          <w:tab w:val="left" w:pos="1785"/>
        </w:tabs>
        <w:suppressAutoHyphens/>
        <w:autoSpaceDN w:val="0"/>
        <w:spacing w:before="1"/>
        <w:ind w:left="708" w:right="233" w:firstLine="0"/>
        <w:jc w:val="both"/>
        <w:textAlignment w:val="baseline"/>
        <w:rPr>
          <w:kern w:val="3"/>
        </w:rPr>
      </w:pPr>
      <w:r w:rsidRPr="005B66F4">
        <w:rPr>
          <w:b/>
          <w:kern w:val="3"/>
        </w:rPr>
        <w:t xml:space="preserve">100 podpunktów </w:t>
      </w:r>
      <w:r w:rsidRPr="005B66F4">
        <w:rPr>
          <w:kern w:val="3"/>
        </w:rPr>
        <w:t xml:space="preserve">otrzyma Wykonawca, który zaoferuje wydłużenie podstawowego okresu gwarancji i rękojmi (24 miesięcy), o </w:t>
      </w:r>
      <w:r w:rsidRPr="005B66F4">
        <w:rPr>
          <w:kern w:val="3"/>
          <w:u w:val="single"/>
        </w:rPr>
        <w:t>12 miesiące ,</w:t>
      </w:r>
    </w:p>
    <w:p w14:paraId="7BBC5805" w14:textId="77777777" w:rsidR="005B66F4" w:rsidRPr="005B66F4" w:rsidRDefault="005B66F4" w:rsidP="005B66F4">
      <w:pPr>
        <w:suppressAutoHyphens/>
        <w:autoSpaceDN w:val="0"/>
        <w:spacing w:before="5" w:after="120"/>
        <w:jc w:val="both"/>
        <w:textAlignment w:val="baseline"/>
        <w:rPr>
          <w:kern w:val="3"/>
          <w:lang w:eastAsia="ar-SA"/>
        </w:rPr>
      </w:pPr>
    </w:p>
    <w:p w14:paraId="03899F26" w14:textId="77777777" w:rsidR="005B66F4" w:rsidRPr="005B66F4" w:rsidRDefault="005B66F4" w:rsidP="005B66F4">
      <w:pPr>
        <w:widowControl w:val="0"/>
        <w:numPr>
          <w:ilvl w:val="3"/>
          <w:numId w:val="76"/>
        </w:numPr>
        <w:tabs>
          <w:tab w:val="left" w:pos="1785"/>
        </w:tabs>
        <w:suppressAutoHyphens/>
        <w:autoSpaceDN w:val="0"/>
        <w:spacing w:before="1"/>
        <w:ind w:left="708" w:right="238" w:firstLine="0"/>
        <w:jc w:val="both"/>
        <w:textAlignment w:val="baseline"/>
        <w:rPr>
          <w:kern w:val="3"/>
        </w:rPr>
      </w:pPr>
      <w:r w:rsidRPr="005B66F4">
        <w:rPr>
          <w:b/>
          <w:kern w:val="3"/>
        </w:rPr>
        <w:t xml:space="preserve">50 podpunktów </w:t>
      </w:r>
      <w:r w:rsidRPr="005B66F4">
        <w:rPr>
          <w:kern w:val="3"/>
        </w:rPr>
        <w:t xml:space="preserve">otrzyma Wykonawca, który zaoferuje wydłużenie podstawowego okresu gwarancji i rękojmi (24 miesięcy), </w:t>
      </w:r>
      <w:r w:rsidRPr="005B66F4">
        <w:rPr>
          <w:kern w:val="3"/>
          <w:u w:val="single"/>
        </w:rPr>
        <w:t xml:space="preserve">o 6 miesięcy </w:t>
      </w:r>
    </w:p>
    <w:p w14:paraId="51AB1480" w14:textId="77777777" w:rsidR="005B66F4" w:rsidRPr="005B66F4" w:rsidRDefault="005B66F4" w:rsidP="005B66F4">
      <w:pPr>
        <w:suppressAutoHyphens/>
        <w:autoSpaceDN w:val="0"/>
        <w:spacing w:before="8" w:after="120"/>
        <w:jc w:val="both"/>
        <w:textAlignment w:val="baseline"/>
        <w:rPr>
          <w:kern w:val="3"/>
          <w:lang w:eastAsia="ar-SA"/>
        </w:rPr>
      </w:pPr>
    </w:p>
    <w:p w14:paraId="2B3E45F9" w14:textId="77777777" w:rsidR="005B66F4" w:rsidRPr="005B66F4" w:rsidRDefault="005B66F4" w:rsidP="005B66F4">
      <w:pPr>
        <w:widowControl w:val="0"/>
        <w:numPr>
          <w:ilvl w:val="3"/>
          <w:numId w:val="76"/>
        </w:numPr>
        <w:tabs>
          <w:tab w:val="left" w:pos="1785"/>
        </w:tabs>
        <w:suppressAutoHyphens/>
        <w:autoSpaceDN w:val="0"/>
        <w:ind w:left="708" w:right="237" w:firstLine="0"/>
        <w:jc w:val="both"/>
        <w:textAlignment w:val="baseline"/>
        <w:rPr>
          <w:kern w:val="3"/>
        </w:rPr>
      </w:pPr>
      <w:r w:rsidRPr="005B66F4">
        <w:rPr>
          <w:b/>
          <w:kern w:val="3"/>
        </w:rPr>
        <w:t xml:space="preserve">0 podpunktów </w:t>
      </w:r>
      <w:r w:rsidRPr="005B66F4">
        <w:rPr>
          <w:kern w:val="3"/>
        </w:rPr>
        <w:t xml:space="preserve">otrzyma Wykonawca, który nie przedłuży okresu gwarancji i rękojmi, czyli zaoferuje  </w:t>
      </w:r>
      <w:r w:rsidRPr="005B66F4">
        <w:rPr>
          <w:spacing w:val="-4"/>
          <w:kern w:val="3"/>
        </w:rPr>
        <w:t xml:space="preserve">minimalny,  </w:t>
      </w:r>
      <w:r w:rsidRPr="005B66F4">
        <w:rPr>
          <w:kern w:val="3"/>
        </w:rPr>
        <w:t xml:space="preserve">podstawowy  okres  gwarancji  i  rękojmi  tj.  24  </w:t>
      </w:r>
      <w:r w:rsidRPr="005B66F4">
        <w:rPr>
          <w:spacing w:val="-4"/>
          <w:kern w:val="3"/>
        </w:rPr>
        <w:t>miesięcy</w:t>
      </w:r>
    </w:p>
    <w:p w14:paraId="0F0F2246" w14:textId="77777777" w:rsidR="005B66F4" w:rsidRPr="005B66F4" w:rsidRDefault="005B66F4" w:rsidP="005B66F4">
      <w:pPr>
        <w:jc w:val="both"/>
      </w:pPr>
    </w:p>
    <w:p w14:paraId="52A28F7A" w14:textId="77777777" w:rsidR="005B66F4" w:rsidRPr="005B66F4" w:rsidRDefault="005B66F4" w:rsidP="005B66F4">
      <w:pPr>
        <w:ind w:left="356"/>
        <w:jc w:val="both"/>
      </w:pPr>
      <w:r w:rsidRPr="005B66F4">
        <w:t>Wymagany minimalny okres gwarancji i rękojmi na roboty budowlane wynosi 36 miesięcy. Ocena ofert w tym kryterium zostanie przeprowadzona w oparciu o poniższy wzór:</w:t>
      </w:r>
    </w:p>
    <w:p w14:paraId="41671010" w14:textId="77777777" w:rsidR="005B66F4" w:rsidRPr="005B66F4" w:rsidRDefault="005B66F4" w:rsidP="005B66F4">
      <w:pPr>
        <w:ind w:left="356"/>
        <w:jc w:val="both"/>
      </w:pPr>
    </w:p>
    <w:p w14:paraId="29E0205D" w14:textId="77777777" w:rsidR="005B66F4" w:rsidRPr="005B66F4" w:rsidRDefault="005B66F4" w:rsidP="005B66F4">
      <w:pPr>
        <w:spacing w:before="61" w:line="275" w:lineRule="exact"/>
        <w:ind w:left="4253" w:right="1473"/>
        <w:jc w:val="both"/>
      </w:pPr>
      <w:r w:rsidRPr="005B66F4">
        <w:rPr>
          <w:position w:val="4"/>
        </w:rPr>
        <w:t>G</w:t>
      </w:r>
      <w:r w:rsidRPr="005B66F4">
        <w:t>ppkt</w:t>
      </w:r>
    </w:p>
    <w:p w14:paraId="16464E81" w14:textId="77777777" w:rsidR="005B66F4" w:rsidRPr="005B66F4" w:rsidRDefault="005B66F4" w:rsidP="005B66F4">
      <w:pPr>
        <w:tabs>
          <w:tab w:val="left" w:pos="2912"/>
          <w:tab w:val="left" w:pos="5754"/>
        </w:tabs>
        <w:spacing w:after="120" w:line="244" w:lineRule="exact"/>
        <w:ind w:left="356"/>
        <w:jc w:val="both"/>
      </w:pPr>
      <w:r w:rsidRPr="005B66F4">
        <w:t>Wartość</w:t>
      </w:r>
      <w:r w:rsidRPr="005B66F4">
        <w:rPr>
          <w:spacing w:val="-3"/>
        </w:rPr>
        <w:t xml:space="preserve"> </w:t>
      </w:r>
      <w:r w:rsidRPr="005B66F4">
        <w:t>punktowa</w:t>
      </w:r>
      <w:r w:rsidRPr="005B66F4">
        <w:rPr>
          <w:spacing w:val="-2"/>
        </w:rPr>
        <w:t xml:space="preserve"> </w:t>
      </w:r>
      <w:r w:rsidRPr="005B66F4">
        <w:t>„G”</w:t>
      </w:r>
      <w:r w:rsidRPr="005B66F4">
        <w:tab/>
        <w:t>=</w:t>
      </w:r>
      <w:r w:rsidRPr="005B66F4">
        <w:rPr>
          <w:spacing w:val="51"/>
        </w:rPr>
        <w:t xml:space="preserve"> </w:t>
      </w:r>
      <w:r w:rsidRPr="005B66F4">
        <w:t>--------------------------------</w:t>
      </w:r>
      <w:r w:rsidRPr="005B66F4">
        <w:tab/>
        <w:t>x</w:t>
      </w:r>
      <w:r w:rsidRPr="005B66F4">
        <w:rPr>
          <w:spacing w:val="60"/>
        </w:rPr>
        <w:t xml:space="preserve"> </w:t>
      </w:r>
      <w:r w:rsidRPr="005B66F4">
        <w:t>Max(G)</w:t>
      </w:r>
    </w:p>
    <w:p w14:paraId="223E5F9D" w14:textId="77777777" w:rsidR="005B66F4" w:rsidRPr="005B66F4" w:rsidRDefault="005B66F4" w:rsidP="005B66F4">
      <w:pPr>
        <w:spacing w:before="57" w:line="272" w:lineRule="exact"/>
        <w:ind w:left="4253" w:right="1472"/>
        <w:jc w:val="both"/>
      </w:pPr>
      <w:r w:rsidRPr="005B66F4">
        <w:rPr>
          <w:position w:val="4"/>
        </w:rPr>
        <w:t>G</w:t>
      </w:r>
      <w:r w:rsidRPr="005B66F4">
        <w:t>max</w:t>
      </w:r>
    </w:p>
    <w:p w14:paraId="4DE6DF14" w14:textId="77777777" w:rsidR="005B66F4" w:rsidRPr="005B66F4" w:rsidRDefault="005B66F4" w:rsidP="005B66F4">
      <w:pPr>
        <w:spacing w:after="120" w:line="247" w:lineRule="exact"/>
        <w:ind w:left="356"/>
        <w:jc w:val="both"/>
      </w:pPr>
      <w:r w:rsidRPr="005B66F4">
        <w:t>gdzie:</w:t>
      </w:r>
    </w:p>
    <w:p w14:paraId="2D08E253" w14:textId="77777777" w:rsidR="005B66F4" w:rsidRPr="005B66F4" w:rsidRDefault="005B66F4" w:rsidP="005B66F4">
      <w:pPr>
        <w:spacing w:before="54" w:after="120"/>
        <w:ind w:left="356"/>
        <w:jc w:val="both"/>
      </w:pPr>
      <w:r w:rsidRPr="005B66F4">
        <w:t>G</w:t>
      </w:r>
      <w:r w:rsidRPr="005B66F4">
        <w:rPr>
          <w:position w:val="-3"/>
        </w:rPr>
        <w:t xml:space="preserve">ppkt </w:t>
      </w:r>
      <w:r w:rsidRPr="005B66F4">
        <w:t>– podpunkty przyznane za wydłużenie okresu gwarancji i rękojmi badanej oferty</w:t>
      </w:r>
    </w:p>
    <w:p w14:paraId="48DF5EBF" w14:textId="77777777" w:rsidR="005B66F4" w:rsidRPr="005B66F4" w:rsidRDefault="005B66F4" w:rsidP="005B66F4">
      <w:pPr>
        <w:spacing w:before="48" w:after="120" w:line="225" w:lineRule="auto"/>
        <w:ind w:left="356" w:right="1200"/>
        <w:jc w:val="both"/>
      </w:pPr>
      <w:r w:rsidRPr="005B66F4">
        <w:t>G</w:t>
      </w:r>
      <w:r w:rsidRPr="005B66F4">
        <w:rPr>
          <w:position w:val="-3"/>
        </w:rPr>
        <w:t xml:space="preserve">max </w:t>
      </w:r>
      <w:r w:rsidRPr="005B66F4">
        <w:t>– maksymalna możliwa do uzyskania ilość podpunktów za wydłużenie okresu gwarancji i rękojmi tj. 100 podpunktów)</w:t>
      </w:r>
    </w:p>
    <w:p w14:paraId="3C42A200" w14:textId="77777777" w:rsidR="005B66F4" w:rsidRPr="005B66F4" w:rsidRDefault="005B66F4" w:rsidP="005B66F4">
      <w:pPr>
        <w:spacing w:before="3" w:after="120"/>
        <w:ind w:left="356" w:right="236"/>
        <w:jc w:val="both"/>
      </w:pPr>
      <w:r w:rsidRPr="005B66F4">
        <w:t>Max(G) - maksymalna ilość punktów, jakie może otrzymać oferta za kryterium wydłużenie okresu gwarancji i rękojmi (tj. 40 pkt)</w:t>
      </w:r>
    </w:p>
    <w:p w14:paraId="634DA0F5" w14:textId="77777777" w:rsidR="005B66F4" w:rsidRPr="005B66F4" w:rsidRDefault="005B66F4" w:rsidP="005B66F4">
      <w:pPr>
        <w:keepNext/>
        <w:keepLines/>
        <w:spacing w:before="480" w:line="251" w:lineRule="exact"/>
        <w:ind w:left="356"/>
        <w:jc w:val="both"/>
        <w:outlineLvl w:val="0"/>
        <w:rPr>
          <w:rFonts w:eastAsiaTheme="majorEastAsia"/>
          <w:b/>
          <w:bCs/>
        </w:rPr>
      </w:pPr>
      <w:r w:rsidRPr="005B66F4">
        <w:rPr>
          <w:rFonts w:eastAsiaTheme="majorEastAsia"/>
          <w:b/>
          <w:bCs/>
        </w:rPr>
        <w:t>UWAGA!</w:t>
      </w:r>
    </w:p>
    <w:p w14:paraId="3424B15E" w14:textId="77777777" w:rsidR="005B66F4" w:rsidRPr="005B66F4" w:rsidRDefault="005B66F4" w:rsidP="005B66F4">
      <w:pPr>
        <w:spacing w:before="2" w:after="120"/>
        <w:jc w:val="both"/>
        <w:rPr>
          <w:b/>
        </w:rPr>
      </w:pPr>
    </w:p>
    <w:p w14:paraId="7EB53F3B" w14:textId="77777777" w:rsidR="005B66F4" w:rsidRPr="005B66F4" w:rsidRDefault="005B66F4" w:rsidP="005B66F4">
      <w:pPr>
        <w:widowControl w:val="0"/>
        <w:numPr>
          <w:ilvl w:val="0"/>
          <w:numId w:val="40"/>
        </w:numPr>
        <w:tabs>
          <w:tab w:val="left" w:pos="657"/>
        </w:tabs>
        <w:autoSpaceDE w:val="0"/>
        <w:autoSpaceDN w:val="0"/>
        <w:spacing w:before="4"/>
        <w:ind w:right="241" w:firstLine="0"/>
        <w:jc w:val="both"/>
      </w:pPr>
      <w:r w:rsidRPr="005B66F4">
        <w:t>Punktacja w kryterium wydłużenie okresu gwarancji  i  rękojmi  (G)  zostanie  przyznana w oparciu o oświadczenie Wykonawcy zawarte w formularzu ofertowym stanowiącym załącznik nr 1 do SWZ.</w:t>
      </w:r>
    </w:p>
    <w:p w14:paraId="0A47C3B5" w14:textId="77777777" w:rsidR="005B66F4" w:rsidRPr="005B66F4" w:rsidRDefault="005B66F4" w:rsidP="005B66F4">
      <w:pPr>
        <w:widowControl w:val="0"/>
        <w:numPr>
          <w:ilvl w:val="0"/>
          <w:numId w:val="40"/>
        </w:numPr>
        <w:tabs>
          <w:tab w:val="left" w:pos="645"/>
        </w:tabs>
        <w:autoSpaceDE w:val="0"/>
        <w:autoSpaceDN w:val="0"/>
        <w:ind w:right="231" w:firstLine="0"/>
        <w:jc w:val="both"/>
      </w:pPr>
      <w:r w:rsidRPr="005B66F4">
        <w:t xml:space="preserve">Brak zadeklarowania okresu gwarancji w formularzu ofertowym stanowiącym załącznik  nr 1 do SWZ (pozostawienie pustego miejsca) będzie równoznaczne </w:t>
      </w:r>
      <w:r w:rsidRPr="005B66F4">
        <w:br/>
        <w:t>z zaoferowaniem przez Wykonawcę minimalnego okresu gwarancji na roboty budowlane tj. 24 miesięcy. W takiej sytuacji Wykonawca w przedmiotowym kryterium otrzyma 0</w:t>
      </w:r>
      <w:r w:rsidRPr="005B66F4">
        <w:rPr>
          <w:spacing w:val="-11"/>
        </w:rPr>
        <w:t xml:space="preserve"> </w:t>
      </w:r>
      <w:r w:rsidRPr="005B66F4">
        <w:t>punktów.</w:t>
      </w:r>
    </w:p>
    <w:p w14:paraId="7E2BA13C" w14:textId="77777777" w:rsidR="005B66F4" w:rsidRPr="005B66F4" w:rsidRDefault="005B66F4" w:rsidP="005B66F4">
      <w:pPr>
        <w:widowControl w:val="0"/>
        <w:numPr>
          <w:ilvl w:val="0"/>
          <w:numId w:val="40"/>
        </w:numPr>
        <w:tabs>
          <w:tab w:val="left" w:pos="630"/>
        </w:tabs>
        <w:autoSpaceDE w:val="0"/>
        <w:autoSpaceDN w:val="0"/>
        <w:ind w:right="-108" w:firstLine="0"/>
        <w:jc w:val="both"/>
      </w:pPr>
      <w:r w:rsidRPr="005B66F4">
        <w:t xml:space="preserve">W przypadku, gdy Wykonawca zaoferuje okres gwarancji krótszy niż 36 miesięcy, jego oferta zostanie odrzucona na podstawie art. 226 ust. 1 pkt 5 Pzp - jako oferta niezgodna </w:t>
      </w:r>
      <w:r w:rsidRPr="005B66F4">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należytego wykonania umowy może być wnoszone według wyboru wykonawcy w jednej lub w kilku formach wskazanych w art. 450 ust. 1 ustawy Pzp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lastRenderedPageBreak/>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Pzp.</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Do zmiany formy zabezpieczenia w trakcie realizacji umowy stosuje się art. 451 ustawy Pzp.</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0B9C5529"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 xml:space="preserve">go wykonania zadania nr </w:t>
      </w:r>
      <w:r w:rsidR="00E85F91">
        <w:rPr>
          <w:color w:val="000000" w:themeColor="text1"/>
        </w:rPr>
        <w:t>ZP.271.</w:t>
      </w:r>
      <w:r w:rsidR="008B22F7">
        <w:rPr>
          <w:color w:val="000000" w:themeColor="text1"/>
        </w:rPr>
        <w:t>10</w:t>
      </w:r>
      <w:r w:rsidR="00E85F91">
        <w:rPr>
          <w:color w:val="000000" w:themeColor="text1"/>
        </w:rPr>
        <w:t>.2023</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że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 xml:space="preserve">bezwarunkowe, nieodwołalne, płatne na pierwsze żądanie, zobowiązanie gwaranta do wypłaty zamawiającemu pełnej kwoty zabezpieczenia w przypadku, o którym mowa </w:t>
      </w:r>
      <w:r w:rsidRPr="00A209C9">
        <w:rPr>
          <w:color w:val="000000" w:themeColor="text1"/>
        </w:rPr>
        <w:lastRenderedPageBreak/>
        <w:t>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3A6DBB7" w14:textId="7C8D430E" w:rsidR="00F6307D" w:rsidRPr="00A209C9" w:rsidRDefault="00177071" w:rsidP="002F0E29">
      <w:pPr>
        <w:shd w:val="clear" w:color="auto" w:fill="FFFFFF"/>
        <w:spacing w:before="100" w:beforeAutospacing="1" w:after="100" w:afterAutospacing="1"/>
        <w:jc w:val="both"/>
        <w:rPr>
          <w:color w:val="000000" w:themeColor="text1"/>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w:t>
      </w:r>
      <w:r w:rsidR="002F0E29">
        <w:rPr>
          <w:rFonts w:ascii="TimesNewRomanPSMT" w:hAnsi="TimesNewRomanPSMT" w:cs="TimesNewRomanPSMT"/>
          <w:sz w:val="22"/>
          <w:szCs w:val="22"/>
          <w:lang w:eastAsia="zh-CN"/>
        </w:rPr>
        <w:t xml:space="preserve"> </w:t>
      </w: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8"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Pzp,</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3EAEE0F6" w:rsidR="00A13F11" w:rsidRPr="00A13F11" w:rsidRDefault="00A13F11" w:rsidP="00A13F11">
      <w:pPr>
        <w:widowControl w:val="0"/>
        <w:snapToGrid w:val="0"/>
        <w:jc w:val="both"/>
        <w:rPr>
          <w:b/>
        </w:rPr>
      </w:pPr>
      <w:r w:rsidRPr="00A13F11">
        <w:rPr>
          <w:b/>
        </w:rPr>
        <w:t xml:space="preserve">- załącznik nr 6 do SWZ -  wykaz robót budowlanych </w:t>
      </w:r>
    </w:p>
    <w:p w14:paraId="4E7BDE8D" w14:textId="4E61106B"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przedmiar robót </w:t>
      </w:r>
    </w:p>
    <w:p w14:paraId="0115A4AA" w14:textId="633A4AA3"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Specyfikacja Techniczna Wykonania i Odbioru Robót </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1869842B" w14:textId="77777777" w:rsidR="000B0AC8" w:rsidRDefault="000B0AC8" w:rsidP="00A209C9">
      <w:pPr>
        <w:pStyle w:val="pkt"/>
        <w:spacing w:before="0" w:after="0" w:line="240" w:lineRule="auto"/>
        <w:ind w:left="0" w:firstLine="0"/>
        <w:rPr>
          <w:szCs w:val="24"/>
        </w:rPr>
      </w:pPr>
    </w:p>
    <w:p w14:paraId="23002F0E" w14:textId="77777777" w:rsidR="000B0AC8" w:rsidRDefault="000B0AC8" w:rsidP="00A209C9">
      <w:pPr>
        <w:pStyle w:val="pkt"/>
        <w:spacing w:before="0" w:after="0" w:line="240" w:lineRule="auto"/>
        <w:ind w:left="0" w:firstLine="0"/>
        <w:rPr>
          <w:szCs w:val="24"/>
        </w:rPr>
      </w:pPr>
    </w:p>
    <w:p w14:paraId="5617F18C" w14:textId="77777777" w:rsidR="00177071" w:rsidRPr="00A209C9" w:rsidRDefault="00177071" w:rsidP="00A209C9">
      <w:pPr>
        <w:pStyle w:val="pkt"/>
        <w:spacing w:before="0" w:after="0" w:line="240" w:lineRule="auto"/>
        <w:ind w:left="0" w:firstLine="0"/>
        <w:rPr>
          <w:szCs w:val="24"/>
        </w:rPr>
      </w:pPr>
    </w:p>
    <w:p w14:paraId="0D7E8F86" w14:textId="60B39442" w:rsidR="00135E48" w:rsidRPr="00A209C9" w:rsidRDefault="007F61ED" w:rsidP="00A209C9">
      <w:pPr>
        <w:pStyle w:val="pkt"/>
        <w:spacing w:before="0" w:after="0" w:line="240" w:lineRule="auto"/>
        <w:ind w:left="0" w:firstLine="0"/>
        <w:rPr>
          <w:szCs w:val="24"/>
        </w:rPr>
      </w:pPr>
      <w:r w:rsidRPr="00A209C9">
        <w:rPr>
          <w:iCs/>
          <w:szCs w:val="24"/>
        </w:rPr>
        <w:t>Świerzno</w:t>
      </w:r>
      <w:r w:rsidR="0011460F" w:rsidRPr="00A209C9">
        <w:rPr>
          <w:szCs w:val="24"/>
        </w:rPr>
        <w:t>, dnia</w:t>
      </w:r>
      <w:r w:rsidR="00135E48" w:rsidRPr="00A209C9">
        <w:rPr>
          <w:szCs w:val="24"/>
        </w:rPr>
        <w:t xml:space="preserve">                                                           </w:t>
      </w:r>
    </w:p>
    <w:p w14:paraId="4B54CB57" w14:textId="77777777" w:rsidR="00135E48" w:rsidRPr="00A209C9" w:rsidRDefault="00135E48" w:rsidP="00A209C9">
      <w:pPr>
        <w:pStyle w:val="pkt"/>
        <w:spacing w:before="0" w:after="0" w:line="240" w:lineRule="auto"/>
        <w:ind w:left="0" w:firstLine="0"/>
        <w:rPr>
          <w:szCs w:val="24"/>
        </w:rPr>
      </w:pPr>
      <w:r w:rsidRPr="00A209C9">
        <w:rPr>
          <w:szCs w:val="24"/>
        </w:rPr>
        <w:t xml:space="preserve">                   </w:t>
      </w:r>
    </w:p>
    <w:p w14:paraId="0F09A346" w14:textId="77777777" w:rsidR="00135E48" w:rsidRPr="00A209C9" w:rsidRDefault="00135E48" w:rsidP="00A209C9">
      <w:pPr>
        <w:pStyle w:val="pkt"/>
        <w:spacing w:before="0" w:after="0" w:line="240" w:lineRule="auto"/>
        <w:ind w:left="0" w:firstLine="0"/>
        <w:rPr>
          <w:szCs w:val="24"/>
        </w:rPr>
      </w:pPr>
    </w:p>
    <w:p w14:paraId="7FC95FA9" w14:textId="77777777" w:rsidR="00135E48" w:rsidRPr="00A209C9" w:rsidRDefault="00135E48" w:rsidP="00A209C9">
      <w:pPr>
        <w:pStyle w:val="pkt"/>
        <w:spacing w:before="0" w:after="0" w:line="240" w:lineRule="auto"/>
        <w:ind w:left="0" w:firstLine="0"/>
        <w:rPr>
          <w:szCs w:val="24"/>
        </w:rPr>
      </w:pPr>
    </w:p>
    <w:p w14:paraId="47B70CE7" w14:textId="502D4D0A" w:rsidR="00135E48" w:rsidRPr="00A209C9" w:rsidRDefault="00135E48" w:rsidP="00F56B7E">
      <w:pPr>
        <w:pStyle w:val="pkt"/>
        <w:spacing w:before="0" w:after="0" w:line="240" w:lineRule="auto"/>
        <w:ind w:left="0" w:firstLine="0"/>
        <w:jc w:val="right"/>
        <w:rPr>
          <w:szCs w:val="24"/>
        </w:rPr>
      </w:pPr>
      <w:r w:rsidRPr="00A209C9">
        <w:rPr>
          <w:szCs w:val="24"/>
        </w:rPr>
        <w:t xml:space="preserve">                                                                 </w:t>
      </w:r>
      <w:r w:rsidR="008508D5" w:rsidRPr="00A209C9">
        <w:rPr>
          <w:szCs w:val="24"/>
        </w:rPr>
        <w:t xml:space="preserve">     </w:t>
      </w:r>
      <w:r w:rsidR="008508D5" w:rsidRPr="00A209C9">
        <w:rPr>
          <w:szCs w:val="24"/>
        </w:rPr>
        <w:tab/>
      </w:r>
      <w:r w:rsidR="008508D5" w:rsidRPr="00A209C9">
        <w:rPr>
          <w:szCs w:val="24"/>
        </w:rPr>
        <w:tab/>
        <w:t xml:space="preserve">  </w:t>
      </w:r>
      <w:r w:rsidR="00F56B7E">
        <w:rPr>
          <w:szCs w:val="24"/>
        </w:rPr>
        <w:t>………..</w:t>
      </w:r>
      <w:r w:rsidR="008508D5" w:rsidRPr="00A209C9">
        <w:rPr>
          <w:szCs w:val="24"/>
        </w:rPr>
        <w:t>……………………………………………………..</w:t>
      </w:r>
    </w:p>
    <w:p w14:paraId="245FDF36" w14:textId="7794D714" w:rsidR="008508D5" w:rsidRPr="00A209C9" w:rsidRDefault="000521B3" w:rsidP="00F56B7E">
      <w:pPr>
        <w:pStyle w:val="pkt"/>
        <w:spacing w:before="0" w:after="0" w:line="240" w:lineRule="auto"/>
        <w:ind w:left="2124" w:firstLine="708"/>
        <w:jc w:val="right"/>
        <w:rPr>
          <w:b/>
          <w:snapToGrid w:val="0"/>
          <w:szCs w:val="24"/>
        </w:rPr>
      </w:pPr>
      <w:r w:rsidRPr="00A209C9">
        <w:rPr>
          <w:szCs w:val="24"/>
        </w:rPr>
        <w:t>Podpis k</w:t>
      </w:r>
      <w:r w:rsidR="008508D5" w:rsidRPr="00A209C9">
        <w:rPr>
          <w:szCs w:val="24"/>
        </w:rPr>
        <w:t xml:space="preserve">ierownika zamawiającego lub osoby upoważnionej </w:t>
      </w:r>
    </w:p>
    <w:p w14:paraId="5476D062" w14:textId="77777777" w:rsidR="00135E48" w:rsidRPr="00A209C9" w:rsidRDefault="00135E48" w:rsidP="00A209C9">
      <w:pPr>
        <w:widowControl w:val="0"/>
        <w:tabs>
          <w:tab w:val="left" w:pos="0"/>
        </w:tabs>
        <w:jc w:val="both"/>
        <w:rPr>
          <w:b/>
          <w:snapToGrid w:val="0"/>
        </w:rPr>
      </w:pPr>
    </w:p>
    <w:p w14:paraId="709F8F3D" w14:textId="65FED2F1" w:rsidR="00135E48" w:rsidRPr="00A209C9" w:rsidRDefault="00135E48" w:rsidP="00A209C9">
      <w:pPr>
        <w:widowControl w:val="0"/>
        <w:tabs>
          <w:tab w:val="left" w:pos="0"/>
        </w:tabs>
        <w:spacing w:line="276" w:lineRule="auto"/>
        <w:jc w:val="both"/>
        <w:rPr>
          <w:b/>
          <w:snapToGrid w:val="0"/>
        </w:rPr>
      </w:pPr>
      <w:r w:rsidRPr="00A209C9">
        <w:rPr>
          <w:b/>
          <w:snapToGrid w:val="0"/>
        </w:rPr>
        <w:t xml:space="preserve">Podpisy członków </w:t>
      </w:r>
      <w:r w:rsidR="002C37E6" w:rsidRPr="00A209C9">
        <w:rPr>
          <w:b/>
          <w:snapToGrid w:val="0"/>
        </w:rPr>
        <w:t>k</w:t>
      </w:r>
      <w:r w:rsidRPr="00A209C9">
        <w:rPr>
          <w:b/>
          <w:snapToGrid w:val="0"/>
        </w:rPr>
        <w:t xml:space="preserve">omisji </w:t>
      </w:r>
      <w:r w:rsidR="002C37E6" w:rsidRPr="00A209C9">
        <w:rPr>
          <w:b/>
          <w:snapToGrid w:val="0"/>
        </w:rPr>
        <w:t>p</w:t>
      </w:r>
      <w:r w:rsidRPr="00A209C9">
        <w:rPr>
          <w:b/>
          <w:snapToGrid w:val="0"/>
        </w:rPr>
        <w:t xml:space="preserve">rzetargowej:     </w:t>
      </w:r>
    </w:p>
    <w:p w14:paraId="070C4EDC" w14:textId="77777777" w:rsidR="00177071" w:rsidRDefault="00135E48" w:rsidP="00F56B7E">
      <w:pPr>
        <w:spacing w:line="276" w:lineRule="auto"/>
        <w:rPr>
          <w:snapToGrid w:val="0"/>
        </w:rPr>
      </w:pPr>
      <w:r w:rsidRPr="00A209C9">
        <w:rPr>
          <w:snapToGrid w:val="0"/>
        </w:rPr>
        <w:t xml:space="preserve">1.   Przewodniczący </w:t>
      </w:r>
      <w:r w:rsidR="002C37E6" w:rsidRPr="00A209C9">
        <w:rPr>
          <w:snapToGrid w:val="0"/>
        </w:rPr>
        <w:t>k</w:t>
      </w:r>
      <w:r w:rsidRPr="00A209C9">
        <w:rPr>
          <w:snapToGrid w:val="0"/>
        </w:rPr>
        <w:t xml:space="preserve">omisji </w:t>
      </w:r>
    </w:p>
    <w:p w14:paraId="0FA85682" w14:textId="77777777" w:rsidR="00177071" w:rsidRDefault="00177071" w:rsidP="00F56B7E">
      <w:pPr>
        <w:spacing w:line="276" w:lineRule="auto"/>
        <w:rPr>
          <w:snapToGrid w:val="0"/>
        </w:rPr>
      </w:pPr>
    </w:p>
    <w:p w14:paraId="344704C8" w14:textId="7E39EF90" w:rsidR="00135E48" w:rsidRPr="00A209C9" w:rsidRDefault="00412BC8" w:rsidP="00F56B7E">
      <w:pPr>
        <w:spacing w:line="276" w:lineRule="auto"/>
        <w:rPr>
          <w:snapToGrid w:val="0"/>
        </w:rPr>
      </w:pPr>
      <w:r w:rsidRPr="00A209C9">
        <w:rPr>
          <w:snapToGrid w:val="0"/>
        </w:rPr>
        <w:t>……………………</w:t>
      </w:r>
      <w:r w:rsidR="00135E48" w:rsidRPr="00A209C9">
        <w:rPr>
          <w:snapToGrid w:val="0"/>
        </w:rPr>
        <w:t>………………………….……………………………………..</w:t>
      </w:r>
    </w:p>
    <w:p w14:paraId="480B81FB" w14:textId="77777777" w:rsidR="00177071" w:rsidRDefault="00135E48" w:rsidP="00F56B7E">
      <w:pPr>
        <w:spacing w:line="276" w:lineRule="auto"/>
        <w:rPr>
          <w:snapToGrid w:val="0"/>
        </w:rPr>
      </w:pPr>
      <w:r w:rsidRPr="00A209C9">
        <w:rPr>
          <w:snapToGrid w:val="0"/>
        </w:rPr>
        <w:t xml:space="preserve">2.   Sekretarz </w:t>
      </w:r>
      <w:r w:rsidR="002C37E6" w:rsidRPr="00A209C9">
        <w:rPr>
          <w:snapToGrid w:val="0"/>
        </w:rPr>
        <w:t>k</w:t>
      </w:r>
      <w:r w:rsidRPr="00A209C9">
        <w:rPr>
          <w:snapToGrid w:val="0"/>
        </w:rPr>
        <w:t>omisji</w:t>
      </w:r>
      <w:r w:rsidR="002C37E6" w:rsidRPr="00A209C9">
        <w:rPr>
          <w:snapToGrid w:val="0"/>
        </w:rPr>
        <w:t xml:space="preserve"> </w:t>
      </w:r>
    </w:p>
    <w:p w14:paraId="4A774326" w14:textId="77777777" w:rsidR="00177071" w:rsidRDefault="00177071" w:rsidP="00F56B7E">
      <w:pPr>
        <w:spacing w:line="276" w:lineRule="auto"/>
        <w:rPr>
          <w:snapToGrid w:val="0"/>
        </w:rPr>
      </w:pPr>
    </w:p>
    <w:p w14:paraId="238F3C9B" w14:textId="7C866255" w:rsidR="00135E48" w:rsidRPr="00A209C9" w:rsidRDefault="002C37E6" w:rsidP="00F56B7E">
      <w:pPr>
        <w:spacing w:line="276" w:lineRule="auto"/>
        <w:rPr>
          <w:snapToGrid w:val="0"/>
        </w:rPr>
      </w:pPr>
      <w:r w:rsidRPr="00A209C9">
        <w:rPr>
          <w:snapToGrid w:val="0"/>
        </w:rPr>
        <w:t>……</w:t>
      </w:r>
      <w:r w:rsidR="00412BC8" w:rsidRPr="00A209C9">
        <w:rPr>
          <w:snapToGrid w:val="0"/>
        </w:rPr>
        <w:t>…………………………………………………….……………………………………..</w:t>
      </w:r>
    </w:p>
    <w:p w14:paraId="5C57F4C6" w14:textId="77777777" w:rsidR="00177071" w:rsidRDefault="00660A68" w:rsidP="00F56B7E">
      <w:pPr>
        <w:spacing w:line="276" w:lineRule="auto"/>
        <w:rPr>
          <w:snapToGrid w:val="0"/>
        </w:rPr>
      </w:pPr>
      <w:r w:rsidRPr="00A209C9">
        <w:rPr>
          <w:snapToGrid w:val="0"/>
        </w:rPr>
        <w:t xml:space="preserve">3.   Członek </w:t>
      </w:r>
      <w:r w:rsidR="002C37E6" w:rsidRPr="00A209C9">
        <w:rPr>
          <w:snapToGrid w:val="0"/>
        </w:rPr>
        <w:t>k</w:t>
      </w:r>
      <w:r w:rsidRPr="00A209C9">
        <w:rPr>
          <w:snapToGrid w:val="0"/>
        </w:rPr>
        <w:t xml:space="preserve">omisji </w:t>
      </w:r>
    </w:p>
    <w:p w14:paraId="49D46AF7" w14:textId="77777777" w:rsidR="00177071" w:rsidRDefault="00177071" w:rsidP="00F56B7E">
      <w:pPr>
        <w:spacing w:line="276" w:lineRule="auto"/>
        <w:rPr>
          <w:snapToGrid w:val="0"/>
        </w:rPr>
      </w:pPr>
    </w:p>
    <w:p w14:paraId="79DD77E1" w14:textId="35564651" w:rsidR="00412BC8" w:rsidRPr="00A209C9" w:rsidRDefault="00412BC8" w:rsidP="00F56B7E">
      <w:pPr>
        <w:spacing w:line="276" w:lineRule="auto"/>
        <w:rPr>
          <w:snapToGrid w:val="0"/>
        </w:rPr>
      </w:pPr>
      <w:r w:rsidRPr="00A209C9">
        <w:rPr>
          <w:snapToGrid w:val="0"/>
        </w:rPr>
        <w:t>…………………………</w:t>
      </w:r>
      <w:r w:rsidR="00A209C9" w:rsidRPr="00A209C9">
        <w:rPr>
          <w:snapToGrid w:val="0"/>
        </w:rPr>
        <w:t>……………….…………</w:t>
      </w:r>
      <w:r w:rsidR="00A209C9">
        <w:rPr>
          <w:snapToGrid w:val="0"/>
        </w:rPr>
        <w:t>…………………………..………………..</w:t>
      </w:r>
    </w:p>
    <w:sectPr w:rsidR="00412BC8" w:rsidRPr="00A209C9" w:rsidSect="008E364C">
      <w:footerReference w:type="default" r:id="rId2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2202" w14:textId="77777777" w:rsidR="00B149F9" w:rsidRDefault="00B149F9" w:rsidP="000F1DCF">
      <w:r>
        <w:separator/>
      </w:r>
    </w:p>
  </w:endnote>
  <w:endnote w:type="continuationSeparator" w:id="0">
    <w:p w14:paraId="76A62109" w14:textId="77777777" w:rsidR="00B149F9" w:rsidRDefault="00B149F9" w:rsidP="000F1DCF">
      <w:r>
        <w:continuationSeparator/>
      </w:r>
    </w:p>
  </w:endnote>
  <w:endnote w:type="continuationNotice" w:id="1">
    <w:p w14:paraId="7F60A5CD" w14:textId="77777777" w:rsidR="00B149F9" w:rsidRDefault="00B14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173554"/>
      <w:docPartObj>
        <w:docPartGallery w:val="Page Numbers (Bottom of Page)"/>
        <w:docPartUnique/>
      </w:docPartObj>
    </w:sdtPr>
    <w:sdtContent>
      <w:p w14:paraId="4F38749D" w14:textId="3BFF1F9B" w:rsidR="00E02BFA" w:rsidRDefault="00E02BFA">
        <w:pPr>
          <w:pStyle w:val="Stopka"/>
          <w:jc w:val="right"/>
        </w:pPr>
        <w:r>
          <w:fldChar w:fldCharType="begin"/>
        </w:r>
        <w:r>
          <w:instrText>PAGE   \* MERGEFORMAT</w:instrText>
        </w:r>
        <w:r>
          <w:fldChar w:fldCharType="separate"/>
        </w:r>
        <w:r>
          <w:t>2</w:t>
        </w:r>
        <w:r>
          <w:fldChar w:fldCharType="end"/>
        </w:r>
      </w:p>
    </w:sdtContent>
  </w:sdt>
  <w:p w14:paraId="1E95C863" w14:textId="77777777" w:rsidR="00E02BFA" w:rsidRDefault="00E02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C9DF" w14:textId="77777777" w:rsidR="00B149F9" w:rsidRDefault="00B149F9" w:rsidP="000F1DCF">
      <w:r>
        <w:separator/>
      </w:r>
    </w:p>
  </w:footnote>
  <w:footnote w:type="continuationSeparator" w:id="0">
    <w:p w14:paraId="39691A96" w14:textId="77777777" w:rsidR="00B149F9" w:rsidRDefault="00B149F9" w:rsidP="000F1DCF">
      <w:r>
        <w:continuationSeparator/>
      </w:r>
    </w:p>
  </w:footnote>
  <w:footnote w:type="continuationNotice" w:id="1">
    <w:p w14:paraId="454711C3" w14:textId="77777777" w:rsidR="00B149F9" w:rsidRDefault="00B149F9"/>
  </w:footnote>
  <w:footnote w:id="2">
    <w:p w14:paraId="2CA2EB3B" w14:textId="77777777" w:rsidR="008A2831" w:rsidRDefault="008A2831"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8A2831" w:rsidRPr="008E04C6" w:rsidRDefault="008A2831" w:rsidP="00D30AAA">
      <w:pPr>
        <w:pStyle w:val="Tekstprzypisudolnego"/>
      </w:pPr>
    </w:p>
    <w:p w14:paraId="4F6F2438" w14:textId="77777777" w:rsidR="008A2831" w:rsidRPr="003D7185" w:rsidRDefault="008A2831"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F7204D"/>
    <w:multiLevelType w:val="hybridMultilevel"/>
    <w:tmpl w:val="D4C64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4"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0"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2"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F32C6A"/>
    <w:multiLevelType w:val="hybridMultilevel"/>
    <w:tmpl w:val="483EF2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4B414692"/>
    <w:multiLevelType w:val="hybridMultilevel"/>
    <w:tmpl w:val="5D5ADD1A"/>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8DB0D6D"/>
    <w:multiLevelType w:val="hybridMultilevel"/>
    <w:tmpl w:val="806C18F0"/>
    <w:lvl w:ilvl="0" w:tplc="F28ED1FC">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92F186E"/>
    <w:multiLevelType w:val="hybridMultilevel"/>
    <w:tmpl w:val="3F44933A"/>
    <w:lvl w:ilvl="0" w:tplc="F28ED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A1B7801"/>
    <w:multiLevelType w:val="hybridMultilevel"/>
    <w:tmpl w:val="9218449C"/>
    <w:lvl w:ilvl="0" w:tplc="F28ED1FC">
      <w:start w:val="1"/>
      <w:numFmt w:val="bullet"/>
      <w:lvlText w:val=""/>
      <w:lvlJc w:val="left"/>
      <w:pPr>
        <w:ind w:left="3658" w:hanging="360"/>
      </w:pPr>
      <w:rPr>
        <w:rFonts w:ascii="Symbol" w:hAnsi="Symbol" w:hint="default"/>
      </w:rPr>
    </w:lvl>
    <w:lvl w:ilvl="1" w:tplc="04150003" w:tentative="1">
      <w:start w:val="1"/>
      <w:numFmt w:val="bullet"/>
      <w:lvlText w:val="o"/>
      <w:lvlJc w:val="left"/>
      <w:pPr>
        <w:ind w:left="4378" w:hanging="360"/>
      </w:pPr>
      <w:rPr>
        <w:rFonts w:ascii="Courier New" w:hAnsi="Courier New" w:cs="Courier New" w:hint="default"/>
      </w:rPr>
    </w:lvl>
    <w:lvl w:ilvl="2" w:tplc="04150005" w:tentative="1">
      <w:start w:val="1"/>
      <w:numFmt w:val="bullet"/>
      <w:lvlText w:val=""/>
      <w:lvlJc w:val="left"/>
      <w:pPr>
        <w:ind w:left="5098" w:hanging="360"/>
      </w:pPr>
      <w:rPr>
        <w:rFonts w:ascii="Wingdings" w:hAnsi="Wingdings" w:hint="default"/>
      </w:rPr>
    </w:lvl>
    <w:lvl w:ilvl="3" w:tplc="04150001" w:tentative="1">
      <w:start w:val="1"/>
      <w:numFmt w:val="bullet"/>
      <w:lvlText w:val=""/>
      <w:lvlJc w:val="left"/>
      <w:pPr>
        <w:ind w:left="5818" w:hanging="360"/>
      </w:pPr>
      <w:rPr>
        <w:rFonts w:ascii="Symbol" w:hAnsi="Symbol" w:hint="default"/>
      </w:rPr>
    </w:lvl>
    <w:lvl w:ilvl="4" w:tplc="04150003" w:tentative="1">
      <w:start w:val="1"/>
      <w:numFmt w:val="bullet"/>
      <w:lvlText w:val="o"/>
      <w:lvlJc w:val="left"/>
      <w:pPr>
        <w:ind w:left="6538" w:hanging="360"/>
      </w:pPr>
      <w:rPr>
        <w:rFonts w:ascii="Courier New" w:hAnsi="Courier New" w:cs="Courier New" w:hint="default"/>
      </w:rPr>
    </w:lvl>
    <w:lvl w:ilvl="5" w:tplc="04150005" w:tentative="1">
      <w:start w:val="1"/>
      <w:numFmt w:val="bullet"/>
      <w:lvlText w:val=""/>
      <w:lvlJc w:val="left"/>
      <w:pPr>
        <w:ind w:left="7258" w:hanging="360"/>
      </w:pPr>
      <w:rPr>
        <w:rFonts w:ascii="Wingdings" w:hAnsi="Wingdings" w:hint="default"/>
      </w:rPr>
    </w:lvl>
    <w:lvl w:ilvl="6" w:tplc="04150001" w:tentative="1">
      <w:start w:val="1"/>
      <w:numFmt w:val="bullet"/>
      <w:lvlText w:val=""/>
      <w:lvlJc w:val="left"/>
      <w:pPr>
        <w:ind w:left="7978" w:hanging="360"/>
      </w:pPr>
      <w:rPr>
        <w:rFonts w:ascii="Symbol" w:hAnsi="Symbol" w:hint="default"/>
      </w:rPr>
    </w:lvl>
    <w:lvl w:ilvl="7" w:tplc="04150003" w:tentative="1">
      <w:start w:val="1"/>
      <w:numFmt w:val="bullet"/>
      <w:lvlText w:val="o"/>
      <w:lvlJc w:val="left"/>
      <w:pPr>
        <w:ind w:left="8698" w:hanging="360"/>
      </w:pPr>
      <w:rPr>
        <w:rFonts w:ascii="Courier New" w:hAnsi="Courier New" w:cs="Courier New" w:hint="default"/>
      </w:rPr>
    </w:lvl>
    <w:lvl w:ilvl="8" w:tplc="04150005" w:tentative="1">
      <w:start w:val="1"/>
      <w:numFmt w:val="bullet"/>
      <w:lvlText w:val=""/>
      <w:lvlJc w:val="left"/>
      <w:pPr>
        <w:ind w:left="9418" w:hanging="360"/>
      </w:pPr>
      <w:rPr>
        <w:rFonts w:ascii="Wingdings" w:hAnsi="Wingdings" w:hint="default"/>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5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7980855">
    <w:abstractNumId w:val="20"/>
  </w:num>
  <w:num w:numId="2" w16cid:durableId="1686202783">
    <w:abstractNumId w:val="41"/>
  </w:num>
  <w:num w:numId="3" w16cid:durableId="1301501884">
    <w:abstractNumId w:val="57"/>
  </w:num>
  <w:num w:numId="4" w16cid:durableId="60101276">
    <w:abstractNumId w:val="62"/>
  </w:num>
  <w:num w:numId="5" w16cid:durableId="498037613">
    <w:abstractNumId w:val="33"/>
  </w:num>
  <w:num w:numId="6" w16cid:durableId="182398704">
    <w:abstractNumId w:val="59"/>
  </w:num>
  <w:num w:numId="7" w16cid:durableId="1854224574">
    <w:abstractNumId w:val="7"/>
  </w:num>
  <w:num w:numId="8" w16cid:durableId="1015309523">
    <w:abstractNumId w:val="21"/>
  </w:num>
  <w:num w:numId="9" w16cid:durableId="519784573">
    <w:abstractNumId w:val="36"/>
  </w:num>
  <w:num w:numId="10" w16cid:durableId="1272667956">
    <w:abstractNumId w:val="39"/>
  </w:num>
  <w:num w:numId="11" w16cid:durableId="1820727006">
    <w:abstractNumId w:val="18"/>
  </w:num>
  <w:num w:numId="12" w16cid:durableId="2137023907">
    <w:abstractNumId w:val="35"/>
  </w:num>
  <w:num w:numId="13" w16cid:durableId="715664666">
    <w:abstractNumId w:val="26"/>
  </w:num>
  <w:num w:numId="14" w16cid:durableId="1264461242">
    <w:abstractNumId w:val="55"/>
  </w:num>
  <w:num w:numId="15" w16cid:durableId="523785426">
    <w:abstractNumId w:val="42"/>
  </w:num>
  <w:num w:numId="16" w16cid:durableId="1337464005">
    <w:abstractNumId w:val="47"/>
  </w:num>
  <w:num w:numId="17" w16cid:durableId="1008486594">
    <w:abstractNumId w:val="25"/>
  </w:num>
  <w:num w:numId="18" w16cid:durableId="783891267">
    <w:abstractNumId w:val="37"/>
  </w:num>
  <w:num w:numId="19" w16cid:durableId="212469387">
    <w:abstractNumId w:val="40"/>
  </w:num>
  <w:num w:numId="20" w16cid:durableId="471869049">
    <w:abstractNumId w:val="16"/>
  </w:num>
  <w:num w:numId="21" w16cid:durableId="1655447545">
    <w:abstractNumId w:val="51"/>
  </w:num>
  <w:num w:numId="22" w16cid:durableId="1923561997">
    <w:abstractNumId w:val="23"/>
  </w:num>
  <w:num w:numId="23" w16cid:durableId="67307982">
    <w:abstractNumId w:val="10"/>
  </w:num>
  <w:num w:numId="24" w16cid:durableId="45758800">
    <w:abstractNumId w:val="11"/>
  </w:num>
  <w:num w:numId="25" w16cid:durableId="1362510059">
    <w:abstractNumId w:val="30"/>
  </w:num>
  <w:num w:numId="26" w16cid:durableId="1420522034">
    <w:abstractNumId w:val="50"/>
  </w:num>
  <w:num w:numId="27" w16cid:durableId="1573661540">
    <w:abstractNumId w:val="17"/>
  </w:num>
  <w:num w:numId="28" w16cid:durableId="1383871429">
    <w:abstractNumId w:val="29"/>
  </w:num>
  <w:num w:numId="29" w16cid:durableId="538055958">
    <w:abstractNumId w:val="8"/>
  </w:num>
  <w:num w:numId="30" w16cid:durableId="1827866562">
    <w:abstractNumId w:val="27"/>
  </w:num>
  <w:num w:numId="31" w16cid:durableId="896209551">
    <w:abstractNumId w:val="28"/>
  </w:num>
  <w:num w:numId="32" w16cid:durableId="1561287008">
    <w:abstractNumId w:val="12"/>
  </w:num>
  <w:num w:numId="33" w16cid:durableId="650519073">
    <w:abstractNumId w:val="38"/>
  </w:num>
  <w:num w:numId="34" w16cid:durableId="8459553">
    <w:abstractNumId w:val="13"/>
  </w:num>
  <w:num w:numId="35" w16cid:durableId="437139379">
    <w:abstractNumId w:val="60"/>
  </w:num>
  <w:num w:numId="36" w16cid:durableId="559485248">
    <w:abstractNumId w:val="15"/>
  </w:num>
  <w:num w:numId="37" w16cid:durableId="868176903">
    <w:abstractNumId w:val="4"/>
  </w:num>
  <w:num w:numId="38" w16cid:durableId="1525903750">
    <w:abstractNumId w:val="52"/>
  </w:num>
  <w:num w:numId="39" w16cid:durableId="1360282679">
    <w:abstractNumId w:val="54"/>
  </w:num>
  <w:num w:numId="40" w16cid:durableId="70085386">
    <w:abstractNumId w:val="6"/>
  </w:num>
  <w:num w:numId="41" w16cid:durableId="69430440">
    <w:abstractNumId w:val="31"/>
  </w:num>
  <w:num w:numId="42" w16cid:durableId="1237478388">
    <w:abstractNumId w:val="63"/>
  </w:num>
  <w:num w:numId="43" w16cid:durableId="1306661670">
    <w:abstractNumId w:val="0"/>
  </w:num>
  <w:num w:numId="44" w16cid:durableId="277303474">
    <w:abstractNumId w:val="9"/>
  </w:num>
  <w:num w:numId="45" w16cid:durableId="1346440141">
    <w:abstractNumId w:val="3"/>
  </w:num>
  <w:num w:numId="46" w16cid:durableId="170607617">
    <w:abstractNumId w:val="61"/>
  </w:num>
  <w:num w:numId="47" w16cid:durableId="1618102718">
    <w:abstractNumId w:val="5"/>
  </w:num>
  <w:num w:numId="48" w16cid:durableId="2123066238">
    <w:abstractNumId w:val="61"/>
    <w:lvlOverride w:ilvl="0">
      <w:startOverride w:val="1"/>
      <w:lvl w:ilvl="0">
        <w:start w:val="1"/>
        <w:numFmt w:val="decimal"/>
        <w:lvlText w:val="%1)"/>
        <w:lvlJc w:val="left"/>
        <w:pPr>
          <w:ind w:left="360" w:hanging="360"/>
        </w:pPr>
        <w:rPr>
          <w:b w:val="0"/>
          <w:sz w:val="24"/>
        </w:rPr>
      </w:lvl>
    </w:lvlOverride>
  </w:num>
  <w:num w:numId="49" w16cid:durableId="573202468">
    <w:abstractNumId w:val="5"/>
    <w:lvlOverride w:ilvl="0">
      <w:startOverride w:val="1"/>
    </w:lvlOverride>
  </w:num>
  <w:num w:numId="50" w16cid:durableId="1017316444">
    <w:abstractNumId w:val="58"/>
  </w:num>
  <w:num w:numId="51" w16cid:durableId="1839223127">
    <w:abstractNumId w:val="24"/>
  </w:num>
  <w:num w:numId="52" w16cid:durableId="1223567347">
    <w:abstractNumId w:val="56"/>
  </w:num>
  <w:num w:numId="53" w16cid:durableId="1057775561">
    <w:abstractNumId w:val="1"/>
  </w:num>
  <w:num w:numId="54" w16cid:durableId="1441994530">
    <w:abstractNumId w:val="3"/>
    <w:lvlOverride w:ilvl="0">
      <w:lvl w:ilvl="0">
        <w:start w:val="1"/>
        <w:numFmt w:val="decimal"/>
        <w:lvlText w:val="%1)"/>
        <w:lvlJc w:val="left"/>
        <w:pPr>
          <w:ind w:left="218" w:hanging="360"/>
        </w:pPr>
      </w:lvl>
    </w:lvlOverride>
  </w:num>
  <w:num w:numId="55" w16cid:durableId="1254511432">
    <w:abstractNumId w:val="32"/>
  </w:num>
  <w:num w:numId="56" w16cid:durableId="1854800636">
    <w:abstractNumId w:val="49"/>
  </w:num>
  <w:num w:numId="57" w16cid:durableId="1935016748">
    <w:abstractNumId w:val="44"/>
  </w:num>
  <w:num w:numId="58" w16cid:durableId="1674107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363321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89081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92424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77756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8883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359584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061929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204038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2401275">
    <w:abstractNumId w:val="22"/>
  </w:num>
  <w:num w:numId="68" w16cid:durableId="100997582">
    <w:abstractNumId w:val="48"/>
  </w:num>
  <w:num w:numId="69" w16cid:durableId="635061169">
    <w:abstractNumId w:val="14"/>
  </w:num>
  <w:num w:numId="70" w16cid:durableId="1993831217">
    <w:abstractNumId w:val="53"/>
  </w:num>
  <w:num w:numId="71" w16cid:durableId="314189065">
    <w:abstractNumId w:val="34"/>
  </w:num>
  <w:num w:numId="72" w16cid:durableId="832574824">
    <w:abstractNumId w:val="46"/>
  </w:num>
  <w:num w:numId="73" w16cid:durableId="502277657">
    <w:abstractNumId w:val="45"/>
  </w:num>
  <w:num w:numId="74" w16cid:durableId="929586512">
    <w:abstractNumId w:val="2"/>
  </w:num>
  <w:num w:numId="75" w16cid:durableId="775058928">
    <w:abstractNumId w:val="43"/>
  </w:num>
  <w:num w:numId="76" w16cid:durableId="311100249">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22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19F6"/>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15EE"/>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4C2"/>
    <w:rsid w:val="000C7629"/>
    <w:rsid w:val="000C7F8C"/>
    <w:rsid w:val="000D0DB6"/>
    <w:rsid w:val="000D1E74"/>
    <w:rsid w:val="000D1EB6"/>
    <w:rsid w:val="000D2A39"/>
    <w:rsid w:val="000D390A"/>
    <w:rsid w:val="000D3D99"/>
    <w:rsid w:val="000D4695"/>
    <w:rsid w:val="000D504C"/>
    <w:rsid w:val="000D55A8"/>
    <w:rsid w:val="000D5C59"/>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26DEF"/>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55CEB"/>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0537"/>
    <w:rsid w:val="001A131C"/>
    <w:rsid w:val="001A33C6"/>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168"/>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F03FF"/>
    <w:rsid w:val="001F0D7F"/>
    <w:rsid w:val="001F59AC"/>
    <w:rsid w:val="0020063A"/>
    <w:rsid w:val="00205450"/>
    <w:rsid w:val="00205672"/>
    <w:rsid w:val="00206687"/>
    <w:rsid w:val="00206FC6"/>
    <w:rsid w:val="0020729F"/>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0A62"/>
    <w:rsid w:val="0029119B"/>
    <w:rsid w:val="002924ED"/>
    <w:rsid w:val="00292E3B"/>
    <w:rsid w:val="00292E7E"/>
    <w:rsid w:val="002939E9"/>
    <w:rsid w:val="002958F8"/>
    <w:rsid w:val="00295E81"/>
    <w:rsid w:val="00296DE6"/>
    <w:rsid w:val="00297AEF"/>
    <w:rsid w:val="00297BFA"/>
    <w:rsid w:val="002A0F6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0E29"/>
    <w:rsid w:val="002F4402"/>
    <w:rsid w:val="002F588A"/>
    <w:rsid w:val="002F61DB"/>
    <w:rsid w:val="002F6E2D"/>
    <w:rsid w:val="002F731B"/>
    <w:rsid w:val="002F7C46"/>
    <w:rsid w:val="00300F65"/>
    <w:rsid w:val="0030178F"/>
    <w:rsid w:val="00301BC1"/>
    <w:rsid w:val="00302D55"/>
    <w:rsid w:val="003035B5"/>
    <w:rsid w:val="003042BF"/>
    <w:rsid w:val="00305B3B"/>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17F79"/>
    <w:rsid w:val="00320320"/>
    <w:rsid w:val="00320F91"/>
    <w:rsid w:val="00323B10"/>
    <w:rsid w:val="003247A5"/>
    <w:rsid w:val="00324D72"/>
    <w:rsid w:val="0032556F"/>
    <w:rsid w:val="0032562F"/>
    <w:rsid w:val="0032592E"/>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2FCE"/>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36CF"/>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6F7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F07D4"/>
    <w:rsid w:val="003F0AA4"/>
    <w:rsid w:val="003F0F07"/>
    <w:rsid w:val="003F14D2"/>
    <w:rsid w:val="003F1B97"/>
    <w:rsid w:val="003F2596"/>
    <w:rsid w:val="003F2B0A"/>
    <w:rsid w:val="003F3B3E"/>
    <w:rsid w:val="003F5A7C"/>
    <w:rsid w:val="003F6689"/>
    <w:rsid w:val="003F69D7"/>
    <w:rsid w:val="003F77AD"/>
    <w:rsid w:val="003F7DE9"/>
    <w:rsid w:val="003F7E4E"/>
    <w:rsid w:val="00400E55"/>
    <w:rsid w:val="00401C5E"/>
    <w:rsid w:val="00402BA7"/>
    <w:rsid w:val="00402D76"/>
    <w:rsid w:val="00403C90"/>
    <w:rsid w:val="00403EDD"/>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2ED3"/>
    <w:rsid w:val="00423A33"/>
    <w:rsid w:val="00423E9B"/>
    <w:rsid w:val="004253C7"/>
    <w:rsid w:val="004256A9"/>
    <w:rsid w:val="004257AF"/>
    <w:rsid w:val="00425B22"/>
    <w:rsid w:val="00425DAA"/>
    <w:rsid w:val="00425E63"/>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5B9F"/>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4A1"/>
    <w:rsid w:val="004E234C"/>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0F5C"/>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E74"/>
    <w:rsid w:val="00547C0C"/>
    <w:rsid w:val="0055085B"/>
    <w:rsid w:val="00551622"/>
    <w:rsid w:val="00551C33"/>
    <w:rsid w:val="00552834"/>
    <w:rsid w:val="005530A3"/>
    <w:rsid w:val="00554047"/>
    <w:rsid w:val="00554306"/>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494D"/>
    <w:rsid w:val="005A57E7"/>
    <w:rsid w:val="005A7566"/>
    <w:rsid w:val="005A792D"/>
    <w:rsid w:val="005A7BEC"/>
    <w:rsid w:val="005B0114"/>
    <w:rsid w:val="005B13F2"/>
    <w:rsid w:val="005B1FDE"/>
    <w:rsid w:val="005B2899"/>
    <w:rsid w:val="005B3E68"/>
    <w:rsid w:val="005B4E66"/>
    <w:rsid w:val="005B666F"/>
    <w:rsid w:val="005B66F4"/>
    <w:rsid w:val="005B68C9"/>
    <w:rsid w:val="005B6901"/>
    <w:rsid w:val="005B6F7A"/>
    <w:rsid w:val="005C1A20"/>
    <w:rsid w:val="005C1A68"/>
    <w:rsid w:val="005C30CD"/>
    <w:rsid w:val="005C3726"/>
    <w:rsid w:val="005C676A"/>
    <w:rsid w:val="005C68C0"/>
    <w:rsid w:val="005C6E73"/>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0185"/>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6E61"/>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616"/>
    <w:rsid w:val="006A0EB1"/>
    <w:rsid w:val="006A21F6"/>
    <w:rsid w:val="006A4F2A"/>
    <w:rsid w:val="006A6D6E"/>
    <w:rsid w:val="006A7A05"/>
    <w:rsid w:val="006B1ED3"/>
    <w:rsid w:val="006B2421"/>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838"/>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510B"/>
    <w:rsid w:val="00707D49"/>
    <w:rsid w:val="0071485B"/>
    <w:rsid w:val="00714A06"/>
    <w:rsid w:val="007155DA"/>
    <w:rsid w:val="00716461"/>
    <w:rsid w:val="0072017F"/>
    <w:rsid w:val="007212CC"/>
    <w:rsid w:val="00722B65"/>
    <w:rsid w:val="007244E6"/>
    <w:rsid w:val="00724A0F"/>
    <w:rsid w:val="007260C5"/>
    <w:rsid w:val="00726574"/>
    <w:rsid w:val="00727B78"/>
    <w:rsid w:val="00730839"/>
    <w:rsid w:val="00732163"/>
    <w:rsid w:val="00733794"/>
    <w:rsid w:val="007338C9"/>
    <w:rsid w:val="00733A6A"/>
    <w:rsid w:val="007345CA"/>
    <w:rsid w:val="00734704"/>
    <w:rsid w:val="00734D3E"/>
    <w:rsid w:val="00735855"/>
    <w:rsid w:val="00744AEA"/>
    <w:rsid w:val="0074543F"/>
    <w:rsid w:val="00745DA7"/>
    <w:rsid w:val="00745F2F"/>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535"/>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1E5D"/>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794"/>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2F7"/>
    <w:rsid w:val="008B2C6D"/>
    <w:rsid w:val="008B4CE7"/>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1539"/>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1E5F"/>
    <w:rsid w:val="009C3048"/>
    <w:rsid w:val="009C33D7"/>
    <w:rsid w:val="009C3538"/>
    <w:rsid w:val="009C4529"/>
    <w:rsid w:val="009C477C"/>
    <w:rsid w:val="009C5346"/>
    <w:rsid w:val="009C55A5"/>
    <w:rsid w:val="009C6BD5"/>
    <w:rsid w:val="009C7BF7"/>
    <w:rsid w:val="009D0E77"/>
    <w:rsid w:val="009D1A76"/>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75B"/>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2A0C"/>
    <w:rsid w:val="00A73B0F"/>
    <w:rsid w:val="00A76348"/>
    <w:rsid w:val="00A8003D"/>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5EE0"/>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9F9"/>
    <w:rsid w:val="00B14C7B"/>
    <w:rsid w:val="00B14D4C"/>
    <w:rsid w:val="00B14D9C"/>
    <w:rsid w:val="00B1578E"/>
    <w:rsid w:val="00B15C88"/>
    <w:rsid w:val="00B16D97"/>
    <w:rsid w:val="00B170B2"/>
    <w:rsid w:val="00B174FF"/>
    <w:rsid w:val="00B2342A"/>
    <w:rsid w:val="00B2574C"/>
    <w:rsid w:val="00B25A7A"/>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2981"/>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370"/>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07EE"/>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37BD2"/>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2346"/>
    <w:rsid w:val="00C83A21"/>
    <w:rsid w:val="00C85060"/>
    <w:rsid w:val="00C8667D"/>
    <w:rsid w:val="00C92170"/>
    <w:rsid w:val="00C92894"/>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258"/>
    <w:rsid w:val="00CD345D"/>
    <w:rsid w:val="00CD5113"/>
    <w:rsid w:val="00CE0FDC"/>
    <w:rsid w:val="00CE245C"/>
    <w:rsid w:val="00CE4334"/>
    <w:rsid w:val="00CE5112"/>
    <w:rsid w:val="00CE54E0"/>
    <w:rsid w:val="00CE5693"/>
    <w:rsid w:val="00CE5944"/>
    <w:rsid w:val="00CE66F3"/>
    <w:rsid w:val="00CE6915"/>
    <w:rsid w:val="00CF07EC"/>
    <w:rsid w:val="00CF2987"/>
    <w:rsid w:val="00CF3FB9"/>
    <w:rsid w:val="00CF47B6"/>
    <w:rsid w:val="00CF52FF"/>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20FB"/>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DF411D"/>
    <w:rsid w:val="00E0124C"/>
    <w:rsid w:val="00E01355"/>
    <w:rsid w:val="00E02416"/>
    <w:rsid w:val="00E02451"/>
    <w:rsid w:val="00E02BFA"/>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1FE1"/>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85F91"/>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5087"/>
    <w:rsid w:val="00F3708F"/>
    <w:rsid w:val="00F40508"/>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947"/>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469D"/>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 w:type="numbering" w:customStyle="1" w:styleId="WWNum44">
    <w:name w:val="WWNum44"/>
    <w:basedOn w:val="Bezlisty"/>
    <w:rsid w:val="005B66F4"/>
    <w:pPr>
      <w:numPr>
        <w:numId w:val="76"/>
      </w:numPr>
    </w:pPr>
  </w:style>
  <w:style w:type="character" w:styleId="Nierozpoznanawzmianka">
    <w:name w:val="Unresolved Mention"/>
    <w:basedOn w:val="Domylnaczcionkaakapitu"/>
    <w:uiPriority w:val="99"/>
    <w:semiHidden/>
    <w:unhideWhenUsed/>
    <w:rsid w:val="005B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52224" TargetMode="External"/><Relationship Id="rId13" Type="http://schemas.openxmlformats.org/officeDocument/2006/relationships/hyperlink" Target="https://www.gov.pl/web/mswia/oprogramowanie-do-pobrani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6DCB-53A0-544B-9211-3D3BE4DF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Pages>
  <Words>11010</Words>
  <Characters>66060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76917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33</cp:revision>
  <cp:lastPrinted>2023-03-02T12:35:00Z</cp:lastPrinted>
  <dcterms:created xsi:type="dcterms:W3CDTF">2022-08-05T10:37:00Z</dcterms:created>
  <dcterms:modified xsi:type="dcterms:W3CDTF">2023-04-11T10:33:00Z</dcterms:modified>
</cp:coreProperties>
</file>